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DCC" w:rsidRDefault="00832C7A" w:rsidP="00073277">
      <w:pPr>
        <w:sectPr w:rsidR="00FC4DCC" w:rsidSect="00E04B8F">
          <w:headerReference w:type="default" r:id="rId9"/>
          <w:pgSz w:w="12240" w:h="15840"/>
          <w:pgMar w:top="1440" w:right="1440" w:bottom="1440" w:left="1800" w:header="720" w:footer="720" w:gutter="0"/>
          <w:cols w:space="720"/>
          <w:docGrid w:linePitch="360"/>
        </w:sectPr>
      </w:pPr>
      <w:bookmarkStart w:id="0" w:name="_Toc229739377"/>
      <w:bookmarkStart w:id="1" w:name="_Toc231197071"/>
      <w:r>
        <w:rPr>
          <w:noProof/>
        </w:rPr>
        <w:pict>
          <v:shapetype id="_x0000_t202" coordsize="21600,21600" o:spt="202" path="m,l,21600r21600,l21600,xe">
            <v:stroke joinstyle="miter"/>
            <v:path gradientshapeok="t" o:connecttype="rect"/>
          </v:shapetype>
          <v:shape id="_x0000_s1026" type="#_x0000_t202" style="position:absolute;margin-left:0;margin-top:270pt;width:305.45pt;height:46.95pt;z-index:251689984" stroked="f">
            <v:fill opacity=".5"/>
            <v:textbox style="mso-next-textbox:#_x0000_s1026">
              <w:txbxContent>
                <w:p w:rsidR="003C78A4" w:rsidRPr="004F295E" w:rsidRDefault="003C78A4" w:rsidP="004F295E">
                  <w:pPr>
                    <w:spacing w:after="0" w:line="240" w:lineRule="auto"/>
                    <w:rPr>
                      <w:rFonts w:ascii="Arial" w:eastAsia="Calibri" w:hAnsi="Arial" w:cs="Arial"/>
                      <w:color w:val="9B8F83"/>
                      <w:sz w:val="20"/>
                    </w:rPr>
                  </w:pPr>
                  <w:r w:rsidRPr="004F295E">
                    <w:rPr>
                      <w:rFonts w:ascii="Arial" w:hAnsi="Arial" w:cs="Arial"/>
                      <w:color w:val="9B8F83"/>
                      <w:sz w:val="40"/>
                      <w:szCs w:val="40"/>
                    </w:rPr>
                    <w:t>2010 Regional System Plan</w:t>
                  </w:r>
                  <w:r w:rsidRPr="004F295E">
                    <w:rPr>
                      <w:rFonts w:ascii="Arial" w:hAnsi="Arial" w:cs="Arial"/>
                      <w:color w:val="9B8F83"/>
                      <w:sz w:val="40"/>
                      <w:szCs w:val="40"/>
                    </w:rPr>
                    <w:br/>
                  </w:r>
                </w:p>
                <w:p w:rsidR="003C78A4" w:rsidRDefault="003C78A4" w:rsidP="00231250">
                  <w:pPr>
                    <w:spacing w:line="480" w:lineRule="atLeast"/>
                    <w:rPr>
                      <w:rFonts w:ascii="Arial" w:hAnsi="Arial" w:cs="Arial"/>
                      <w:color w:val="9B8F83"/>
                      <w:sz w:val="20"/>
                    </w:rPr>
                  </w:pPr>
                </w:p>
                <w:p w:rsidR="003C78A4" w:rsidRDefault="003C78A4" w:rsidP="00073277">
                  <w:pPr>
                    <w:rPr>
                      <w:sz w:val="20"/>
                    </w:rPr>
                  </w:pPr>
                  <w:r w:rsidRPr="00A61E46">
                    <w:t>.</w:t>
                  </w:r>
                </w:p>
                <w:p w:rsidR="003C78A4" w:rsidRDefault="003C78A4" w:rsidP="00073277"/>
                <w:p w:rsidR="003C78A4" w:rsidRDefault="003C78A4" w:rsidP="00073277"/>
                <w:p w:rsidR="003C78A4" w:rsidRDefault="003C78A4" w:rsidP="00073277"/>
              </w:txbxContent>
            </v:textbox>
          </v:shape>
        </w:pict>
      </w:r>
      <w:r w:rsidR="00EC29E4">
        <w:rPr>
          <w:noProof/>
        </w:rPr>
        <w:drawing>
          <wp:anchor distT="0" distB="0" distL="114300" distR="114300" simplePos="0" relativeHeight="251759616" behindDoc="0" locked="0" layoutInCell="1" allowOverlap="1">
            <wp:simplePos x="0" y="0"/>
            <wp:positionH relativeFrom="column">
              <wp:posOffset>-472440</wp:posOffset>
            </wp:positionH>
            <wp:positionV relativeFrom="paragraph">
              <wp:posOffset>1143000</wp:posOffset>
            </wp:positionV>
            <wp:extent cx="3890010" cy="2065020"/>
            <wp:effectExtent l="19050" t="0" r="0" b="0"/>
            <wp:wrapSquare wrapText="bothSides"/>
            <wp:docPr id="20" name="Picture 19" descr="ISO007-RSP-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007-RSP-logo-Color.jpg"/>
                    <pic:cNvPicPr/>
                  </pic:nvPicPr>
                  <pic:blipFill>
                    <a:blip r:embed="rId10" cstate="print"/>
                    <a:stretch>
                      <a:fillRect/>
                    </a:stretch>
                  </pic:blipFill>
                  <pic:spPr>
                    <a:xfrm>
                      <a:off x="0" y="0"/>
                      <a:ext cx="3890010" cy="2065020"/>
                    </a:xfrm>
                    <a:prstGeom prst="rect">
                      <a:avLst/>
                    </a:prstGeom>
                  </pic:spPr>
                </pic:pic>
              </a:graphicData>
            </a:graphic>
          </wp:anchor>
        </w:drawing>
      </w:r>
      <w:r>
        <w:rPr>
          <w:noProof/>
        </w:rPr>
        <w:pict>
          <v:shape id="_x0000_s1027" type="#_x0000_t202" style="position:absolute;margin-left:0;margin-top:462pt;width:212pt;height:60.75pt;z-index:251691008;mso-position-horizontal-relative:text;mso-position-vertical-relative:text" stroked="f">
            <v:fill opacity=".5"/>
            <v:textbox style="mso-next-textbox:#_x0000_s1027">
              <w:txbxContent>
                <w:p w:rsidR="003C78A4" w:rsidRPr="006F78EC" w:rsidRDefault="003C78A4" w:rsidP="004F295E">
                  <w:pPr>
                    <w:spacing w:after="0"/>
                    <w:rPr>
                      <w:rFonts w:ascii="Arial" w:hAnsi="Arial" w:cs="Arial"/>
                      <w:color w:val="9B8F83"/>
                      <w:sz w:val="28"/>
                      <w:szCs w:val="28"/>
                    </w:rPr>
                  </w:pPr>
                  <w:r w:rsidRPr="006F78EC">
                    <w:rPr>
                      <w:rFonts w:ascii="Arial" w:hAnsi="Arial" w:cs="Arial"/>
                      <w:color w:val="9B8F83"/>
                      <w:sz w:val="28"/>
                      <w:szCs w:val="28"/>
                    </w:rPr>
                    <w:t>© ISO New England Inc.</w:t>
                  </w:r>
                </w:p>
                <w:p w:rsidR="003C78A4" w:rsidRPr="00A61E46" w:rsidRDefault="003C78A4" w:rsidP="004F295E">
                  <w:pPr>
                    <w:spacing w:after="0"/>
                    <w:rPr>
                      <w:rFonts w:ascii="Arial" w:hAnsi="Arial" w:cs="Arial"/>
                      <w:color w:val="9B8F83"/>
                      <w:sz w:val="28"/>
                      <w:szCs w:val="28"/>
                    </w:rPr>
                  </w:pPr>
                  <w:r w:rsidRPr="006F78EC">
                    <w:rPr>
                      <w:rFonts w:ascii="Arial" w:hAnsi="Arial" w:cs="Arial"/>
                      <w:color w:val="9B8F83"/>
                      <w:sz w:val="28"/>
                      <w:szCs w:val="28"/>
                    </w:rPr>
                    <w:t>October 28, 2010</w:t>
                  </w:r>
                </w:p>
                <w:p w:rsidR="003C78A4" w:rsidRPr="00A61E46" w:rsidRDefault="003C78A4" w:rsidP="00073277"/>
              </w:txbxContent>
            </v:textbox>
          </v:shape>
        </w:pict>
      </w:r>
      <w:r w:rsidR="001516C8" w:rsidRPr="001516C8">
        <w:rPr>
          <w:noProof/>
        </w:rPr>
        <w:drawing>
          <wp:anchor distT="0" distB="0" distL="114300" distR="114300" simplePos="0" relativeHeight="251687935" behindDoc="1" locked="0" layoutInCell="1" allowOverlap="1">
            <wp:simplePos x="0" y="0"/>
            <wp:positionH relativeFrom="column">
              <wp:posOffset>-580852</wp:posOffset>
            </wp:positionH>
            <wp:positionV relativeFrom="paragraph">
              <wp:posOffset>-80356</wp:posOffset>
            </wp:positionV>
            <wp:extent cx="7353704" cy="9493134"/>
            <wp:effectExtent l="19050" t="0" r="635" b="0"/>
            <wp:wrapNone/>
            <wp:docPr id="28"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11" cstate="print"/>
                    <a:srcRect/>
                    <a:stretch>
                      <a:fillRect/>
                    </a:stretch>
                  </pic:blipFill>
                  <pic:spPr bwMode="auto">
                    <a:xfrm>
                      <a:off x="0" y="0"/>
                      <a:ext cx="7352665" cy="9494520"/>
                    </a:xfrm>
                    <a:prstGeom prst="rect">
                      <a:avLst/>
                    </a:prstGeom>
                    <a:noFill/>
                    <a:ln w="9525">
                      <a:noFill/>
                      <a:miter lim="800000"/>
                      <a:headEnd/>
                      <a:tailEnd/>
                    </a:ln>
                  </pic:spPr>
                </pic:pic>
              </a:graphicData>
            </a:graphic>
          </wp:anchor>
        </w:drawing>
      </w:r>
      <w:r w:rsidR="001516C8" w:rsidRPr="001516C8">
        <w:rPr>
          <w:noProof/>
        </w:rPr>
        <w:drawing>
          <wp:anchor distT="0" distB="0" distL="114300" distR="114300" simplePos="0" relativeHeight="251688960" behindDoc="1" locked="0" layoutInCell="1" allowOverlap="1">
            <wp:simplePos x="0" y="0"/>
            <wp:positionH relativeFrom="column">
              <wp:posOffset>-733252</wp:posOffset>
            </wp:positionH>
            <wp:positionV relativeFrom="paragraph">
              <wp:posOffset>-232756</wp:posOffset>
            </wp:positionV>
            <wp:extent cx="7353704" cy="9493134"/>
            <wp:effectExtent l="19050" t="0" r="0" b="0"/>
            <wp:wrapNone/>
            <wp:docPr id="27" name="Picture 12" descr="simple_yellow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_yellowdots"/>
                    <pic:cNvPicPr>
                      <a:picLocks noChangeAspect="1" noChangeArrowheads="1"/>
                    </pic:cNvPicPr>
                  </pic:nvPicPr>
                  <pic:blipFill>
                    <a:blip r:embed="rId11" cstate="print"/>
                    <a:srcRect/>
                    <a:stretch>
                      <a:fillRect/>
                    </a:stretch>
                  </pic:blipFill>
                  <pic:spPr bwMode="auto">
                    <a:xfrm>
                      <a:off x="0" y="0"/>
                      <a:ext cx="7353704" cy="9493134"/>
                    </a:xfrm>
                    <a:prstGeom prst="rect">
                      <a:avLst/>
                    </a:prstGeom>
                    <a:noFill/>
                    <a:ln w="9525">
                      <a:noFill/>
                      <a:miter lim="800000"/>
                      <a:headEnd/>
                      <a:tailEnd/>
                    </a:ln>
                  </pic:spPr>
                </pic:pic>
              </a:graphicData>
            </a:graphic>
          </wp:anchor>
        </w:drawing>
      </w:r>
    </w:p>
    <w:p w:rsidR="00B47316" w:rsidRDefault="00B47316" w:rsidP="001A4315">
      <w:pPr>
        <w:pStyle w:val="TofCHeading"/>
        <w:jc w:val="left"/>
        <w:rPr>
          <w:szCs w:val="36"/>
        </w:rPr>
      </w:pPr>
    </w:p>
    <w:p w:rsidR="002D3463" w:rsidRDefault="002D3463">
      <w:pPr>
        <w:spacing w:after="200" w:line="276" w:lineRule="auto"/>
        <w:rPr>
          <w:szCs w:val="36"/>
        </w:rPr>
        <w:sectPr w:rsidR="002D3463" w:rsidSect="00E04B8F">
          <w:headerReference w:type="default" r:id="rId12"/>
          <w:footerReference w:type="default" r:id="rId13"/>
          <w:pgSz w:w="12240" w:h="15840"/>
          <w:pgMar w:top="1440" w:right="1440" w:bottom="1440" w:left="1800" w:header="720" w:footer="720" w:gutter="0"/>
          <w:pgNumType w:fmt="lowerRoman" w:start="1"/>
          <w:cols w:space="720"/>
          <w:docGrid w:linePitch="360"/>
        </w:sectPr>
      </w:pPr>
    </w:p>
    <w:p w:rsidR="001A4315" w:rsidRPr="006A3BD6" w:rsidRDefault="001A4315" w:rsidP="001A4315">
      <w:pPr>
        <w:pStyle w:val="TofCHeading"/>
        <w:jc w:val="left"/>
        <w:rPr>
          <w:szCs w:val="36"/>
        </w:rPr>
      </w:pPr>
      <w:bookmarkStart w:id="2" w:name="_Toc271632191"/>
      <w:r w:rsidRPr="006A3BD6">
        <w:rPr>
          <w:szCs w:val="36"/>
        </w:rPr>
        <w:lastRenderedPageBreak/>
        <w:t>Preface</w:t>
      </w:r>
      <w:bookmarkEnd w:id="2"/>
    </w:p>
    <w:p w:rsidR="00CD46CA" w:rsidRPr="00EF64BC" w:rsidRDefault="00CD46CA" w:rsidP="00CD46CA">
      <w:r w:rsidRPr="009C323E">
        <w:t>ISO New England Inc. (ISO) is the not-for-profit corporation responsible for the reliable operation of New England’s power generation and</w:t>
      </w:r>
      <w:r w:rsidR="00EE300A">
        <w:t xml:space="preserve"> </w:t>
      </w:r>
      <w:r w:rsidRPr="009C323E">
        <w:t xml:space="preserve"> transmission system. It also administers the region’s wholesale electricity markets and manages the comprehensive planning of the regional power system</w:t>
      </w:r>
      <w:r>
        <w:t xml:space="preserve">. The planning process includes the preparation of an annual Regional System Plan (RSP) in accordance with </w:t>
      </w:r>
      <w:r w:rsidR="00394726">
        <w:t>Attachment </w:t>
      </w:r>
      <w:r>
        <w:t xml:space="preserve">K of the ISO’s </w:t>
      </w:r>
      <w:r>
        <w:rPr>
          <w:i/>
        </w:rPr>
        <w:t xml:space="preserve">Open Access Transmission Tariff </w:t>
      </w:r>
      <w:r>
        <w:t xml:space="preserve">(OATT), which is a part of the </w:t>
      </w:r>
      <w:r>
        <w:rPr>
          <w:i/>
          <w:iCs/>
        </w:rPr>
        <w:t>Transmission, Markets, and Services Tariff</w:t>
      </w:r>
      <w:r>
        <w:t>, approved by the Federal Energy Regulatory Commission (FERC).</w:t>
      </w:r>
      <w:r>
        <w:rPr>
          <w:rStyle w:val="FootnoteReference"/>
          <w:sz w:val="22"/>
        </w:rPr>
        <w:footnoteReference w:id="2"/>
      </w:r>
      <w:r w:rsidRPr="00B10801">
        <w:t xml:space="preserve"> Regional System Plans (RSPs) </w:t>
      </w:r>
      <w:r>
        <w:t xml:space="preserve">meet the tariff requirements by </w:t>
      </w:r>
      <w:r w:rsidRPr="00B10801">
        <w:t>includ</w:t>
      </w:r>
      <w:r>
        <w:t>ing</w:t>
      </w:r>
      <w:r w:rsidRPr="00B10801">
        <w:t xml:space="preserve"> the following</w:t>
      </w:r>
      <w:r w:rsidRPr="00560FFC">
        <w:t>:</w:t>
      </w:r>
    </w:p>
    <w:p w:rsidR="00CD46CA" w:rsidRPr="00D8466F" w:rsidRDefault="00CD46CA" w:rsidP="00BB34F0">
      <w:pPr>
        <w:pStyle w:val="ListParagraph"/>
        <w:numPr>
          <w:ilvl w:val="0"/>
          <w:numId w:val="46"/>
        </w:numPr>
        <w:spacing w:before="0" w:after="120" w:line="260" w:lineRule="atLeast"/>
        <w:ind w:right="360"/>
        <w:contextualSpacing w:val="0"/>
        <w:rPr>
          <w:rFonts w:asciiTheme="minorHAnsi" w:hAnsiTheme="minorHAnsi"/>
          <w:sz w:val="18"/>
          <w:szCs w:val="18"/>
        </w:rPr>
      </w:pPr>
      <w:r w:rsidRPr="001A6DC8">
        <w:t>Forecasts of future annual and peak loads (i.e., the demand for electricity) for a five- to 10-</w:t>
      </w:r>
      <w:r w:rsidRPr="00D8466F">
        <w:t>year planning horizon and the need for resources (i.e., capacity)</w:t>
      </w:r>
    </w:p>
    <w:p w:rsidR="00CD46CA" w:rsidRPr="00AD6DCF" w:rsidRDefault="00CD46CA" w:rsidP="00BB34F0">
      <w:pPr>
        <w:pStyle w:val="ListParagraph"/>
        <w:numPr>
          <w:ilvl w:val="0"/>
          <w:numId w:val="46"/>
        </w:numPr>
        <w:spacing w:before="0" w:after="120" w:line="260" w:lineRule="atLeast"/>
        <w:ind w:right="360"/>
        <w:contextualSpacing w:val="0"/>
        <w:rPr>
          <w:rFonts w:asciiTheme="minorHAnsi" w:hAnsiTheme="minorHAnsi"/>
          <w:sz w:val="18"/>
          <w:szCs w:val="18"/>
        </w:rPr>
      </w:pPr>
      <w:r w:rsidRPr="00D8466F">
        <w:t xml:space="preserve">Information about the amounts, locations, and characteristics of market responses that can </w:t>
      </w:r>
      <w:r w:rsidRPr="00AD6DCF">
        <w:t>meet the defined system needs to satisfy demand</w:t>
      </w:r>
      <w:r w:rsidR="00394726" w:rsidRPr="00AD6DCF">
        <w:rPr>
          <w:rFonts w:cs="Times New Roman"/>
        </w:rPr>
        <w:t>—</w:t>
      </w:r>
      <w:r w:rsidR="006309C6">
        <w:t xml:space="preserve">systemwide and in specific areas </w:t>
      </w:r>
    </w:p>
    <w:p w:rsidR="00CD46CA" w:rsidRPr="00AD6DCF" w:rsidRDefault="006309C6" w:rsidP="00BB34F0">
      <w:pPr>
        <w:pStyle w:val="ListParagraph"/>
        <w:numPr>
          <w:ilvl w:val="0"/>
          <w:numId w:val="46"/>
        </w:numPr>
        <w:spacing w:before="0" w:after="120" w:line="260" w:lineRule="atLeast"/>
        <w:ind w:right="360"/>
        <w:contextualSpacing w:val="0"/>
        <w:rPr>
          <w:rFonts w:cs="Times New Roman"/>
          <w:i/>
        </w:rPr>
      </w:pPr>
      <w:r>
        <w:rPr>
          <w:rFonts w:cs="Times New Roman"/>
        </w:rPr>
        <w:t xml:space="preserve">Descriptions of transmission </w:t>
      </w:r>
      <w:r w:rsidR="00D4331C" w:rsidRPr="00D4331C">
        <w:rPr>
          <w:rFonts w:cs="Times New Roman"/>
        </w:rPr>
        <w:t>projects for the region</w:t>
      </w:r>
      <w:r>
        <w:rPr>
          <w:rFonts w:cs="Times New Roman"/>
        </w:rPr>
        <w:t xml:space="preserve"> that </w:t>
      </w:r>
      <w:r w:rsidR="00D4331C" w:rsidRPr="00D4331C">
        <w:rPr>
          <w:rFonts w:cs="Times New Roman"/>
        </w:rPr>
        <w:t xml:space="preserve">could </w:t>
      </w:r>
      <w:r>
        <w:rPr>
          <w:rFonts w:cs="Times New Roman"/>
        </w:rPr>
        <w:t>meet the identified needs</w:t>
      </w:r>
      <w:r w:rsidR="00D4331C" w:rsidRPr="00D4331C">
        <w:rPr>
          <w:rFonts w:cs="Times New Roman"/>
        </w:rPr>
        <w:t xml:space="preserve">, as summarized </w:t>
      </w:r>
      <w:r>
        <w:rPr>
          <w:rFonts w:cs="Times New Roman"/>
        </w:rPr>
        <w:t xml:space="preserve">in an </w:t>
      </w:r>
      <w:r>
        <w:rPr>
          <w:rFonts w:cs="Times New Roman"/>
          <w:i/>
        </w:rPr>
        <w:t>RSP Project List</w:t>
      </w:r>
      <w:r>
        <w:rPr>
          <w:rFonts w:cs="Times New Roman"/>
        </w:rPr>
        <w:t xml:space="preserve">, which also </w:t>
      </w:r>
      <w:r w:rsidR="00D4331C" w:rsidRPr="00D4331C">
        <w:rPr>
          <w:rFonts w:cs="Times New Roman"/>
        </w:rPr>
        <w:t>includes information on project status and cost estimates.</w:t>
      </w:r>
      <w:r>
        <w:rPr>
          <w:rFonts w:cs="Times New Roman"/>
        </w:rPr>
        <w:t xml:space="preserve"> </w:t>
      </w:r>
    </w:p>
    <w:p w:rsidR="00CD46CA" w:rsidRPr="0061218C" w:rsidRDefault="00CD46CA" w:rsidP="00CD46CA">
      <w:r w:rsidRPr="00EF64BC">
        <w:rPr>
          <w:rFonts w:cs="Times New Roman"/>
        </w:rPr>
        <w:t>RS</w:t>
      </w:r>
      <w:r w:rsidRPr="00EF64BC">
        <w:t>Ps also must</w:t>
      </w:r>
      <w:r w:rsidRPr="00750049">
        <w:t xml:space="preserve"> summarize the </w:t>
      </w:r>
      <w:r>
        <w:t xml:space="preserve">ISO’s </w:t>
      </w:r>
      <w:r w:rsidRPr="00750049">
        <w:t xml:space="preserve">coordination of </w:t>
      </w:r>
      <w:r>
        <w:t xml:space="preserve">its </w:t>
      </w:r>
      <w:r w:rsidRPr="00750049">
        <w:t>short- and long-term</w:t>
      </w:r>
      <w:r>
        <w:t xml:space="preserve"> </w:t>
      </w:r>
      <w:r w:rsidRPr="00750049">
        <w:t xml:space="preserve">system plans with </w:t>
      </w:r>
      <w:r>
        <w:t xml:space="preserve">those of </w:t>
      </w:r>
      <w:r w:rsidRPr="00750049">
        <w:t>neighboring systems</w:t>
      </w:r>
      <w:r>
        <w:t>, the results of economic studies of the New England system,</w:t>
      </w:r>
      <w:r w:rsidRPr="00750049">
        <w:t xml:space="preserve"> and </w:t>
      </w:r>
      <w:r>
        <w:t>information for improving the design of the regional power markets</w:t>
      </w:r>
      <w:r w:rsidRPr="0091015D">
        <w:t>. In addition</w:t>
      </w:r>
      <w:r w:rsidRPr="00750049">
        <w:t xml:space="preserve"> to these requirements, the RSPs identify the initiatives and other actions the ISO, state officials, regional policymakers, transmission owners (TOs), and other </w:t>
      </w:r>
      <w:r>
        <w:t xml:space="preserve">New England Power Pool (NEPOOL) </w:t>
      </w:r>
      <w:r w:rsidRPr="00750049">
        <w:t xml:space="preserve">market participants and stakeholders can take to </w:t>
      </w:r>
      <w:r w:rsidRPr="0061218C">
        <w:t>meet the needs of the system.</w:t>
      </w:r>
      <w:r w:rsidRPr="0061218C">
        <w:rPr>
          <w:rStyle w:val="FootnoteReference"/>
          <w:sz w:val="22"/>
        </w:rPr>
        <w:footnoteReference w:id="3"/>
      </w:r>
    </w:p>
    <w:p w:rsidR="00F158B9" w:rsidRPr="0061218C" w:rsidRDefault="00CD46CA" w:rsidP="0061218C">
      <w:r w:rsidRPr="0061218C">
        <w:t xml:space="preserve">The </w:t>
      </w:r>
      <w:r w:rsidRPr="0061218C">
        <w:rPr>
          <w:i/>
        </w:rPr>
        <w:t>2010 Regional System Plan</w:t>
      </w:r>
      <w:r w:rsidRPr="0061218C">
        <w:t xml:space="preserve"> (RSP10) and the regional system planning process were developed in accordance with the requirements established in Attachment K of the OATT for the region’s 10-year electricity needs from 2010 through 2019. Where applicable throughout RSP10, Attachment K requirements </w:t>
      </w:r>
      <w:r w:rsidR="005B5523" w:rsidRPr="0061218C">
        <w:t xml:space="preserve">are included within text boxes to demonstrate how each ISO task complies with the requirements. RSP10 also refers to the </w:t>
      </w:r>
      <w:r w:rsidR="005B5523" w:rsidRPr="0061218C">
        <w:rPr>
          <w:i/>
        </w:rPr>
        <w:t>RSP Project List</w:t>
      </w:r>
      <w:r w:rsidR="0061218C" w:rsidRPr="0061218C">
        <w:t>.</w:t>
      </w:r>
      <w:r w:rsidR="005B5523" w:rsidRPr="0061218C">
        <w:t xml:space="preserve"> </w:t>
      </w:r>
    </w:p>
    <w:p w:rsidR="00F158B9" w:rsidRDefault="00CD46CA">
      <w:pPr>
        <w:keepNext/>
        <w:keepLines/>
        <w:spacing w:after="120"/>
        <w:rPr>
          <w:rFonts w:ascii="Arial" w:hAnsi="Arial" w:cs="Arial"/>
          <w:b/>
          <w:sz w:val="24"/>
          <w:szCs w:val="24"/>
        </w:rPr>
      </w:pPr>
      <w:r>
        <w:rPr>
          <w:rFonts w:ascii="Arial" w:hAnsi="Arial" w:cs="Arial"/>
          <w:b/>
          <w:sz w:val="24"/>
          <w:szCs w:val="24"/>
        </w:rPr>
        <w:t>Regional Transmission Planning Results</w:t>
      </w:r>
    </w:p>
    <w:p w:rsidR="00F158B9" w:rsidRDefault="00B462A6" w:rsidP="00F158B9">
      <w:pPr>
        <w:autoSpaceDE w:val="0"/>
        <w:autoSpaceDN w:val="0"/>
        <w:adjustRightInd w:val="0"/>
      </w:pPr>
      <w:r>
        <w:rPr>
          <w:color w:val="000000"/>
        </w:rPr>
        <w:t>On the b</w:t>
      </w:r>
      <w:r w:rsidR="00CD46CA" w:rsidRPr="009F3C18">
        <w:rPr>
          <w:color w:val="000000"/>
        </w:rPr>
        <w:t>as</w:t>
      </w:r>
      <w:r>
        <w:rPr>
          <w:color w:val="000000"/>
        </w:rPr>
        <w:t xml:space="preserve">is </w:t>
      </w:r>
      <w:r w:rsidR="00CD46CA" w:rsidRPr="009F3C18">
        <w:rPr>
          <w:color w:val="000000"/>
        </w:rPr>
        <w:t>o</w:t>
      </w:r>
      <w:r>
        <w:rPr>
          <w:color w:val="000000"/>
        </w:rPr>
        <w:t>f</w:t>
      </w:r>
      <w:r w:rsidR="00CD46CA" w:rsidRPr="009F3C18">
        <w:rPr>
          <w:color w:val="000000"/>
        </w:rPr>
        <w:t xml:space="preserve"> the results and needs described in past RSPs and supporting reports, New England’s transmission owners have constructed </w:t>
      </w:r>
      <w:r w:rsidR="00CD46CA" w:rsidRPr="009F3C18">
        <w:t>transmission projects throughout the region.</w:t>
      </w:r>
      <w:r w:rsidR="00CD46CA" w:rsidRPr="009F3C18">
        <w:rPr>
          <w:rStyle w:val="FootnoteReference"/>
          <w:sz w:val="22"/>
        </w:rPr>
        <w:footnoteReference w:id="4"/>
      </w:r>
      <w:r w:rsidR="00CD46CA" w:rsidRPr="009F3C18">
        <w:t xml:space="preserve"> These projects reinforce transmission facilities serving areas that have experienced load growth, such as Vermont, southern Maine, and the New Hampshire seacoast area</w:t>
      </w:r>
      <w:r w:rsidR="00A73FE0" w:rsidRPr="00A73FE0">
        <w:t>. The projects also reinforce</w:t>
      </w:r>
      <w:r w:rsidR="004A0F1E">
        <w:t xml:space="preserve"> </w:t>
      </w:r>
      <w:r w:rsidR="00BC7F25">
        <w:t xml:space="preserve">the system’s critical “load pockets,” such as Southwest Connecticut (SWCT) and Boston, </w:t>
      </w:r>
      <w:r w:rsidR="00A73FE0" w:rsidRPr="00A73FE0">
        <w:t>allowing the import of power from other parts of the system</w:t>
      </w:r>
      <w:r w:rsidR="00BC7F25">
        <w:t xml:space="preserve">. New interconnections with neighboring power systems have also been placed in </w:t>
      </w:r>
      <w:r w:rsidR="00BC7F25">
        <w:lastRenderedPageBreak/>
        <w:t>service. From 2002 through 2010, 341 projects will have been put into service, totaling approximately $4.3 billion of new infrastructure investment.</w:t>
      </w:r>
      <w:r w:rsidR="00BC7F25">
        <w:rPr>
          <w:rStyle w:val="FootnoteReference"/>
          <w:sz w:val="22"/>
        </w:rPr>
        <w:footnoteReference w:id="5"/>
      </w:r>
    </w:p>
    <w:p w:rsidR="00CD46CA" w:rsidRDefault="00AD6DCF" w:rsidP="00F158B9">
      <w:r>
        <w:t xml:space="preserve">In addition to the need for </w:t>
      </w:r>
      <w:r w:rsidR="00CD46CA" w:rsidRPr="002B082F">
        <w:t xml:space="preserve">transmission development, the region has responded to the need for electric energy and capacity resources. </w:t>
      </w:r>
      <w:r w:rsidR="00CD46CA" w:rsidRPr="00CB58C8">
        <w:t xml:space="preserve">Almost </w:t>
      </w:r>
      <w:r w:rsidR="00CD46CA" w:rsidRPr="0099608D">
        <w:t>12,</w:t>
      </w:r>
      <w:r w:rsidR="00CD46CA" w:rsidRPr="002330AE">
        <w:t>900 megawatts (MW) of new generating projects have been interconnected with the system since generators first submitted requests to the ISO to be interconnected to the New England power system in November 1997. Approximately 1,900 MW of demand resources currently are part of the regional power system.</w:t>
      </w:r>
      <w:r w:rsidR="00CD46CA" w:rsidRPr="00BC33F3">
        <w:rPr>
          <w:rStyle w:val="FootnoteReference"/>
          <w:sz w:val="22"/>
        </w:rPr>
        <w:footnoteReference w:id="6"/>
      </w:r>
      <w:r w:rsidR="00CD46CA" w:rsidRPr="002330AE">
        <w:t xml:space="preserve"> The</w:t>
      </w:r>
      <w:r w:rsidR="00CD46CA">
        <w:t xml:space="preserve"> New England m</w:t>
      </w:r>
      <w:r w:rsidR="00CD46CA" w:rsidRPr="0071263D">
        <w:t xml:space="preserve">arkets continue to </w:t>
      </w:r>
      <w:r w:rsidR="00CD46CA">
        <w:t xml:space="preserve">evolve </w:t>
      </w:r>
      <w:r w:rsidR="00CD46CA" w:rsidRPr="00E00569">
        <w:t xml:space="preserve">and encourage the development of resources where and when they are needed. </w:t>
      </w:r>
      <w:r w:rsidR="00CD46CA" w:rsidRPr="00FC63EB">
        <w:t xml:space="preserve">Past RSPs and market signals had identified the need for </w:t>
      </w:r>
      <w:r w:rsidR="00CD46CA" w:rsidRPr="00A86A4E">
        <w:t>generation in load pockets</w:t>
      </w:r>
      <w:r w:rsidR="00CD46CA">
        <w:t>, including</w:t>
      </w:r>
      <w:r w:rsidR="00CD46CA" w:rsidRPr="00A86A4E">
        <w:t xml:space="preserve"> “fast-start” </w:t>
      </w:r>
      <w:r w:rsidR="00CD46CA" w:rsidRPr="00B10801">
        <w:t xml:space="preserve">resources, which can quickly reach rated capability to help meet </w:t>
      </w:r>
      <w:r w:rsidR="006309C6">
        <w:t xml:space="preserve">reliability requirements and reduce the amount of time generators run </w:t>
      </w:r>
      <w:r w:rsidR="00D4331C" w:rsidRPr="00D4331C">
        <w:t>uneconomically.</w:t>
      </w:r>
    </w:p>
    <w:p w:rsidR="00CD46CA" w:rsidRPr="00860F73" w:rsidRDefault="00CD46CA" w:rsidP="00CD46CA">
      <w:r>
        <w:t xml:space="preserve">According to the U.S. Department of Energy (DOE) </w:t>
      </w:r>
      <w:r w:rsidRPr="00860F73">
        <w:rPr>
          <w:i/>
        </w:rPr>
        <w:t>2009 National Electric Transmission Congestion Stud</w:t>
      </w:r>
      <w:r>
        <w:rPr>
          <w:i/>
        </w:rPr>
        <w:t>y,</w:t>
      </w:r>
      <w:r w:rsidRPr="00E00569">
        <w:t xml:space="preserve"> </w:t>
      </w:r>
      <w:r>
        <w:t xml:space="preserve">which </w:t>
      </w:r>
      <w:r w:rsidRPr="00860F73">
        <w:t>summarize</w:t>
      </w:r>
      <w:r>
        <w:t>d</w:t>
      </w:r>
      <w:r w:rsidRPr="00860F73">
        <w:t xml:space="preserve"> the amounts of congestion throughout the Eastern Interconnection</w:t>
      </w:r>
      <w:r>
        <w:t xml:space="preserve">, </w:t>
      </w:r>
      <w:r w:rsidRPr="00E00569">
        <w:t>the</w:t>
      </w:r>
      <w:r>
        <w:t xml:space="preserve"> New England system currently experiences little system </w:t>
      </w:r>
      <w:r w:rsidRPr="00F52AFE">
        <w:t>congestion</w:t>
      </w:r>
      <w:r>
        <w:t>.</w:t>
      </w:r>
      <w:r w:rsidRPr="00BC33F3">
        <w:rPr>
          <w:rStyle w:val="FootnoteReference"/>
          <w:sz w:val="22"/>
        </w:rPr>
        <w:footnoteReference w:id="7"/>
      </w:r>
      <w:r w:rsidRPr="00BC33F3">
        <w:t xml:space="preserve"> </w:t>
      </w:r>
      <w:r>
        <w:t xml:space="preserve">The report </w:t>
      </w:r>
      <w:r w:rsidRPr="009C033B">
        <w:t>cit</w:t>
      </w:r>
      <w:r>
        <w:t>ed</w:t>
      </w:r>
      <w:r w:rsidRPr="009C033B">
        <w:t xml:space="preserve"> the region’s “multi-faceted approach</w:t>
      </w:r>
      <w:r>
        <w:t>,</w:t>
      </w:r>
      <w:r w:rsidRPr="009C033B">
        <w:t xml:space="preserve">” </w:t>
      </w:r>
      <w:r>
        <w:t xml:space="preserve">which </w:t>
      </w:r>
      <w:r w:rsidRPr="009C033B">
        <w:t>has spurred investment in new supply-</w:t>
      </w:r>
      <w:r>
        <w:t xml:space="preserve"> </w:t>
      </w:r>
      <w:r w:rsidRPr="009C033B">
        <w:t>and demand-side resources</w:t>
      </w:r>
      <w:r>
        <w:t xml:space="preserve"> and the </w:t>
      </w:r>
      <w:r w:rsidRPr="009C033B">
        <w:t>planning and development of extensive transmission upgrades</w:t>
      </w:r>
      <w:r w:rsidRPr="00860F73">
        <w:t>.</w:t>
      </w:r>
      <w:r>
        <w:t xml:space="preserve"> </w:t>
      </w:r>
      <w:hyperlink w:history="1"/>
      <w:r>
        <w:t>A</w:t>
      </w:r>
      <w:r w:rsidRPr="00860F73">
        <w:t>s a result, DOE removed New England as “an area of concern” for the identification of National Interest Electric Transmission Corridors.</w:t>
      </w:r>
    </w:p>
    <w:p w:rsidR="00CD46CA" w:rsidRDefault="00CD46CA" w:rsidP="00CD46CA">
      <w:pPr>
        <w:spacing w:after="120"/>
        <w:rPr>
          <w:rFonts w:ascii="Arial" w:hAnsi="Arial" w:cs="Arial"/>
          <w:b/>
          <w:sz w:val="24"/>
          <w:szCs w:val="24"/>
        </w:rPr>
      </w:pPr>
      <w:r w:rsidRPr="00315544">
        <w:rPr>
          <w:rFonts w:ascii="Arial" w:hAnsi="Arial" w:cs="Arial"/>
          <w:b/>
          <w:sz w:val="24"/>
          <w:szCs w:val="24"/>
        </w:rPr>
        <w:t>RSP10 Review and Approval</w:t>
      </w:r>
    </w:p>
    <w:p w:rsidR="00CD46CA" w:rsidRPr="004640A0" w:rsidRDefault="00CD46CA" w:rsidP="00CD46CA">
      <w:r w:rsidRPr="00DF31A6">
        <w:t xml:space="preserve">The regional system planning process in New England is open and transparent and </w:t>
      </w:r>
      <w:r>
        <w:t xml:space="preserve">reflects </w:t>
      </w:r>
      <w:r w:rsidRPr="00DF31A6">
        <w:t>advisory input from regional stakeholders, particularly members of the Planning Advisory Committee (PAC), according to the requirements specified in Attachment K</w:t>
      </w:r>
      <w:r>
        <w:t xml:space="preserve">. </w:t>
      </w:r>
      <w:r w:rsidRPr="009246C7">
        <w:t xml:space="preserve">The PAC is open to all parties interested in regional </w:t>
      </w:r>
      <w:r w:rsidRPr="00B10801">
        <w:t xml:space="preserve">system planning activities in New England. </w:t>
      </w:r>
    </w:p>
    <w:p w:rsidR="00CD46CA" w:rsidRDefault="00CD46CA" w:rsidP="00CD46CA">
      <w:pPr>
        <w:rPr>
          <w:color w:val="211D1E"/>
        </w:rPr>
      </w:pPr>
      <w:r w:rsidRPr="00B10801">
        <w:t xml:space="preserve">The ISO and the PAC have discussed </w:t>
      </w:r>
      <w:r w:rsidRPr="004640A0">
        <w:t>study proposals</w:t>
      </w:r>
      <w:r w:rsidRPr="00B10801">
        <w:t xml:space="preserve">, scopes of work, assumptions, and draft and </w:t>
      </w:r>
      <w:r w:rsidRPr="004640A0">
        <w:t>final results</w:t>
      </w:r>
      <w:r>
        <w:t xml:space="preserve"> </w:t>
      </w:r>
      <w:r w:rsidRPr="004640A0">
        <w:t xml:space="preserve">and </w:t>
      </w:r>
      <w:r>
        <w:t xml:space="preserve">other </w:t>
      </w:r>
      <w:r w:rsidRPr="004640A0">
        <w:t xml:space="preserve">materials </w:t>
      </w:r>
      <w:r w:rsidRPr="00B10801">
        <w:t>appearing in RSP10. From September</w:t>
      </w:r>
      <w:r>
        <w:t xml:space="preserve"> 2009 through September 2010, the ISO hosted </w:t>
      </w:r>
      <w:r w:rsidR="0041651B">
        <w:t>12 PAC meetings</w:t>
      </w:r>
      <w:r w:rsidR="0085332C">
        <w:t xml:space="preserve">, which </w:t>
      </w:r>
      <w:r w:rsidR="00A674BE">
        <w:t xml:space="preserve">were attended by </w:t>
      </w:r>
      <w:r w:rsidR="0085332C">
        <w:t>208 individual</w:t>
      </w:r>
      <w:r w:rsidR="00FB3A74">
        <w:t xml:space="preserve">s </w:t>
      </w:r>
      <w:r w:rsidR="0041651B">
        <w:t xml:space="preserve">representing 145 entities. </w:t>
      </w:r>
      <w:r w:rsidR="00A87177">
        <w:t xml:space="preserve">A </w:t>
      </w:r>
      <w:r w:rsidR="00457A0C">
        <w:t xml:space="preserve">total </w:t>
      </w:r>
      <w:r w:rsidR="00A87177">
        <w:t xml:space="preserve">of 665 </w:t>
      </w:r>
      <w:r w:rsidR="0085332C">
        <w:t>stakeholder</w:t>
      </w:r>
      <w:r w:rsidR="00A87177">
        <w:t>s</w:t>
      </w:r>
      <w:r w:rsidR="0085332C">
        <w:t xml:space="preserve"> </w:t>
      </w:r>
      <w:r w:rsidR="0041651B">
        <w:t>attend</w:t>
      </w:r>
      <w:r w:rsidR="00A87177">
        <w:t>ed</w:t>
      </w:r>
      <w:r w:rsidR="00D4331C" w:rsidRPr="00D4331C">
        <w:t>,</w:t>
      </w:r>
      <w:r w:rsidR="0085332C">
        <w:t xml:space="preserve"> </w:t>
      </w:r>
      <w:r w:rsidR="003E586C" w:rsidRPr="003E586C">
        <w:t>signifying</w:t>
      </w:r>
      <w:r w:rsidRPr="003E586C">
        <w:t xml:space="preserve"> over</w:t>
      </w:r>
      <w:r>
        <w:t xml:space="preserve"> </w:t>
      </w:r>
      <w:r w:rsidR="00164653">
        <w:t>4,</w:t>
      </w:r>
      <w:r w:rsidR="0041651B">
        <w:t>000 workforce</w:t>
      </w:r>
      <w:r>
        <w:t xml:space="preserve"> hours of participation. The ISO also posted to its Web site PAC presentations, meeting minutes, and other materials.</w:t>
      </w:r>
      <w:r w:rsidRPr="00BC33F3">
        <w:rPr>
          <w:rStyle w:val="FootnoteReference"/>
          <w:sz w:val="22"/>
        </w:rPr>
        <w:footnoteReference w:id="8"/>
      </w:r>
      <w:r w:rsidRPr="00BC33F3">
        <w:t xml:space="preserve"> </w:t>
      </w:r>
    </w:p>
    <w:p w:rsidR="00CD46CA" w:rsidRDefault="00CD46CA" w:rsidP="00CD46CA">
      <w:r>
        <w:rPr>
          <w:color w:val="211D1E"/>
        </w:rPr>
        <w:t>As required by the OATT Attachment K, t</w:t>
      </w:r>
      <w:r w:rsidRPr="00913900">
        <w:rPr>
          <w:color w:val="211D1E"/>
        </w:rPr>
        <w:t xml:space="preserve">he </w:t>
      </w:r>
      <w:r>
        <w:rPr>
          <w:color w:val="211D1E"/>
        </w:rPr>
        <w:t xml:space="preserve">ISO New England Board of Directors </w:t>
      </w:r>
      <w:r w:rsidRPr="0033467D">
        <w:rPr>
          <w:color w:val="211D1E"/>
        </w:rPr>
        <w:t>has approved</w:t>
      </w:r>
      <w:r>
        <w:rPr>
          <w:color w:val="211D1E"/>
        </w:rPr>
        <w:t xml:space="preserve"> the </w:t>
      </w:r>
      <w:r w:rsidRPr="00343F8B">
        <w:rPr>
          <w:i/>
          <w:color w:val="211D1E"/>
        </w:rPr>
        <w:t>2010 Regional System Plan</w:t>
      </w:r>
      <w:r>
        <w:rPr>
          <w:color w:val="211D1E"/>
        </w:rPr>
        <w:t>.</w:t>
      </w:r>
    </w:p>
    <w:p w:rsidR="00CD46CA" w:rsidRPr="0033467D" w:rsidRDefault="00CD46CA" w:rsidP="00CD46CA">
      <w:pPr>
        <w:pStyle w:val="Default"/>
        <w:rPr>
          <w:color w:val="211D1E"/>
          <w:sz w:val="22"/>
          <w:szCs w:val="22"/>
        </w:rPr>
        <w:sectPr w:rsidR="00CD46CA" w:rsidRPr="0033467D" w:rsidSect="00015282">
          <w:headerReference w:type="default" r:id="rId14"/>
          <w:footerReference w:type="default" r:id="rId15"/>
          <w:pgSz w:w="12240" w:h="15840"/>
          <w:pgMar w:top="1350" w:right="1440" w:bottom="1440" w:left="1440" w:header="720" w:footer="720" w:gutter="0"/>
          <w:pgNumType w:fmt="lowerRoman" w:start="1"/>
          <w:cols w:space="720"/>
          <w:docGrid w:linePitch="360"/>
        </w:sectPr>
      </w:pPr>
    </w:p>
    <w:p w:rsidR="00FC4DCC" w:rsidRPr="00E92855" w:rsidRDefault="003F14FC" w:rsidP="00E41E3A">
      <w:pPr>
        <w:outlineLvl w:val="0"/>
        <w:rPr>
          <w:rFonts w:ascii="Arial" w:hAnsi="Arial" w:cs="Arial"/>
          <w:b/>
          <w:sz w:val="36"/>
          <w:szCs w:val="36"/>
        </w:rPr>
      </w:pPr>
      <w:bookmarkStart w:id="3" w:name="_Toc262722601"/>
      <w:bookmarkStart w:id="4" w:name="_Toc267323565"/>
      <w:bookmarkStart w:id="5" w:name="_Toc271552445"/>
      <w:bookmarkStart w:id="6" w:name="_Toc271632192"/>
      <w:r w:rsidRPr="00E92855">
        <w:rPr>
          <w:rFonts w:ascii="Arial" w:hAnsi="Arial" w:cs="Arial"/>
          <w:b/>
          <w:sz w:val="36"/>
          <w:szCs w:val="36"/>
        </w:rPr>
        <w:lastRenderedPageBreak/>
        <w:t>Contents</w:t>
      </w:r>
      <w:bookmarkEnd w:id="3"/>
      <w:bookmarkEnd w:id="4"/>
      <w:bookmarkEnd w:id="5"/>
      <w:bookmarkEnd w:id="6"/>
    </w:p>
    <w:p w:rsidR="003E29CF" w:rsidRPr="003E29CF" w:rsidRDefault="00832C7A">
      <w:pPr>
        <w:pStyle w:val="TOC1"/>
        <w:rPr>
          <w:rFonts w:asciiTheme="minorHAnsi" w:eastAsiaTheme="minorEastAsia" w:hAnsiTheme="minorHAnsi"/>
          <w:b w:val="0"/>
          <w:sz w:val="22"/>
        </w:rPr>
      </w:pPr>
      <w:r w:rsidRPr="00832C7A">
        <w:rPr>
          <w:rFonts w:cs="Arial"/>
          <w:b w:val="0"/>
          <w:sz w:val="22"/>
        </w:rPr>
        <w:fldChar w:fldCharType="begin"/>
      </w:r>
      <w:r w:rsidR="00130F43" w:rsidRPr="003E29CF">
        <w:rPr>
          <w:rFonts w:cs="Arial"/>
          <w:b w:val="0"/>
          <w:sz w:val="22"/>
        </w:rPr>
        <w:instrText xml:space="preserve"> TOC \o "1-3" \h \z \u </w:instrText>
      </w:r>
      <w:r w:rsidRPr="00832C7A">
        <w:rPr>
          <w:rFonts w:cs="Arial"/>
          <w:b w:val="0"/>
          <w:sz w:val="22"/>
        </w:rPr>
        <w:fldChar w:fldCharType="separate"/>
      </w:r>
      <w:hyperlink w:anchor="_Toc271632191" w:history="1">
        <w:r w:rsidR="003E29CF" w:rsidRPr="003E29CF">
          <w:rPr>
            <w:rStyle w:val="Hyperlink"/>
            <w:sz w:val="22"/>
          </w:rPr>
          <w:t>Preface</w:t>
        </w:r>
        <w:r w:rsidR="003E29CF" w:rsidRPr="003E29CF">
          <w:rPr>
            <w:webHidden/>
            <w:sz w:val="22"/>
          </w:rPr>
          <w:tab/>
        </w:r>
        <w:r w:rsidRPr="003E29CF">
          <w:rPr>
            <w:webHidden/>
            <w:sz w:val="22"/>
          </w:rPr>
          <w:fldChar w:fldCharType="begin"/>
        </w:r>
        <w:r w:rsidR="003E29CF" w:rsidRPr="003E29CF">
          <w:rPr>
            <w:webHidden/>
            <w:sz w:val="22"/>
          </w:rPr>
          <w:instrText xml:space="preserve"> PAGEREF _Toc271632191 \h </w:instrText>
        </w:r>
        <w:r w:rsidRPr="003E29CF">
          <w:rPr>
            <w:webHidden/>
            <w:sz w:val="22"/>
          </w:rPr>
        </w:r>
        <w:r w:rsidRPr="003E29CF">
          <w:rPr>
            <w:webHidden/>
            <w:sz w:val="22"/>
          </w:rPr>
          <w:fldChar w:fldCharType="separate"/>
        </w:r>
        <w:r w:rsidR="00E5699E">
          <w:rPr>
            <w:webHidden/>
            <w:sz w:val="22"/>
          </w:rPr>
          <w:t>i</w:t>
        </w:r>
        <w:r w:rsidRPr="003E29CF">
          <w:rPr>
            <w:webHidden/>
            <w:sz w:val="22"/>
          </w:rPr>
          <w:fldChar w:fldCharType="end"/>
        </w:r>
      </w:hyperlink>
    </w:p>
    <w:p w:rsidR="003E29CF" w:rsidRPr="003E29CF" w:rsidRDefault="00832C7A">
      <w:pPr>
        <w:pStyle w:val="TOC1"/>
        <w:rPr>
          <w:rFonts w:asciiTheme="minorHAnsi" w:eastAsiaTheme="minorEastAsia" w:hAnsiTheme="minorHAnsi"/>
          <w:b w:val="0"/>
          <w:sz w:val="22"/>
        </w:rPr>
      </w:pPr>
      <w:hyperlink w:anchor="_Toc271632193" w:history="1">
        <w:r w:rsidR="003E29CF" w:rsidRPr="003E29CF">
          <w:rPr>
            <w:rStyle w:val="Hyperlink"/>
            <w:rFonts w:cs="Arial"/>
            <w:sz w:val="22"/>
          </w:rPr>
          <w:t>Figures</w:t>
        </w:r>
        <w:r w:rsidR="003E29CF" w:rsidRPr="003E29CF">
          <w:rPr>
            <w:webHidden/>
            <w:sz w:val="22"/>
          </w:rPr>
          <w:tab/>
        </w:r>
        <w:r w:rsidRPr="003E29CF">
          <w:rPr>
            <w:webHidden/>
            <w:sz w:val="22"/>
          </w:rPr>
          <w:fldChar w:fldCharType="begin"/>
        </w:r>
        <w:r w:rsidR="003E29CF" w:rsidRPr="003E29CF">
          <w:rPr>
            <w:webHidden/>
            <w:sz w:val="22"/>
          </w:rPr>
          <w:instrText xml:space="preserve"> PAGEREF _Toc271632193 \h </w:instrText>
        </w:r>
        <w:r w:rsidRPr="003E29CF">
          <w:rPr>
            <w:webHidden/>
            <w:sz w:val="22"/>
          </w:rPr>
        </w:r>
        <w:r w:rsidRPr="003E29CF">
          <w:rPr>
            <w:webHidden/>
            <w:sz w:val="22"/>
          </w:rPr>
          <w:fldChar w:fldCharType="separate"/>
        </w:r>
        <w:r w:rsidR="00E5699E">
          <w:rPr>
            <w:webHidden/>
            <w:sz w:val="22"/>
          </w:rPr>
          <w:t>viii</w:t>
        </w:r>
        <w:r w:rsidRPr="003E29CF">
          <w:rPr>
            <w:webHidden/>
            <w:sz w:val="22"/>
          </w:rPr>
          <w:fldChar w:fldCharType="end"/>
        </w:r>
      </w:hyperlink>
    </w:p>
    <w:p w:rsidR="003E29CF" w:rsidRPr="003E29CF" w:rsidRDefault="00832C7A">
      <w:pPr>
        <w:pStyle w:val="TOC1"/>
        <w:rPr>
          <w:rFonts w:asciiTheme="minorHAnsi" w:eastAsiaTheme="minorEastAsia" w:hAnsiTheme="minorHAnsi"/>
          <w:b w:val="0"/>
          <w:sz w:val="22"/>
        </w:rPr>
      </w:pPr>
      <w:hyperlink w:anchor="_Toc271632194" w:history="1">
        <w:r w:rsidR="003E29CF" w:rsidRPr="003E29CF">
          <w:rPr>
            <w:rStyle w:val="Hyperlink"/>
            <w:rFonts w:cs="Arial"/>
            <w:sz w:val="22"/>
          </w:rPr>
          <w:t>Tables</w:t>
        </w:r>
        <w:r w:rsidR="003E29CF" w:rsidRPr="003E29CF">
          <w:rPr>
            <w:webHidden/>
            <w:sz w:val="22"/>
          </w:rPr>
          <w:tab/>
        </w:r>
        <w:r w:rsidRPr="003E29CF">
          <w:rPr>
            <w:webHidden/>
            <w:sz w:val="22"/>
          </w:rPr>
          <w:fldChar w:fldCharType="begin"/>
        </w:r>
        <w:r w:rsidR="003E29CF" w:rsidRPr="003E29CF">
          <w:rPr>
            <w:webHidden/>
            <w:sz w:val="22"/>
          </w:rPr>
          <w:instrText xml:space="preserve"> PAGEREF _Toc271632194 \h </w:instrText>
        </w:r>
        <w:r w:rsidRPr="003E29CF">
          <w:rPr>
            <w:webHidden/>
            <w:sz w:val="22"/>
          </w:rPr>
        </w:r>
        <w:r w:rsidRPr="003E29CF">
          <w:rPr>
            <w:webHidden/>
            <w:sz w:val="22"/>
          </w:rPr>
          <w:fldChar w:fldCharType="separate"/>
        </w:r>
        <w:r w:rsidR="00E5699E">
          <w:rPr>
            <w:webHidden/>
            <w:sz w:val="22"/>
          </w:rPr>
          <w:t>x</w:t>
        </w:r>
        <w:r w:rsidRPr="003E29CF">
          <w:rPr>
            <w:webHidden/>
            <w:sz w:val="22"/>
          </w:rPr>
          <w:fldChar w:fldCharType="end"/>
        </w:r>
      </w:hyperlink>
    </w:p>
    <w:p w:rsidR="003E29CF" w:rsidRPr="003E29CF" w:rsidRDefault="003E29CF">
      <w:pPr>
        <w:pStyle w:val="TOC1"/>
        <w:rPr>
          <w:rStyle w:val="Hyperlink"/>
          <w:sz w:val="22"/>
        </w:rPr>
      </w:pPr>
    </w:p>
    <w:p w:rsidR="003E29CF" w:rsidRPr="003E29CF" w:rsidRDefault="00832C7A">
      <w:pPr>
        <w:pStyle w:val="TOC1"/>
        <w:rPr>
          <w:rFonts w:asciiTheme="minorHAnsi" w:eastAsiaTheme="minorEastAsia" w:hAnsiTheme="minorHAnsi"/>
          <w:b w:val="0"/>
          <w:sz w:val="22"/>
        </w:rPr>
      </w:pPr>
      <w:hyperlink w:anchor="_Toc271632195" w:history="1">
        <w:r w:rsidR="003E29CF" w:rsidRPr="003E29CF">
          <w:rPr>
            <w:rStyle w:val="Hyperlink"/>
            <w:sz w:val="22"/>
          </w:rPr>
          <w:t>Section 1</w:t>
        </w:r>
        <w:r w:rsidR="003E29CF">
          <w:rPr>
            <w:rStyle w:val="Hyperlink"/>
            <w:sz w:val="22"/>
          </w:rPr>
          <w:br/>
        </w:r>
        <w:r w:rsidR="003E29CF" w:rsidRPr="003E29CF">
          <w:rPr>
            <w:rStyle w:val="Hyperlink"/>
            <w:sz w:val="22"/>
          </w:rPr>
          <w:t>Executive Summary</w:t>
        </w:r>
        <w:r w:rsidR="003E29CF" w:rsidRPr="003E29CF">
          <w:rPr>
            <w:webHidden/>
            <w:sz w:val="22"/>
          </w:rPr>
          <w:tab/>
        </w:r>
        <w:r w:rsidRPr="003E29CF">
          <w:rPr>
            <w:webHidden/>
            <w:sz w:val="22"/>
          </w:rPr>
          <w:fldChar w:fldCharType="begin"/>
        </w:r>
        <w:r w:rsidR="003E29CF" w:rsidRPr="003E29CF">
          <w:rPr>
            <w:webHidden/>
            <w:sz w:val="22"/>
          </w:rPr>
          <w:instrText xml:space="preserve"> PAGEREF _Toc271632195 \h </w:instrText>
        </w:r>
        <w:r w:rsidRPr="003E29CF">
          <w:rPr>
            <w:webHidden/>
            <w:sz w:val="22"/>
          </w:rPr>
        </w:r>
        <w:r w:rsidRPr="003E29CF">
          <w:rPr>
            <w:webHidden/>
            <w:sz w:val="22"/>
          </w:rPr>
          <w:fldChar w:fldCharType="separate"/>
        </w:r>
        <w:r w:rsidR="00E5699E">
          <w:rPr>
            <w:webHidden/>
            <w:sz w:val="22"/>
          </w:rPr>
          <w:t>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196" w:history="1">
        <w:r w:rsidR="003E29CF" w:rsidRPr="003E29CF">
          <w:rPr>
            <w:rStyle w:val="Hyperlink"/>
            <w:noProof/>
          </w:rPr>
          <w:t>1.1 Major Findings and Observations</w:t>
        </w:r>
        <w:r w:rsidR="003E29CF" w:rsidRPr="003E29CF">
          <w:rPr>
            <w:noProof/>
            <w:webHidden/>
          </w:rPr>
          <w:tab/>
        </w:r>
        <w:r w:rsidRPr="003E29CF">
          <w:rPr>
            <w:noProof/>
            <w:webHidden/>
          </w:rPr>
          <w:fldChar w:fldCharType="begin"/>
        </w:r>
        <w:r w:rsidR="003E29CF" w:rsidRPr="003E29CF">
          <w:rPr>
            <w:noProof/>
            <w:webHidden/>
          </w:rPr>
          <w:instrText xml:space="preserve"> PAGEREF _Toc271632196 \h </w:instrText>
        </w:r>
        <w:r w:rsidRPr="003E29CF">
          <w:rPr>
            <w:noProof/>
            <w:webHidden/>
          </w:rPr>
        </w:r>
        <w:r w:rsidRPr="003E29CF">
          <w:rPr>
            <w:noProof/>
            <w:webHidden/>
          </w:rPr>
          <w:fldChar w:fldCharType="separate"/>
        </w:r>
        <w:r w:rsidR="00E5699E">
          <w:rPr>
            <w:noProof/>
            <w:webHidden/>
          </w:rPr>
          <w:t>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197" w:history="1">
        <w:r w:rsidR="003E29CF" w:rsidRPr="003E29CF">
          <w:rPr>
            <w:rStyle w:val="Hyperlink"/>
            <w:rFonts w:cs="Times New Roman"/>
            <w:noProof/>
          </w:rPr>
          <w:t>1.1.1</w:t>
        </w:r>
        <w:r w:rsidR="003E29CF" w:rsidRPr="003E29CF">
          <w:rPr>
            <w:rStyle w:val="Hyperlink"/>
            <w:noProof/>
          </w:rPr>
          <w:t xml:space="preserve"> Forecasting the Annual and Peak Use of Electric Energy and Load Growth</w:t>
        </w:r>
        <w:r w:rsidR="003E29CF" w:rsidRPr="003E29CF">
          <w:rPr>
            <w:noProof/>
            <w:webHidden/>
          </w:rPr>
          <w:tab/>
        </w:r>
        <w:r w:rsidRPr="003E29CF">
          <w:rPr>
            <w:noProof/>
            <w:webHidden/>
          </w:rPr>
          <w:fldChar w:fldCharType="begin"/>
        </w:r>
        <w:r w:rsidR="003E29CF" w:rsidRPr="003E29CF">
          <w:rPr>
            <w:noProof/>
            <w:webHidden/>
          </w:rPr>
          <w:instrText xml:space="preserve"> PAGEREF _Toc271632197 \h </w:instrText>
        </w:r>
        <w:r w:rsidRPr="003E29CF">
          <w:rPr>
            <w:noProof/>
            <w:webHidden/>
          </w:rPr>
        </w:r>
        <w:r w:rsidRPr="003E29CF">
          <w:rPr>
            <w:noProof/>
            <w:webHidden/>
          </w:rPr>
          <w:fldChar w:fldCharType="separate"/>
        </w:r>
        <w:r w:rsidR="00E5699E">
          <w:rPr>
            <w:noProof/>
            <w:webHidden/>
          </w:rPr>
          <w:t>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198" w:history="1">
        <w:r w:rsidR="003E29CF" w:rsidRPr="003E29CF">
          <w:rPr>
            <w:rStyle w:val="Hyperlink"/>
            <w:rFonts w:cs="Times New Roman"/>
            <w:noProof/>
          </w:rPr>
          <w:t>1.1.2</w:t>
        </w:r>
        <w:r w:rsidR="003E29CF" w:rsidRPr="003E29CF">
          <w:rPr>
            <w:rStyle w:val="Hyperlink"/>
            <w:noProof/>
          </w:rPr>
          <w:t xml:space="preserve"> Identifying Needs for Capacity and Operating Reserves</w:t>
        </w:r>
        <w:r w:rsidR="003E29CF" w:rsidRPr="003E29CF">
          <w:rPr>
            <w:noProof/>
            <w:webHidden/>
          </w:rPr>
          <w:tab/>
        </w:r>
        <w:r w:rsidRPr="003E29CF">
          <w:rPr>
            <w:noProof/>
            <w:webHidden/>
          </w:rPr>
          <w:fldChar w:fldCharType="begin"/>
        </w:r>
        <w:r w:rsidR="003E29CF" w:rsidRPr="003E29CF">
          <w:rPr>
            <w:noProof/>
            <w:webHidden/>
          </w:rPr>
          <w:instrText xml:space="preserve"> PAGEREF _Toc271632198 \h </w:instrText>
        </w:r>
        <w:r w:rsidRPr="003E29CF">
          <w:rPr>
            <w:noProof/>
            <w:webHidden/>
          </w:rPr>
        </w:r>
        <w:r w:rsidRPr="003E29CF">
          <w:rPr>
            <w:noProof/>
            <w:webHidden/>
          </w:rPr>
          <w:fldChar w:fldCharType="separate"/>
        </w:r>
        <w:r w:rsidR="00E5699E">
          <w:rPr>
            <w:noProof/>
            <w:webHidden/>
          </w:rPr>
          <w:t>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199" w:history="1">
        <w:r w:rsidR="003E29CF" w:rsidRPr="003E29CF">
          <w:rPr>
            <w:rStyle w:val="Hyperlink"/>
            <w:rFonts w:cs="Times New Roman"/>
            <w:noProof/>
          </w:rPr>
          <w:t>1.1.3</w:t>
        </w:r>
        <w:r w:rsidR="003E29CF" w:rsidRPr="003E29CF">
          <w:rPr>
            <w:rStyle w:val="Hyperlink"/>
            <w:noProof/>
          </w:rPr>
          <w:t xml:space="preserve"> Identifying Transmission System Needs and Solutions</w:t>
        </w:r>
        <w:r w:rsidR="003E29CF" w:rsidRPr="003E29CF">
          <w:rPr>
            <w:noProof/>
            <w:webHidden/>
          </w:rPr>
          <w:tab/>
        </w:r>
        <w:r w:rsidRPr="003E29CF">
          <w:rPr>
            <w:noProof/>
            <w:webHidden/>
          </w:rPr>
          <w:fldChar w:fldCharType="begin"/>
        </w:r>
        <w:r w:rsidR="003E29CF" w:rsidRPr="003E29CF">
          <w:rPr>
            <w:noProof/>
            <w:webHidden/>
          </w:rPr>
          <w:instrText xml:space="preserve"> PAGEREF _Toc271632199 \h </w:instrText>
        </w:r>
        <w:r w:rsidRPr="003E29CF">
          <w:rPr>
            <w:noProof/>
            <w:webHidden/>
          </w:rPr>
        </w:r>
        <w:r w:rsidRPr="003E29CF">
          <w:rPr>
            <w:noProof/>
            <w:webHidden/>
          </w:rPr>
          <w:fldChar w:fldCharType="separate"/>
        </w:r>
        <w:r w:rsidR="00E5699E">
          <w:rPr>
            <w:noProof/>
            <w:webHidden/>
          </w:rPr>
          <w:t>3</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00" w:history="1">
        <w:r w:rsidR="003E29CF" w:rsidRPr="003E29CF">
          <w:rPr>
            <w:rStyle w:val="Hyperlink"/>
            <w:rFonts w:cs="Times New Roman"/>
            <w:noProof/>
          </w:rPr>
          <w:t>1.1.4</w:t>
        </w:r>
        <w:r w:rsidR="003E29CF" w:rsidRPr="003E29CF">
          <w:rPr>
            <w:rStyle w:val="Hyperlink"/>
            <w:noProof/>
          </w:rPr>
          <w:t xml:space="preserve"> Developing and Integrating Resources</w:t>
        </w:r>
        <w:r w:rsidR="003E29CF" w:rsidRPr="003E29CF">
          <w:rPr>
            <w:noProof/>
            <w:webHidden/>
          </w:rPr>
          <w:tab/>
        </w:r>
        <w:r w:rsidRPr="003E29CF">
          <w:rPr>
            <w:noProof/>
            <w:webHidden/>
          </w:rPr>
          <w:fldChar w:fldCharType="begin"/>
        </w:r>
        <w:r w:rsidR="003E29CF" w:rsidRPr="003E29CF">
          <w:rPr>
            <w:noProof/>
            <w:webHidden/>
          </w:rPr>
          <w:instrText xml:space="preserve"> PAGEREF _Toc271632200 \h </w:instrText>
        </w:r>
        <w:r w:rsidRPr="003E29CF">
          <w:rPr>
            <w:noProof/>
            <w:webHidden/>
          </w:rPr>
        </w:r>
        <w:r w:rsidRPr="003E29CF">
          <w:rPr>
            <w:noProof/>
            <w:webHidden/>
          </w:rPr>
          <w:fldChar w:fldCharType="separate"/>
        </w:r>
        <w:r w:rsidR="00E5699E">
          <w:rPr>
            <w:noProof/>
            <w:webHidden/>
          </w:rPr>
          <w:t>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01" w:history="1">
        <w:r w:rsidR="003E29CF" w:rsidRPr="003E29CF">
          <w:rPr>
            <w:rStyle w:val="Hyperlink"/>
            <w:rFonts w:cs="Times New Roman"/>
            <w:noProof/>
          </w:rPr>
          <w:t>1.1.5</w:t>
        </w:r>
        <w:r w:rsidR="003E29CF" w:rsidRPr="003E29CF">
          <w:rPr>
            <w:rStyle w:val="Hyperlink"/>
            <w:noProof/>
          </w:rPr>
          <w:t xml:space="preserve"> Supporting State, Regional, and Federal Initiatives that Affect System Planning</w:t>
        </w:r>
        <w:r w:rsidR="003E29CF" w:rsidRPr="003E29CF">
          <w:rPr>
            <w:noProof/>
            <w:webHidden/>
          </w:rPr>
          <w:tab/>
        </w:r>
        <w:r w:rsidRPr="003E29CF">
          <w:rPr>
            <w:noProof/>
            <w:webHidden/>
          </w:rPr>
          <w:fldChar w:fldCharType="begin"/>
        </w:r>
        <w:r w:rsidR="003E29CF" w:rsidRPr="003E29CF">
          <w:rPr>
            <w:noProof/>
            <w:webHidden/>
          </w:rPr>
          <w:instrText xml:space="preserve"> PAGEREF _Toc271632201 \h </w:instrText>
        </w:r>
        <w:r w:rsidRPr="003E29CF">
          <w:rPr>
            <w:noProof/>
            <w:webHidden/>
          </w:rPr>
        </w:r>
        <w:r w:rsidRPr="003E29CF">
          <w:rPr>
            <w:noProof/>
            <w:webHidden/>
          </w:rPr>
          <w:fldChar w:fldCharType="separate"/>
        </w:r>
        <w:r w:rsidR="00E5699E">
          <w:rPr>
            <w:noProof/>
            <w:webHidden/>
          </w:rPr>
          <w:t>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02" w:history="1">
        <w:r w:rsidR="003E29CF" w:rsidRPr="003E29CF">
          <w:rPr>
            <w:rStyle w:val="Hyperlink"/>
            <w:noProof/>
          </w:rPr>
          <w:t>1.2 Conclusions</w:t>
        </w:r>
        <w:r w:rsidR="003E29CF" w:rsidRPr="003E29CF">
          <w:rPr>
            <w:noProof/>
            <w:webHidden/>
          </w:rPr>
          <w:tab/>
        </w:r>
        <w:r w:rsidRPr="003E29CF">
          <w:rPr>
            <w:noProof/>
            <w:webHidden/>
          </w:rPr>
          <w:fldChar w:fldCharType="begin"/>
        </w:r>
        <w:r w:rsidR="003E29CF" w:rsidRPr="003E29CF">
          <w:rPr>
            <w:noProof/>
            <w:webHidden/>
          </w:rPr>
          <w:instrText xml:space="preserve"> PAGEREF _Toc271632202 \h </w:instrText>
        </w:r>
        <w:r w:rsidRPr="003E29CF">
          <w:rPr>
            <w:noProof/>
            <w:webHidden/>
          </w:rPr>
        </w:r>
        <w:r w:rsidRPr="003E29CF">
          <w:rPr>
            <w:noProof/>
            <w:webHidden/>
          </w:rPr>
          <w:fldChar w:fldCharType="separate"/>
        </w:r>
        <w:r w:rsidR="00E5699E">
          <w:rPr>
            <w:noProof/>
            <w:webHidden/>
          </w:rPr>
          <w:t>9</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03" w:history="1">
        <w:r w:rsidR="003E29CF" w:rsidRPr="003E29CF">
          <w:rPr>
            <w:rStyle w:val="Hyperlink"/>
            <w:sz w:val="22"/>
          </w:rPr>
          <w:t>Section 2</w:t>
        </w:r>
        <w:r w:rsidR="003E29CF">
          <w:rPr>
            <w:rStyle w:val="Hyperlink"/>
            <w:sz w:val="22"/>
          </w:rPr>
          <w:br/>
        </w:r>
        <w:r w:rsidR="003E29CF" w:rsidRPr="003E29CF">
          <w:rPr>
            <w:rStyle w:val="Hyperlink"/>
            <w:sz w:val="22"/>
          </w:rPr>
          <w:t>Introduction</w:t>
        </w:r>
        <w:r w:rsidR="003E29CF" w:rsidRPr="003E29CF">
          <w:rPr>
            <w:webHidden/>
            <w:sz w:val="22"/>
          </w:rPr>
          <w:tab/>
        </w:r>
        <w:r w:rsidRPr="003E29CF">
          <w:rPr>
            <w:webHidden/>
            <w:sz w:val="22"/>
          </w:rPr>
          <w:fldChar w:fldCharType="begin"/>
        </w:r>
        <w:r w:rsidR="003E29CF" w:rsidRPr="003E29CF">
          <w:rPr>
            <w:webHidden/>
            <w:sz w:val="22"/>
          </w:rPr>
          <w:instrText xml:space="preserve"> PAGEREF _Toc271632203 \h </w:instrText>
        </w:r>
        <w:r w:rsidRPr="003E29CF">
          <w:rPr>
            <w:webHidden/>
            <w:sz w:val="22"/>
          </w:rPr>
        </w:r>
        <w:r w:rsidRPr="003E29CF">
          <w:rPr>
            <w:webHidden/>
            <w:sz w:val="22"/>
          </w:rPr>
          <w:fldChar w:fldCharType="separate"/>
        </w:r>
        <w:r w:rsidR="00E5699E">
          <w:rPr>
            <w:webHidden/>
            <w:sz w:val="22"/>
          </w:rPr>
          <w:t>11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04" w:history="1">
        <w:r w:rsidR="003E29CF" w:rsidRPr="003E29CF">
          <w:rPr>
            <w:rStyle w:val="Hyperlink"/>
            <w:noProof/>
          </w:rPr>
          <w:t>2.1 Approach to Regional System Planning</w:t>
        </w:r>
        <w:r w:rsidR="003E29CF" w:rsidRPr="003E29CF">
          <w:rPr>
            <w:noProof/>
            <w:webHidden/>
          </w:rPr>
          <w:tab/>
        </w:r>
        <w:r w:rsidRPr="003E29CF">
          <w:rPr>
            <w:noProof/>
            <w:webHidden/>
          </w:rPr>
          <w:fldChar w:fldCharType="begin"/>
        </w:r>
        <w:r w:rsidR="003E29CF" w:rsidRPr="003E29CF">
          <w:rPr>
            <w:noProof/>
            <w:webHidden/>
          </w:rPr>
          <w:instrText xml:space="preserve"> PAGEREF _Toc271632204 \h </w:instrText>
        </w:r>
        <w:r w:rsidRPr="003E29CF">
          <w:rPr>
            <w:noProof/>
            <w:webHidden/>
          </w:rPr>
        </w:r>
        <w:r w:rsidRPr="003E29CF">
          <w:rPr>
            <w:noProof/>
            <w:webHidden/>
          </w:rPr>
          <w:fldChar w:fldCharType="separate"/>
        </w:r>
        <w:r w:rsidR="00E5699E">
          <w:rPr>
            <w:noProof/>
            <w:webHidden/>
          </w:rPr>
          <w:t>12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05" w:history="1">
        <w:r w:rsidR="003E29CF" w:rsidRPr="003E29CF">
          <w:rPr>
            <w:rStyle w:val="Hyperlink"/>
            <w:noProof/>
          </w:rPr>
          <w:t>2.2 Overview of the New England Electric Power System</w:t>
        </w:r>
        <w:r w:rsidR="003E29CF" w:rsidRPr="003E29CF">
          <w:rPr>
            <w:noProof/>
            <w:webHidden/>
          </w:rPr>
          <w:tab/>
        </w:r>
        <w:r w:rsidRPr="003E29CF">
          <w:rPr>
            <w:noProof/>
            <w:webHidden/>
          </w:rPr>
          <w:fldChar w:fldCharType="begin"/>
        </w:r>
        <w:r w:rsidR="003E29CF" w:rsidRPr="003E29CF">
          <w:rPr>
            <w:noProof/>
            <w:webHidden/>
          </w:rPr>
          <w:instrText xml:space="preserve"> PAGEREF _Toc271632205 \h </w:instrText>
        </w:r>
        <w:r w:rsidRPr="003E29CF">
          <w:rPr>
            <w:noProof/>
            <w:webHidden/>
          </w:rPr>
        </w:r>
        <w:r w:rsidRPr="003E29CF">
          <w:rPr>
            <w:noProof/>
            <w:webHidden/>
          </w:rPr>
          <w:fldChar w:fldCharType="separate"/>
        </w:r>
        <w:r w:rsidR="00E5699E">
          <w:rPr>
            <w:noProof/>
            <w:webHidden/>
          </w:rPr>
          <w:t>15</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06" w:history="1">
        <w:r w:rsidR="003E29CF" w:rsidRPr="003E29CF">
          <w:rPr>
            <w:rStyle w:val="Hyperlink"/>
            <w:noProof/>
          </w:rPr>
          <w:t>2.3 Overview of the New England Wholesale Electricity Market Structure</w:t>
        </w:r>
        <w:r w:rsidR="003E29CF" w:rsidRPr="003E29CF">
          <w:rPr>
            <w:noProof/>
            <w:webHidden/>
          </w:rPr>
          <w:tab/>
        </w:r>
        <w:r w:rsidRPr="003E29CF">
          <w:rPr>
            <w:noProof/>
            <w:webHidden/>
          </w:rPr>
          <w:fldChar w:fldCharType="begin"/>
        </w:r>
        <w:r w:rsidR="003E29CF" w:rsidRPr="003E29CF">
          <w:rPr>
            <w:noProof/>
            <w:webHidden/>
          </w:rPr>
          <w:instrText xml:space="preserve"> PAGEREF _Toc271632206 \h </w:instrText>
        </w:r>
        <w:r w:rsidRPr="003E29CF">
          <w:rPr>
            <w:noProof/>
            <w:webHidden/>
          </w:rPr>
        </w:r>
        <w:r w:rsidRPr="003E29CF">
          <w:rPr>
            <w:noProof/>
            <w:webHidden/>
          </w:rPr>
          <w:fldChar w:fldCharType="separate"/>
        </w:r>
        <w:r w:rsidR="00E5699E">
          <w:rPr>
            <w:noProof/>
            <w:webHidden/>
          </w:rPr>
          <w:t>17</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07" w:history="1">
        <w:r w:rsidR="003E29CF" w:rsidRPr="003E29CF">
          <w:rPr>
            <w:rStyle w:val="Hyperlink"/>
            <w:noProof/>
          </w:rPr>
          <w:t>2.4 RSP Subareas</w:t>
        </w:r>
        <w:r w:rsidR="003E29CF" w:rsidRPr="003E29CF">
          <w:rPr>
            <w:noProof/>
            <w:webHidden/>
          </w:rPr>
          <w:tab/>
        </w:r>
        <w:r w:rsidRPr="003E29CF">
          <w:rPr>
            <w:noProof/>
            <w:webHidden/>
          </w:rPr>
          <w:fldChar w:fldCharType="begin"/>
        </w:r>
        <w:r w:rsidR="003E29CF" w:rsidRPr="003E29CF">
          <w:rPr>
            <w:noProof/>
            <w:webHidden/>
          </w:rPr>
          <w:instrText xml:space="preserve"> PAGEREF _Toc271632207 \h </w:instrText>
        </w:r>
        <w:r w:rsidRPr="003E29CF">
          <w:rPr>
            <w:noProof/>
            <w:webHidden/>
          </w:rPr>
        </w:r>
        <w:r w:rsidRPr="003E29CF">
          <w:rPr>
            <w:noProof/>
            <w:webHidden/>
          </w:rPr>
          <w:fldChar w:fldCharType="separate"/>
        </w:r>
        <w:r w:rsidR="00E5699E">
          <w:rPr>
            <w:noProof/>
            <w:webHidden/>
          </w:rPr>
          <w:t>19</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08" w:history="1">
        <w:r w:rsidR="003E29CF" w:rsidRPr="003E29CF">
          <w:rPr>
            <w:rStyle w:val="Hyperlink"/>
            <w:sz w:val="22"/>
          </w:rPr>
          <w:t>Section 3</w:t>
        </w:r>
        <w:r w:rsidR="003E29CF">
          <w:rPr>
            <w:rStyle w:val="Hyperlink"/>
            <w:sz w:val="22"/>
          </w:rPr>
          <w:br/>
        </w:r>
        <w:r w:rsidR="003E29CF" w:rsidRPr="003E29CF">
          <w:rPr>
            <w:rStyle w:val="Hyperlink"/>
            <w:sz w:val="22"/>
          </w:rPr>
          <w:t>Forecasts of Annual and Peak Use of Electric Energy in New England</w:t>
        </w:r>
        <w:r w:rsidR="003E29CF" w:rsidRPr="003E29CF">
          <w:rPr>
            <w:webHidden/>
            <w:sz w:val="22"/>
          </w:rPr>
          <w:tab/>
        </w:r>
        <w:r w:rsidRPr="003E29CF">
          <w:rPr>
            <w:webHidden/>
            <w:sz w:val="22"/>
          </w:rPr>
          <w:fldChar w:fldCharType="begin"/>
        </w:r>
        <w:r w:rsidR="003E29CF" w:rsidRPr="003E29CF">
          <w:rPr>
            <w:webHidden/>
            <w:sz w:val="22"/>
          </w:rPr>
          <w:instrText xml:space="preserve"> PAGEREF _Toc271632208 \h </w:instrText>
        </w:r>
        <w:r w:rsidRPr="003E29CF">
          <w:rPr>
            <w:webHidden/>
            <w:sz w:val="22"/>
          </w:rPr>
        </w:r>
        <w:r w:rsidRPr="003E29CF">
          <w:rPr>
            <w:webHidden/>
            <w:sz w:val="22"/>
          </w:rPr>
          <w:fldChar w:fldCharType="separate"/>
        </w:r>
        <w:r w:rsidR="00E5699E">
          <w:rPr>
            <w:webHidden/>
            <w:sz w:val="22"/>
          </w:rPr>
          <w:t>21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09" w:history="1">
        <w:r w:rsidR="003E29CF" w:rsidRPr="003E29CF">
          <w:rPr>
            <w:rStyle w:val="Hyperlink"/>
            <w:noProof/>
          </w:rPr>
          <w:t>3.1 Short- and Long-Run Forecasts</w:t>
        </w:r>
        <w:r w:rsidR="003E29CF" w:rsidRPr="003E29CF">
          <w:rPr>
            <w:noProof/>
            <w:webHidden/>
          </w:rPr>
          <w:tab/>
        </w:r>
        <w:r w:rsidRPr="003E29CF">
          <w:rPr>
            <w:noProof/>
            <w:webHidden/>
          </w:rPr>
          <w:fldChar w:fldCharType="begin"/>
        </w:r>
        <w:r w:rsidR="003E29CF" w:rsidRPr="003E29CF">
          <w:rPr>
            <w:noProof/>
            <w:webHidden/>
          </w:rPr>
          <w:instrText xml:space="preserve"> PAGEREF _Toc271632209 \h </w:instrText>
        </w:r>
        <w:r w:rsidRPr="003E29CF">
          <w:rPr>
            <w:noProof/>
            <w:webHidden/>
          </w:rPr>
        </w:r>
        <w:r w:rsidRPr="003E29CF">
          <w:rPr>
            <w:noProof/>
            <w:webHidden/>
          </w:rPr>
          <w:fldChar w:fldCharType="separate"/>
        </w:r>
        <w:r w:rsidR="00E5699E">
          <w:rPr>
            <w:noProof/>
            <w:webHidden/>
          </w:rPr>
          <w:t>21</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0" w:history="1">
        <w:r w:rsidR="003E29CF" w:rsidRPr="003E29CF">
          <w:rPr>
            <w:rStyle w:val="Hyperlink"/>
            <w:noProof/>
          </w:rPr>
          <w:t>3.2 Economic and Demographic Factors and Electric Energy Use</w:t>
        </w:r>
        <w:r w:rsidR="003E29CF" w:rsidRPr="003E29CF">
          <w:rPr>
            <w:noProof/>
            <w:webHidden/>
          </w:rPr>
          <w:tab/>
        </w:r>
        <w:r w:rsidRPr="003E29CF">
          <w:rPr>
            <w:noProof/>
            <w:webHidden/>
          </w:rPr>
          <w:fldChar w:fldCharType="begin"/>
        </w:r>
        <w:r w:rsidR="003E29CF" w:rsidRPr="003E29CF">
          <w:rPr>
            <w:noProof/>
            <w:webHidden/>
          </w:rPr>
          <w:instrText xml:space="preserve"> PAGEREF _Toc271632210 \h </w:instrText>
        </w:r>
        <w:r w:rsidRPr="003E29CF">
          <w:rPr>
            <w:noProof/>
            <w:webHidden/>
          </w:rPr>
        </w:r>
        <w:r w:rsidRPr="003E29CF">
          <w:rPr>
            <w:noProof/>
            <w:webHidden/>
          </w:rPr>
          <w:fldChar w:fldCharType="separate"/>
        </w:r>
        <w:r w:rsidR="00E5699E">
          <w:rPr>
            <w:noProof/>
            <w:webHidden/>
          </w:rPr>
          <w:t>23</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1" w:history="1">
        <w:r w:rsidR="003E29CF" w:rsidRPr="003E29CF">
          <w:rPr>
            <w:rStyle w:val="Hyperlink"/>
            <w:noProof/>
          </w:rPr>
          <w:t>3.3 Load Forecast Methodology and Model Enhancements</w:t>
        </w:r>
        <w:r w:rsidR="003E29CF" w:rsidRPr="003E29CF">
          <w:rPr>
            <w:noProof/>
            <w:webHidden/>
          </w:rPr>
          <w:tab/>
        </w:r>
        <w:r w:rsidRPr="003E29CF">
          <w:rPr>
            <w:noProof/>
            <w:webHidden/>
          </w:rPr>
          <w:fldChar w:fldCharType="begin"/>
        </w:r>
        <w:r w:rsidR="003E29CF" w:rsidRPr="003E29CF">
          <w:rPr>
            <w:noProof/>
            <w:webHidden/>
          </w:rPr>
          <w:instrText xml:space="preserve"> PAGEREF _Toc271632211 \h </w:instrText>
        </w:r>
        <w:r w:rsidRPr="003E29CF">
          <w:rPr>
            <w:noProof/>
            <w:webHidden/>
          </w:rPr>
        </w:r>
        <w:r w:rsidRPr="003E29CF">
          <w:rPr>
            <w:noProof/>
            <w:webHidden/>
          </w:rPr>
          <w:fldChar w:fldCharType="separate"/>
        </w:r>
        <w:r w:rsidR="00E5699E">
          <w:rPr>
            <w:noProof/>
            <w:webHidden/>
          </w:rPr>
          <w:t>26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2" w:history="1">
        <w:r w:rsidR="003E29CF" w:rsidRPr="003E29CF">
          <w:rPr>
            <w:rStyle w:val="Hyperlink"/>
            <w:noProof/>
          </w:rPr>
          <w:t>3.4 Subarea Use of Electric Energy</w:t>
        </w:r>
        <w:r w:rsidR="003E29CF" w:rsidRPr="003E29CF">
          <w:rPr>
            <w:noProof/>
            <w:webHidden/>
          </w:rPr>
          <w:tab/>
        </w:r>
        <w:r w:rsidRPr="003E29CF">
          <w:rPr>
            <w:noProof/>
            <w:webHidden/>
          </w:rPr>
          <w:fldChar w:fldCharType="begin"/>
        </w:r>
        <w:r w:rsidR="003E29CF" w:rsidRPr="003E29CF">
          <w:rPr>
            <w:noProof/>
            <w:webHidden/>
          </w:rPr>
          <w:instrText xml:space="preserve"> PAGEREF _Toc271632212 \h </w:instrText>
        </w:r>
        <w:r w:rsidRPr="003E29CF">
          <w:rPr>
            <w:noProof/>
            <w:webHidden/>
          </w:rPr>
        </w:r>
        <w:r w:rsidRPr="003E29CF">
          <w:rPr>
            <w:noProof/>
            <w:webHidden/>
          </w:rPr>
          <w:fldChar w:fldCharType="separate"/>
        </w:r>
        <w:r w:rsidR="00E5699E">
          <w:rPr>
            <w:noProof/>
            <w:webHidden/>
          </w:rPr>
          <w:t>27</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3" w:history="1">
        <w:r w:rsidR="003E29CF" w:rsidRPr="003E29CF">
          <w:rPr>
            <w:rStyle w:val="Hyperlink"/>
            <w:noProof/>
          </w:rPr>
          <w:t>3.5 The CELT Forecast and Passive Demand Resources</w:t>
        </w:r>
        <w:r w:rsidR="003E29CF" w:rsidRPr="003E29CF">
          <w:rPr>
            <w:noProof/>
            <w:webHidden/>
          </w:rPr>
          <w:tab/>
        </w:r>
        <w:r w:rsidRPr="003E29CF">
          <w:rPr>
            <w:noProof/>
            <w:webHidden/>
          </w:rPr>
          <w:fldChar w:fldCharType="begin"/>
        </w:r>
        <w:r w:rsidR="003E29CF" w:rsidRPr="003E29CF">
          <w:rPr>
            <w:noProof/>
            <w:webHidden/>
          </w:rPr>
          <w:instrText xml:space="preserve"> PAGEREF _Toc271632213 \h </w:instrText>
        </w:r>
        <w:r w:rsidRPr="003E29CF">
          <w:rPr>
            <w:noProof/>
            <w:webHidden/>
          </w:rPr>
        </w:r>
        <w:r w:rsidRPr="003E29CF">
          <w:rPr>
            <w:noProof/>
            <w:webHidden/>
          </w:rPr>
          <w:fldChar w:fldCharType="separate"/>
        </w:r>
        <w:r w:rsidR="00E5699E">
          <w:rPr>
            <w:noProof/>
            <w:webHidden/>
          </w:rPr>
          <w:t>30</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4" w:history="1">
        <w:r w:rsidR="003E29CF" w:rsidRPr="003E29CF">
          <w:rPr>
            <w:rStyle w:val="Hyperlink"/>
            <w:noProof/>
          </w:rPr>
          <w:t>3.6 Summary of Key Findings</w:t>
        </w:r>
        <w:r w:rsidR="003E29CF" w:rsidRPr="003E29CF">
          <w:rPr>
            <w:noProof/>
            <w:webHidden/>
          </w:rPr>
          <w:tab/>
        </w:r>
        <w:r w:rsidRPr="003E29CF">
          <w:rPr>
            <w:noProof/>
            <w:webHidden/>
          </w:rPr>
          <w:fldChar w:fldCharType="begin"/>
        </w:r>
        <w:r w:rsidR="003E29CF" w:rsidRPr="003E29CF">
          <w:rPr>
            <w:noProof/>
            <w:webHidden/>
          </w:rPr>
          <w:instrText xml:space="preserve"> PAGEREF _Toc271632214 \h </w:instrText>
        </w:r>
        <w:r w:rsidRPr="003E29CF">
          <w:rPr>
            <w:noProof/>
            <w:webHidden/>
          </w:rPr>
        </w:r>
        <w:r w:rsidRPr="003E29CF">
          <w:rPr>
            <w:noProof/>
            <w:webHidden/>
          </w:rPr>
          <w:fldChar w:fldCharType="separate"/>
        </w:r>
        <w:r w:rsidR="00E5699E">
          <w:rPr>
            <w:noProof/>
            <w:webHidden/>
          </w:rPr>
          <w:t>31</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15" w:history="1">
        <w:r w:rsidR="003E29CF" w:rsidRPr="003E29CF">
          <w:rPr>
            <w:rStyle w:val="Hyperlink"/>
            <w:sz w:val="22"/>
          </w:rPr>
          <w:t>Section 4</w:t>
        </w:r>
        <w:r w:rsidR="003E29CF">
          <w:rPr>
            <w:rStyle w:val="Hyperlink"/>
            <w:sz w:val="22"/>
          </w:rPr>
          <w:br/>
        </w:r>
        <w:r w:rsidR="003E29CF" w:rsidRPr="003E29CF">
          <w:rPr>
            <w:rStyle w:val="Hyperlink"/>
            <w:sz w:val="22"/>
          </w:rPr>
          <w:t>Resource Adequacy and Capacity</w:t>
        </w:r>
        <w:r w:rsidR="003E29CF" w:rsidRPr="003E29CF">
          <w:rPr>
            <w:webHidden/>
            <w:sz w:val="22"/>
          </w:rPr>
          <w:tab/>
        </w:r>
        <w:r w:rsidRPr="003E29CF">
          <w:rPr>
            <w:webHidden/>
            <w:sz w:val="22"/>
          </w:rPr>
          <w:fldChar w:fldCharType="begin"/>
        </w:r>
        <w:r w:rsidR="003E29CF" w:rsidRPr="003E29CF">
          <w:rPr>
            <w:webHidden/>
            <w:sz w:val="22"/>
          </w:rPr>
          <w:instrText xml:space="preserve"> PAGEREF _Toc271632215 \h </w:instrText>
        </w:r>
        <w:r w:rsidRPr="003E29CF">
          <w:rPr>
            <w:webHidden/>
            <w:sz w:val="22"/>
          </w:rPr>
        </w:r>
        <w:r w:rsidRPr="003E29CF">
          <w:rPr>
            <w:webHidden/>
            <w:sz w:val="22"/>
          </w:rPr>
          <w:fldChar w:fldCharType="separate"/>
        </w:r>
        <w:r w:rsidR="00E5699E">
          <w:rPr>
            <w:webHidden/>
            <w:sz w:val="22"/>
          </w:rPr>
          <w:t>32</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16" w:history="1">
        <w:r w:rsidR="003E29CF" w:rsidRPr="003E29CF">
          <w:rPr>
            <w:rStyle w:val="Hyperlink"/>
            <w:noProof/>
          </w:rPr>
          <w:t>4.1 Systemwide Installed Capacity Requirement</w:t>
        </w:r>
        <w:r w:rsidR="003E29CF" w:rsidRPr="003E29CF">
          <w:rPr>
            <w:noProof/>
            <w:webHidden/>
          </w:rPr>
          <w:tab/>
        </w:r>
        <w:r w:rsidRPr="003E29CF">
          <w:rPr>
            <w:noProof/>
            <w:webHidden/>
          </w:rPr>
          <w:fldChar w:fldCharType="begin"/>
        </w:r>
        <w:r w:rsidR="003E29CF" w:rsidRPr="003E29CF">
          <w:rPr>
            <w:noProof/>
            <w:webHidden/>
          </w:rPr>
          <w:instrText xml:space="preserve"> PAGEREF _Toc271632216 \h </w:instrText>
        </w:r>
        <w:r w:rsidRPr="003E29CF">
          <w:rPr>
            <w:noProof/>
            <w:webHidden/>
          </w:rPr>
        </w:r>
        <w:r w:rsidRPr="003E29CF">
          <w:rPr>
            <w:noProof/>
            <w:webHidden/>
          </w:rPr>
          <w:fldChar w:fldCharType="separate"/>
        </w:r>
        <w:r w:rsidR="00E5699E">
          <w:rPr>
            <w:noProof/>
            <w:webHidden/>
          </w:rPr>
          <w:t>33</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17" w:history="1">
        <w:r w:rsidR="003E29CF" w:rsidRPr="003E29CF">
          <w:rPr>
            <w:rStyle w:val="Hyperlink"/>
            <w:rFonts w:cs="Times New Roman"/>
            <w:noProof/>
          </w:rPr>
          <w:t>4.1.1</w:t>
        </w:r>
        <w:r w:rsidR="003E29CF" w:rsidRPr="003E29CF">
          <w:rPr>
            <w:rStyle w:val="Hyperlink"/>
            <w:noProof/>
          </w:rPr>
          <w:t xml:space="preserve"> ICR Values for 2010/2011 through 2019/2020 Capacity Commitment Periods</w:t>
        </w:r>
        <w:r w:rsidR="003E29CF" w:rsidRPr="003E29CF">
          <w:rPr>
            <w:noProof/>
            <w:webHidden/>
          </w:rPr>
          <w:tab/>
        </w:r>
        <w:r w:rsidRPr="003E29CF">
          <w:rPr>
            <w:noProof/>
            <w:webHidden/>
          </w:rPr>
          <w:fldChar w:fldCharType="begin"/>
        </w:r>
        <w:r w:rsidR="003E29CF" w:rsidRPr="003E29CF">
          <w:rPr>
            <w:noProof/>
            <w:webHidden/>
          </w:rPr>
          <w:instrText xml:space="preserve"> PAGEREF _Toc271632217 \h </w:instrText>
        </w:r>
        <w:r w:rsidRPr="003E29CF">
          <w:rPr>
            <w:noProof/>
            <w:webHidden/>
          </w:rPr>
        </w:r>
        <w:r w:rsidRPr="003E29CF">
          <w:rPr>
            <w:noProof/>
            <w:webHidden/>
          </w:rPr>
          <w:fldChar w:fldCharType="separate"/>
        </w:r>
        <w:r w:rsidR="00E5699E">
          <w:rPr>
            <w:noProof/>
            <w:webHidden/>
          </w:rPr>
          <w:t>34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18" w:history="1">
        <w:r w:rsidR="003E29CF" w:rsidRPr="003E29CF">
          <w:rPr>
            <w:rStyle w:val="Hyperlink"/>
            <w:rFonts w:cs="Times New Roman"/>
            <w:noProof/>
          </w:rPr>
          <w:t>4.1.2</w:t>
        </w:r>
        <w:r w:rsidR="003E29CF" w:rsidRPr="003E29CF">
          <w:rPr>
            <w:rStyle w:val="Hyperlink"/>
            <w:noProof/>
          </w:rPr>
          <w:t xml:space="preserve"> Other Resource Adequacy Analyses</w:t>
        </w:r>
        <w:r w:rsidR="003E29CF" w:rsidRPr="003E29CF">
          <w:rPr>
            <w:noProof/>
            <w:webHidden/>
          </w:rPr>
          <w:tab/>
        </w:r>
        <w:r w:rsidRPr="003E29CF">
          <w:rPr>
            <w:noProof/>
            <w:webHidden/>
          </w:rPr>
          <w:fldChar w:fldCharType="begin"/>
        </w:r>
        <w:r w:rsidR="003E29CF" w:rsidRPr="003E29CF">
          <w:rPr>
            <w:noProof/>
            <w:webHidden/>
          </w:rPr>
          <w:instrText xml:space="preserve"> PAGEREF _Toc271632218 \h </w:instrText>
        </w:r>
        <w:r w:rsidRPr="003E29CF">
          <w:rPr>
            <w:noProof/>
            <w:webHidden/>
          </w:rPr>
        </w:r>
        <w:r w:rsidRPr="003E29CF">
          <w:rPr>
            <w:noProof/>
            <w:webHidden/>
          </w:rPr>
          <w:fldChar w:fldCharType="separate"/>
        </w:r>
        <w:r w:rsidR="00E5699E">
          <w:rPr>
            <w:noProof/>
            <w:webHidden/>
          </w:rPr>
          <w:t>36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19" w:history="1">
        <w:r w:rsidR="003E29CF" w:rsidRPr="003E29CF">
          <w:rPr>
            <w:rStyle w:val="Hyperlink"/>
            <w:noProof/>
          </w:rPr>
          <w:t>4.2 Forward Capacity Market</w:t>
        </w:r>
        <w:r w:rsidR="003E29CF" w:rsidRPr="003E29CF">
          <w:rPr>
            <w:noProof/>
            <w:webHidden/>
          </w:rPr>
          <w:tab/>
        </w:r>
        <w:r w:rsidRPr="003E29CF">
          <w:rPr>
            <w:noProof/>
            <w:webHidden/>
          </w:rPr>
          <w:fldChar w:fldCharType="begin"/>
        </w:r>
        <w:r w:rsidR="003E29CF" w:rsidRPr="003E29CF">
          <w:rPr>
            <w:noProof/>
            <w:webHidden/>
          </w:rPr>
          <w:instrText xml:space="preserve"> PAGEREF _Toc271632219 \h </w:instrText>
        </w:r>
        <w:r w:rsidRPr="003E29CF">
          <w:rPr>
            <w:noProof/>
            <w:webHidden/>
          </w:rPr>
        </w:r>
        <w:r w:rsidRPr="003E29CF">
          <w:rPr>
            <w:noProof/>
            <w:webHidden/>
          </w:rPr>
          <w:fldChar w:fldCharType="separate"/>
        </w:r>
        <w:r w:rsidR="00E5699E">
          <w:rPr>
            <w:noProof/>
            <w:webHidden/>
          </w:rPr>
          <w:t>37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0" w:history="1">
        <w:r w:rsidR="003E29CF" w:rsidRPr="003E29CF">
          <w:rPr>
            <w:rStyle w:val="Hyperlink"/>
            <w:rFonts w:cs="Times New Roman"/>
            <w:noProof/>
          </w:rPr>
          <w:t>4.2.1</w:t>
        </w:r>
        <w:r w:rsidR="003E29CF" w:rsidRPr="003E29CF">
          <w:rPr>
            <w:rStyle w:val="Hyperlink"/>
            <w:noProof/>
          </w:rPr>
          <w:t xml:space="preserve"> Forward Capacity Auction Qualification Process</w:t>
        </w:r>
        <w:r w:rsidR="003E29CF" w:rsidRPr="003E29CF">
          <w:rPr>
            <w:noProof/>
            <w:webHidden/>
          </w:rPr>
          <w:tab/>
        </w:r>
        <w:r w:rsidRPr="003E29CF">
          <w:rPr>
            <w:noProof/>
            <w:webHidden/>
          </w:rPr>
          <w:fldChar w:fldCharType="begin"/>
        </w:r>
        <w:r w:rsidR="003E29CF" w:rsidRPr="003E29CF">
          <w:rPr>
            <w:noProof/>
            <w:webHidden/>
          </w:rPr>
          <w:instrText xml:space="preserve"> PAGEREF _Toc271632220 \h </w:instrText>
        </w:r>
        <w:r w:rsidRPr="003E29CF">
          <w:rPr>
            <w:noProof/>
            <w:webHidden/>
          </w:rPr>
        </w:r>
        <w:r w:rsidRPr="003E29CF">
          <w:rPr>
            <w:noProof/>
            <w:webHidden/>
          </w:rPr>
          <w:fldChar w:fldCharType="separate"/>
        </w:r>
        <w:r w:rsidR="00E5699E">
          <w:rPr>
            <w:noProof/>
            <w:webHidden/>
          </w:rPr>
          <w:t>37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1" w:history="1">
        <w:r w:rsidR="003E29CF" w:rsidRPr="003E29CF">
          <w:rPr>
            <w:rStyle w:val="Hyperlink"/>
            <w:rFonts w:cs="Times New Roman"/>
            <w:noProof/>
          </w:rPr>
          <w:t>4.2.2</w:t>
        </w:r>
        <w:r w:rsidR="003E29CF" w:rsidRPr="003E29CF">
          <w:rPr>
            <w:rStyle w:val="Hyperlink"/>
            <w:noProof/>
          </w:rPr>
          <w:t xml:space="preserve"> Forward Capacity Auctions</w:t>
        </w:r>
        <w:r w:rsidR="003E29CF" w:rsidRPr="003E29CF">
          <w:rPr>
            <w:noProof/>
            <w:webHidden/>
          </w:rPr>
          <w:tab/>
        </w:r>
        <w:r w:rsidRPr="003E29CF">
          <w:rPr>
            <w:noProof/>
            <w:webHidden/>
          </w:rPr>
          <w:fldChar w:fldCharType="begin"/>
        </w:r>
        <w:r w:rsidR="003E29CF" w:rsidRPr="003E29CF">
          <w:rPr>
            <w:noProof/>
            <w:webHidden/>
          </w:rPr>
          <w:instrText xml:space="preserve"> PAGEREF _Toc271632221 \h </w:instrText>
        </w:r>
        <w:r w:rsidRPr="003E29CF">
          <w:rPr>
            <w:noProof/>
            <w:webHidden/>
          </w:rPr>
        </w:r>
        <w:r w:rsidRPr="003E29CF">
          <w:rPr>
            <w:noProof/>
            <w:webHidden/>
          </w:rPr>
          <w:fldChar w:fldCharType="separate"/>
        </w:r>
        <w:r w:rsidR="00E5699E">
          <w:rPr>
            <w:noProof/>
            <w:webHidden/>
          </w:rPr>
          <w:t>38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2" w:history="1">
        <w:r w:rsidR="003E29CF" w:rsidRPr="003E29CF">
          <w:rPr>
            <w:rStyle w:val="Hyperlink"/>
            <w:rFonts w:cs="Times New Roman"/>
            <w:noProof/>
          </w:rPr>
          <w:t>4.2.3</w:t>
        </w:r>
        <w:r w:rsidR="003E29CF" w:rsidRPr="003E29CF">
          <w:rPr>
            <w:rStyle w:val="Hyperlink"/>
            <w:noProof/>
          </w:rPr>
          <w:t xml:space="preserve"> Meeting Capacity Needs</w:t>
        </w:r>
        <w:r w:rsidR="003E29CF" w:rsidRPr="003E29CF">
          <w:rPr>
            <w:noProof/>
            <w:webHidden/>
          </w:rPr>
          <w:tab/>
        </w:r>
        <w:r w:rsidRPr="003E29CF">
          <w:rPr>
            <w:noProof/>
            <w:webHidden/>
          </w:rPr>
          <w:fldChar w:fldCharType="begin"/>
        </w:r>
        <w:r w:rsidR="003E29CF" w:rsidRPr="003E29CF">
          <w:rPr>
            <w:noProof/>
            <w:webHidden/>
          </w:rPr>
          <w:instrText xml:space="preserve"> PAGEREF _Toc271632222 \h </w:instrText>
        </w:r>
        <w:r w:rsidRPr="003E29CF">
          <w:rPr>
            <w:noProof/>
            <w:webHidden/>
          </w:rPr>
        </w:r>
        <w:r w:rsidRPr="003E29CF">
          <w:rPr>
            <w:noProof/>
            <w:webHidden/>
          </w:rPr>
          <w:fldChar w:fldCharType="separate"/>
        </w:r>
        <w:r w:rsidR="00E5699E">
          <w:rPr>
            <w:noProof/>
            <w:webHidden/>
          </w:rPr>
          <w:t>42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23" w:history="1">
        <w:r w:rsidR="003E29CF" w:rsidRPr="003E29CF">
          <w:rPr>
            <w:rStyle w:val="Hyperlink"/>
            <w:noProof/>
          </w:rPr>
          <w:t>4.3 Operable Capacity Analysis</w:t>
        </w:r>
        <w:r w:rsidR="003E29CF" w:rsidRPr="003E29CF">
          <w:rPr>
            <w:noProof/>
            <w:webHidden/>
          </w:rPr>
          <w:tab/>
        </w:r>
        <w:r w:rsidRPr="003E29CF">
          <w:rPr>
            <w:noProof/>
            <w:webHidden/>
          </w:rPr>
          <w:fldChar w:fldCharType="begin"/>
        </w:r>
        <w:r w:rsidR="003E29CF" w:rsidRPr="003E29CF">
          <w:rPr>
            <w:noProof/>
            <w:webHidden/>
          </w:rPr>
          <w:instrText xml:space="preserve"> PAGEREF _Toc271632223 \h </w:instrText>
        </w:r>
        <w:r w:rsidRPr="003E29CF">
          <w:rPr>
            <w:noProof/>
            <w:webHidden/>
          </w:rPr>
        </w:r>
        <w:r w:rsidRPr="003E29CF">
          <w:rPr>
            <w:noProof/>
            <w:webHidden/>
          </w:rPr>
          <w:fldChar w:fldCharType="separate"/>
        </w:r>
        <w:r w:rsidR="00E5699E">
          <w:rPr>
            <w:noProof/>
            <w:webHidden/>
          </w:rPr>
          <w:t>45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4" w:history="1">
        <w:r w:rsidR="003E29CF" w:rsidRPr="003E29CF">
          <w:rPr>
            <w:rStyle w:val="Hyperlink"/>
            <w:rFonts w:cs="Times New Roman"/>
            <w:noProof/>
          </w:rPr>
          <w:t>4.3.1</w:t>
        </w:r>
        <w:r w:rsidR="003E29CF" w:rsidRPr="003E29CF">
          <w:rPr>
            <w:rStyle w:val="Hyperlink"/>
            <w:noProof/>
          </w:rPr>
          <w:t xml:space="preserve"> Approach</w:t>
        </w:r>
        <w:r w:rsidR="003E29CF" w:rsidRPr="003E29CF">
          <w:rPr>
            <w:noProof/>
            <w:webHidden/>
          </w:rPr>
          <w:tab/>
        </w:r>
        <w:r w:rsidRPr="003E29CF">
          <w:rPr>
            <w:noProof/>
            <w:webHidden/>
          </w:rPr>
          <w:fldChar w:fldCharType="begin"/>
        </w:r>
        <w:r w:rsidR="003E29CF" w:rsidRPr="003E29CF">
          <w:rPr>
            <w:noProof/>
            <w:webHidden/>
          </w:rPr>
          <w:instrText xml:space="preserve"> PAGEREF _Toc271632224 \h </w:instrText>
        </w:r>
        <w:r w:rsidRPr="003E29CF">
          <w:rPr>
            <w:noProof/>
            <w:webHidden/>
          </w:rPr>
        </w:r>
        <w:r w:rsidRPr="003E29CF">
          <w:rPr>
            <w:noProof/>
            <w:webHidden/>
          </w:rPr>
          <w:fldChar w:fldCharType="separate"/>
        </w:r>
        <w:r w:rsidR="00E5699E">
          <w:rPr>
            <w:noProof/>
            <w:webHidden/>
          </w:rPr>
          <w:t>45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5" w:history="1">
        <w:r w:rsidR="003E29CF" w:rsidRPr="003E29CF">
          <w:rPr>
            <w:rStyle w:val="Hyperlink"/>
            <w:rFonts w:cs="Times New Roman"/>
            <w:noProof/>
          </w:rPr>
          <w:t>4.3.2</w:t>
        </w:r>
        <w:r w:rsidR="003E29CF" w:rsidRPr="003E29CF">
          <w:rPr>
            <w:rStyle w:val="Hyperlink"/>
            <w:noProof/>
          </w:rPr>
          <w:t xml:space="preserve"> Results</w:t>
        </w:r>
        <w:r w:rsidR="003E29CF" w:rsidRPr="003E29CF">
          <w:rPr>
            <w:noProof/>
            <w:webHidden/>
          </w:rPr>
          <w:tab/>
        </w:r>
        <w:r w:rsidRPr="003E29CF">
          <w:rPr>
            <w:noProof/>
            <w:webHidden/>
          </w:rPr>
          <w:fldChar w:fldCharType="begin"/>
        </w:r>
        <w:r w:rsidR="003E29CF" w:rsidRPr="003E29CF">
          <w:rPr>
            <w:noProof/>
            <w:webHidden/>
          </w:rPr>
          <w:instrText xml:space="preserve"> PAGEREF _Toc271632225 \h </w:instrText>
        </w:r>
        <w:r w:rsidRPr="003E29CF">
          <w:rPr>
            <w:noProof/>
            <w:webHidden/>
          </w:rPr>
        </w:r>
        <w:r w:rsidRPr="003E29CF">
          <w:rPr>
            <w:noProof/>
            <w:webHidden/>
          </w:rPr>
          <w:fldChar w:fldCharType="separate"/>
        </w:r>
        <w:r w:rsidR="00E5699E">
          <w:rPr>
            <w:noProof/>
            <w:webHidden/>
          </w:rPr>
          <w:t>46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26" w:history="1">
        <w:r w:rsidR="003E29CF" w:rsidRPr="003E29CF">
          <w:rPr>
            <w:rStyle w:val="Hyperlink"/>
            <w:rFonts w:cs="Times New Roman"/>
            <w:noProof/>
          </w:rPr>
          <w:t>4.3.3</w:t>
        </w:r>
        <w:r w:rsidR="003E29CF" w:rsidRPr="003E29CF">
          <w:rPr>
            <w:rStyle w:val="Hyperlink"/>
            <w:noProof/>
          </w:rPr>
          <w:t xml:space="preserve"> Observations</w:t>
        </w:r>
        <w:r w:rsidR="003E29CF" w:rsidRPr="003E29CF">
          <w:rPr>
            <w:noProof/>
            <w:webHidden/>
          </w:rPr>
          <w:tab/>
        </w:r>
        <w:r w:rsidRPr="003E29CF">
          <w:rPr>
            <w:noProof/>
            <w:webHidden/>
          </w:rPr>
          <w:fldChar w:fldCharType="begin"/>
        </w:r>
        <w:r w:rsidR="003E29CF" w:rsidRPr="003E29CF">
          <w:rPr>
            <w:noProof/>
            <w:webHidden/>
          </w:rPr>
          <w:instrText xml:space="preserve"> PAGEREF _Toc271632226 \h </w:instrText>
        </w:r>
        <w:r w:rsidRPr="003E29CF">
          <w:rPr>
            <w:noProof/>
            <w:webHidden/>
          </w:rPr>
        </w:r>
        <w:r w:rsidRPr="003E29CF">
          <w:rPr>
            <w:noProof/>
            <w:webHidden/>
          </w:rPr>
          <w:fldChar w:fldCharType="separate"/>
        </w:r>
        <w:r w:rsidR="00E5699E">
          <w:rPr>
            <w:noProof/>
            <w:webHidden/>
          </w:rPr>
          <w:t>48</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27" w:history="1">
        <w:r w:rsidR="003E29CF" w:rsidRPr="003E29CF">
          <w:rPr>
            <w:rStyle w:val="Hyperlink"/>
            <w:noProof/>
          </w:rPr>
          <w:t>4.4 Generating Units in the ISO Generator Interconnection Queue</w:t>
        </w:r>
        <w:r w:rsidR="003E29CF" w:rsidRPr="003E29CF">
          <w:rPr>
            <w:noProof/>
            <w:webHidden/>
          </w:rPr>
          <w:tab/>
        </w:r>
        <w:r w:rsidRPr="003E29CF">
          <w:rPr>
            <w:noProof/>
            <w:webHidden/>
          </w:rPr>
          <w:fldChar w:fldCharType="begin"/>
        </w:r>
        <w:r w:rsidR="003E29CF" w:rsidRPr="003E29CF">
          <w:rPr>
            <w:noProof/>
            <w:webHidden/>
          </w:rPr>
          <w:instrText xml:space="preserve"> PAGEREF _Toc271632227 \h </w:instrText>
        </w:r>
        <w:r w:rsidRPr="003E29CF">
          <w:rPr>
            <w:noProof/>
            <w:webHidden/>
          </w:rPr>
        </w:r>
        <w:r w:rsidRPr="003E29CF">
          <w:rPr>
            <w:noProof/>
            <w:webHidden/>
          </w:rPr>
          <w:fldChar w:fldCharType="separate"/>
        </w:r>
        <w:r w:rsidR="00E5699E">
          <w:rPr>
            <w:noProof/>
            <w:webHidden/>
          </w:rPr>
          <w:t>48</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28" w:history="1">
        <w:r w:rsidR="003E29CF" w:rsidRPr="003E29CF">
          <w:rPr>
            <w:rStyle w:val="Hyperlink"/>
            <w:noProof/>
          </w:rPr>
          <w:t>4.5 Summary</w:t>
        </w:r>
        <w:r w:rsidR="003E29CF" w:rsidRPr="003E29CF">
          <w:rPr>
            <w:noProof/>
            <w:webHidden/>
          </w:rPr>
          <w:tab/>
        </w:r>
        <w:r w:rsidRPr="003E29CF">
          <w:rPr>
            <w:noProof/>
            <w:webHidden/>
          </w:rPr>
          <w:fldChar w:fldCharType="begin"/>
        </w:r>
        <w:r w:rsidR="003E29CF" w:rsidRPr="003E29CF">
          <w:rPr>
            <w:noProof/>
            <w:webHidden/>
          </w:rPr>
          <w:instrText xml:space="preserve"> PAGEREF _Toc271632228 \h </w:instrText>
        </w:r>
        <w:r w:rsidRPr="003E29CF">
          <w:rPr>
            <w:noProof/>
            <w:webHidden/>
          </w:rPr>
        </w:r>
        <w:r w:rsidRPr="003E29CF">
          <w:rPr>
            <w:noProof/>
            <w:webHidden/>
          </w:rPr>
          <w:fldChar w:fldCharType="separate"/>
        </w:r>
        <w:r w:rsidR="00E5699E">
          <w:rPr>
            <w:noProof/>
            <w:webHidden/>
          </w:rPr>
          <w:t>50</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29" w:history="1">
        <w:r w:rsidR="003E29CF" w:rsidRPr="003E29CF">
          <w:rPr>
            <w:rStyle w:val="Hyperlink"/>
            <w:sz w:val="22"/>
          </w:rPr>
          <w:t>Section 5</w:t>
        </w:r>
        <w:r w:rsidR="003E29CF">
          <w:rPr>
            <w:rStyle w:val="Hyperlink"/>
            <w:sz w:val="22"/>
          </w:rPr>
          <w:br/>
        </w:r>
        <w:r w:rsidR="003E29CF" w:rsidRPr="003E29CF">
          <w:rPr>
            <w:rStyle w:val="Hyperlink"/>
            <w:sz w:val="22"/>
          </w:rPr>
          <w:t>Operating Reserves</w:t>
        </w:r>
        <w:r w:rsidR="003E29CF" w:rsidRPr="003E29CF">
          <w:rPr>
            <w:webHidden/>
            <w:sz w:val="22"/>
          </w:rPr>
          <w:tab/>
        </w:r>
        <w:r w:rsidRPr="003E29CF">
          <w:rPr>
            <w:webHidden/>
            <w:sz w:val="22"/>
          </w:rPr>
          <w:fldChar w:fldCharType="begin"/>
        </w:r>
        <w:r w:rsidR="003E29CF" w:rsidRPr="003E29CF">
          <w:rPr>
            <w:webHidden/>
            <w:sz w:val="22"/>
          </w:rPr>
          <w:instrText xml:space="preserve"> PAGEREF _Toc271632229 \h </w:instrText>
        </w:r>
        <w:r w:rsidRPr="003E29CF">
          <w:rPr>
            <w:webHidden/>
            <w:sz w:val="22"/>
          </w:rPr>
        </w:r>
        <w:r w:rsidRPr="003E29CF">
          <w:rPr>
            <w:webHidden/>
            <w:sz w:val="22"/>
          </w:rPr>
          <w:fldChar w:fldCharType="separate"/>
        </w:r>
        <w:r w:rsidR="00E5699E">
          <w:rPr>
            <w:webHidden/>
            <w:sz w:val="22"/>
          </w:rPr>
          <w:t>51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30" w:history="1">
        <w:r w:rsidR="003E29CF" w:rsidRPr="003E29CF">
          <w:rPr>
            <w:rStyle w:val="Hyperlink"/>
            <w:noProof/>
          </w:rPr>
          <w:t>5.1 Requirements for Operating Reserves</w:t>
        </w:r>
        <w:r w:rsidR="003E29CF" w:rsidRPr="003E29CF">
          <w:rPr>
            <w:noProof/>
            <w:webHidden/>
          </w:rPr>
          <w:tab/>
        </w:r>
        <w:r w:rsidRPr="003E29CF">
          <w:rPr>
            <w:noProof/>
            <w:webHidden/>
          </w:rPr>
          <w:fldChar w:fldCharType="begin"/>
        </w:r>
        <w:r w:rsidR="003E29CF" w:rsidRPr="003E29CF">
          <w:rPr>
            <w:noProof/>
            <w:webHidden/>
          </w:rPr>
          <w:instrText xml:space="preserve"> PAGEREF _Toc271632230 \h </w:instrText>
        </w:r>
        <w:r w:rsidRPr="003E29CF">
          <w:rPr>
            <w:noProof/>
            <w:webHidden/>
          </w:rPr>
        </w:r>
        <w:r w:rsidRPr="003E29CF">
          <w:rPr>
            <w:noProof/>
            <w:webHidden/>
          </w:rPr>
          <w:fldChar w:fldCharType="separate"/>
        </w:r>
        <w:r w:rsidR="00E5699E">
          <w:rPr>
            <w:noProof/>
            <w:webHidden/>
          </w:rPr>
          <w:t>52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31" w:history="1">
        <w:r w:rsidR="003E29CF" w:rsidRPr="003E29CF">
          <w:rPr>
            <w:rStyle w:val="Hyperlink"/>
            <w:rFonts w:cs="Times New Roman"/>
            <w:noProof/>
          </w:rPr>
          <w:t>5.1.1</w:t>
        </w:r>
        <w:r w:rsidR="003E29CF" w:rsidRPr="003E29CF">
          <w:rPr>
            <w:rStyle w:val="Hyperlink"/>
            <w:noProof/>
          </w:rPr>
          <w:t xml:space="preserve"> Systemwide Operating-Reserve Requirements</w:t>
        </w:r>
        <w:r w:rsidR="003E29CF" w:rsidRPr="003E29CF">
          <w:rPr>
            <w:noProof/>
            <w:webHidden/>
          </w:rPr>
          <w:tab/>
        </w:r>
        <w:r w:rsidRPr="003E29CF">
          <w:rPr>
            <w:noProof/>
            <w:webHidden/>
          </w:rPr>
          <w:fldChar w:fldCharType="begin"/>
        </w:r>
        <w:r w:rsidR="003E29CF" w:rsidRPr="003E29CF">
          <w:rPr>
            <w:noProof/>
            <w:webHidden/>
          </w:rPr>
          <w:instrText xml:space="preserve"> PAGEREF _Toc271632231 \h </w:instrText>
        </w:r>
        <w:r w:rsidRPr="003E29CF">
          <w:rPr>
            <w:noProof/>
            <w:webHidden/>
          </w:rPr>
        </w:r>
        <w:r w:rsidRPr="003E29CF">
          <w:rPr>
            <w:noProof/>
            <w:webHidden/>
          </w:rPr>
          <w:fldChar w:fldCharType="separate"/>
        </w:r>
        <w:r w:rsidR="00E5699E">
          <w:rPr>
            <w:noProof/>
            <w:webHidden/>
          </w:rPr>
          <w:t>52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32" w:history="1">
        <w:r w:rsidR="003E29CF" w:rsidRPr="003E29CF">
          <w:rPr>
            <w:rStyle w:val="Hyperlink"/>
            <w:rFonts w:cs="Times New Roman"/>
            <w:noProof/>
          </w:rPr>
          <w:t>5.1.2</w:t>
        </w:r>
        <w:r w:rsidR="003E29CF" w:rsidRPr="003E29CF">
          <w:rPr>
            <w:rStyle w:val="Hyperlink"/>
            <w:noProof/>
          </w:rPr>
          <w:t xml:space="preserve"> Forward Reserve Market Requirements for Major Import Areas</w:t>
        </w:r>
        <w:r w:rsidR="003E29CF" w:rsidRPr="003E29CF">
          <w:rPr>
            <w:noProof/>
            <w:webHidden/>
          </w:rPr>
          <w:tab/>
        </w:r>
        <w:r w:rsidRPr="003E29CF">
          <w:rPr>
            <w:noProof/>
            <w:webHidden/>
          </w:rPr>
          <w:fldChar w:fldCharType="begin"/>
        </w:r>
        <w:r w:rsidR="003E29CF" w:rsidRPr="003E29CF">
          <w:rPr>
            <w:noProof/>
            <w:webHidden/>
          </w:rPr>
          <w:instrText xml:space="preserve"> PAGEREF _Toc271632232 \h </w:instrText>
        </w:r>
        <w:r w:rsidRPr="003E29CF">
          <w:rPr>
            <w:noProof/>
            <w:webHidden/>
          </w:rPr>
        </w:r>
        <w:r w:rsidRPr="003E29CF">
          <w:rPr>
            <w:noProof/>
            <w:webHidden/>
          </w:rPr>
          <w:fldChar w:fldCharType="separate"/>
        </w:r>
        <w:r w:rsidR="00E5699E">
          <w:rPr>
            <w:noProof/>
            <w:webHidden/>
          </w:rPr>
          <w:t>53</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33" w:history="1">
        <w:r w:rsidR="003E29CF" w:rsidRPr="003E29CF">
          <w:rPr>
            <w:rStyle w:val="Hyperlink"/>
            <w:noProof/>
          </w:rPr>
          <w:t>5.2 Demand-Response Reserves Pilot Program</w:t>
        </w:r>
        <w:r w:rsidR="003E29CF" w:rsidRPr="003E29CF">
          <w:rPr>
            <w:noProof/>
            <w:webHidden/>
          </w:rPr>
          <w:tab/>
        </w:r>
        <w:r w:rsidRPr="003E29CF">
          <w:rPr>
            <w:noProof/>
            <w:webHidden/>
          </w:rPr>
          <w:fldChar w:fldCharType="begin"/>
        </w:r>
        <w:r w:rsidR="003E29CF" w:rsidRPr="003E29CF">
          <w:rPr>
            <w:noProof/>
            <w:webHidden/>
          </w:rPr>
          <w:instrText xml:space="preserve"> PAGEREF _Toc271632233 \h </w:instrText>
        </w:r>
        <w:r w:rsidRPr="003E29CF">
          <w:rPr>
            <w:noProof/>
            <w:webHidden/>
          </w:rPr>
        </w:r>
        <w:r w:rsidRPr="003E29CF">
          <w:rPr>
            <w:noProof/>
            <w:webHidden/>
          </w:rPr>
          <w:fldChar w:fldCharType="separate"/>
        </w:r>
        <w:r w:rsidR="00E5699E">
          <w:rPr>
            <w:noProof/>
            <w:webHidden/>
          </w:rPr>
          <w:t>56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34" w:history="1">
        <w:r w:rsidR="003E29CF" w:rsidRPr="003E29CF">
          <w:rPr>
            <w:rStyle w:val="Hyperlink"/>
            <w:noProof/>
          </w:rPr>
          <w:t>5.3 Summary of Key Findings and Follow-Up</w:t>
        </w:r>
        <w:r w:rsidR="003E29CF" w:rsidRPr="003E29CF">
          <w:rPr>
            <w:noProof/>
            <w:webHidden/>
          </w:rPr>
          <w:tab/>
        </w:r>
        <w:r w:rsidRPr="003E29CF">
          <w:rPr>
            <w:noProof/>
            <w:webHidden/>
          </w:rPr>
          <w:fldChar w:fldCharType="begin"/>
        </w:r>
        <w:r w:rsidR="003E29CF" w:rsidRPr="003E29CF">
          <w:rPr>
            <w:noProof/>
            <w:webHidden/>
          </w:rPr>
          <w:instrText xml:space="preserve"> PAGEREF _Toc271632234 \h </w:instrText>
        </w:r>
        <w:r w:rsidRPr="003E29CF">
          <w:rPr>
            <w:noProof/>
            <w:webHidden/>
          </w:rPr>
        </w:r>
        <w:r w:rsidRPr="003E29CF">
          <w:rPr>
            <w:noProof/>
            <w:webHidden/>
          </w:rPr>
          <w:fldChar w:fldCharType="separate"/>
        </w:r>
        <w:r w:rsidR="00E5699E">
          <w:rPr>
            <w:noProof/>
            <w:webHidden/>
          </w:rPr>
          <w:t>58</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35" w:history="1">
        <w:r w:rsidR="003E29CF" w:rsidRPr="003E29CF">
          <w:rPr>
            <w:rStyle w:val="Hyperlink"/>
            <w:sz w:val="22"/>
          </w:rPr>
          <w:t>Section 6</w:t>
        </w:r>
        <w:r w:rsidR="003E29CF">
          <w:rPr>
            <w:rStyle w:val="Hyperlink"/>
            <w:sz w:val="22"/>
          </w:rPr>
          <w:br/>
        </w:r>
        <w:r w:rsidR="003E29CF" w:rsidRPr="003E29CF">
          <w:rPr>
            <w:rStyle w:val="Hyperlink"/>
            <w:sz w:val="22"/>
          </w:rPr>
          <w:t>Transmission Security and Upgrades</w:t>
        </w:r>
        <w:r w:rsidR="003E29CF" w:rsidRPr="003E29CF">
          <w:rPr>
            <w:webHidden/>
            <w:sz w:val="22"/>
          </w:rPr>
          <w:tab/>
        </w:r>
        <w:r w:rsidRPr="003E29CF">
          <w:rPr>
            <w:webHidden/>
            <w:sz w:val="22"/>
          </w:rPr>
          <w:fldChar w:fldCharType="begin"/>
        </w:r>
        <w:r w:rsidR="003E29CF" w:rsidRPr="003E29CF">
          <w:rPr>
            <w:webHidden/>
            <w:sz w:val="22"/>
          </w:rPr>
          <w:instrText xml:space="preserve"> PAGEREF _Toc271632235 \h </w:instrText>
        </w:r>
        <w:r w:rsidRPr="003E29CF">
          <w:rPr>
            <w:webHidden/>
            <w:sz w:val="22"/>
          </w:rPr>
        </w:r>
        <w:r w:rsidRPr="003E29CF">
          <w:rPr>
            <w:webHidden/>
            <w:sz w:val="22"/>
          </w:rPr>
          <w:fldChar w:fldCharType="separate"/>
        </w:r>
        <w:r w:rsidR="00E5699E">
          <w:rPr>
            <w:webHidden/>
            <w:sz w:val="22"/>
          </w:rPr>
          <w:t>59</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36" w:history="1">
        <w:r w:rsidR="003E29CF" w:rsidRPr="003E29CF">
          <w:rPr>
            <w:rStyle w:val="Hyperlink"/>
            <w:noProof/>
          </w:rPr>
          <w:t>6.1 The Need for Transmission Security</w:t>
        </w:r>
        <w:r w:rsidR="003E29CF" w:rsidRPr="003E29CF">
          <w:rPr>
            <w:noProof/>
            <w:webHidden/>
          </w:rPr>
          <w:tab/>
        </w:r>
        <w:r w:rsidRPr="003E29CF">
          <w:rPr>
            <w:noProof/>
            <w:webHidden/>
          </w:rPr>
          <w:fldChar w:fldCharType="begin"/>
        </w:r>
        <w:r w:rsidR="003E29CF" w:rsidRPr="003E29CF">
          <w:rPr>
            <w:noProof/>
            <w:webHidden/>
          </w:rPr>
          <w:instrText xml:space="preserve"> PAGEREF _Toc271632236 \h </w:instrText>
        </w:r>
        <w:r w:rsidRPr="003E29CF">
          <w:rPr>
            <w:noProof/>
            <w:webHidden/>
          </w:rPr>
        </w:r>
        <w:r w:rsidRPr="003E29CF">
          <w:rPr>
            <w:noProof/>
            <w:webHidden/>
          </w:rPr>
          <w:fldChar w:fldCharType="separate"/>
        </w:r>
        <w:r w:rsidR="00E5699E">
          <w:rPr>
            <w:noProof/>
            <w:webHidden/>
          </w:rPr>
          <w:t>60</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37" w:history="1">
        <w:r w:rsidR="003E29CF" w:rsidRPr="003E29CF">
          <w:rPr>
            <w:rStyle w:val="Hyperlink"/>
            <w:noProof/>
          </w:rPr>
          <w:t>6.2 Transmission Planning Process</w:t>
        </w:r>
        <w:r w:rsidR="003E29CF" w:rsidRPr="003E29CF">
          <w:rPr>
            <w:noProof/>
            <w:webHidden/>
          </w:rPr>
          <w:tab/>
        </w:r>
        <w:r w:rsidRPr="003E29CF">
          <w:rPr>
            <w:noProof/>
            <w:webHidden/>
          </w:rPr>
          <w:fldChar w:fldCharType="begin"/>
        </w:r>
        <w:r w:rsidR="003E29CF" w:rsidRPr="003E29CF">
          <w:rPr>
            <w:noProof/>
            <w:webHidden/>
          </w:rPr>
          <w:instrText xml:space="preserve"> PAGEREF _Toc271632237 \h </w:instrText>
        </w:r>
        <w:r w:rsidRPr="003E29CF">
          <w:rPr>
            <w:noProof/>
            <w:webHidden/>
          </w:rPr>
        </w:r>
        <w:r w:rsidRPr="003E29CF">
          <w:rPr>
            <w:noProof/>
            <w:webHidden/>
          </w:rPr>
          <w:fldChar w:fldCharType="separate"/>
        </w:r>
        <w:r w:rsidR="00E5699E">
          <w:rPr>
            <w:noProof/>
            <w:webHidden/>
          </w:rPr>
          <w:t>60</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38" w:history="1">
        <w:r w:rsidR="003E29CF" w:rsidRPr="003E29CF">
          <w:rPr>
            <w:rStyle w:val="Hyperlink"/>
            <w:rFonts w:cs="Times New Roman"/>
            <w:noProof/>
          </w:rPr>
          <w:t>6.2.1</w:t>
        </w:r>
        <w:r w:rsidR="003E29CF" w:rsidRPr="003E29CF">
          <w:rPr>
            <w:rStyle w:val="Hyperlink"/>
            <w:noProof/>
          </w:rPr>
          <w:t xml:space="preserve"> Needs Assessments and Solutions Studies</w:t>
        </w:r>
        <w:r w:rsidR="003E29CF" w:rsidRPr="003E29CF">
          <w:rPr>
            <w:noProof/>
            <w:webHidden/>
          </w:rPr>
          <w:tab/>
        </w:r>
        <w:r w:rsidRPr="003E29CF">
          <w:rPr>
            <w:noProof/>
            <w:webHidden/>
          </w:rPr>
          <w:fldChar w:fldCharType="begin"/>
        </w:r>
        <w:r w:rsidR="003E29CF" w:rsidRPr="003E29CF">
          <w:rPr>
            <w:noProof/>
            <w:webHidden/>
          </w:rPr>
          <w:instrText xml:space="preserve"> PAGEREF _Toc271632238 \h </w:instrText>
        </w:r>
        <w:r w:rsidRPr="003E29CF">
          <w:rPr>
            <w:noProof/>
            <w:webHidden/>
          </w:rPr>
        </w:r>
        <w:r w:rsidRPr="003E29CF">
          <w:rPr>
            <w:noProof/>
            <w:webHidden/>
          </w:rPr>
          <w:fldChar w:fldCharType="separate"/>
        </w:r>
        <w:r w:rsidR="00E5699E">
          <w:rPr>
            <w:noProof/>
            <w:webHidden/>
          </w:rPr>
          <w:t>61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39" w:history="1">
        <w:r w:rsidR="003E29CF" w:rsidRPr="003E29CF">
          <w:rPr>
            <w:rStyle w:val="Hyperlink"/>
            <w:rFonts w:cs="Times New Roman"/>
            <w:noProof/>
          </w:rPr>
          <w:t>6.2.2</w:t>
        </w:r>
        <w:r w:rsidR="003E29CF" w:rsidRPr="003E29CF">
          <w:rPr>
            <w:rStyle w:val="Hyperlink"/>
            <w:noProof/>
          </w:rPr>
          <w:t xml:space="preserve"> Project Timing</w:t>
        </w:r>
        <w:r w:rsidR="003E29CF" w:rsidRPr="003E29CF">
          <w:rPr>
            <w:noProof/>
            <w:webHidden/>
          </w:rPr>
          <w:tab/>
        </w:r>
        <w:r w:rsidRPr="003E29CF">
          <w:rPr>
            <w:noProof/>
            <w:webHidden/>
          </w:rPr>
          <w:fldChar w:fldCharType="begin"/>
        </w:r>
        <w:r w:rsidR="003E29CF" w:rsidRPr="003E29CF">
          <w:rPr>
            <w:noProof/>
            <w:webHidden/>
          </w:rPr>
          <w:instrText xml:space="preserve"> PAGEREF _Toc271632239 \h </w:instrText>
        </w:r>
        <w:r w:rsidRPr="003E29CF">
          <w:rPr>
            <w:noProof/>
            <w:webHidden/>
          </w:rPr>
        </w:r>
        <w:r w:rsidRPr="003E29CF">
          <w:rPr>
            <w:noProof/>
            <w:webHidden/>
          </w:rPr>
          <w:fldChar w:fldCharType="separate"/>
        </w:r>
        <w:r w:rsidR="00E5699E">
          <w:rPr>
            <w:noProof/>
            <w:webHidden/>
          </w:rPr>
          <w:t>61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0" w:history="1">
        <w:r w:rsidR="003E29CF" w:rsidRPr="003E29CF">
          <w:rPr>
            <w:rStyle w:val="Hyperlink"/>
            <w:rFonts w:cs="Times New Roman"/>
            <w:noProof/>
          </w:rPr>
          <w:t>6.2.3</w:t>
        </w:r>
        <w:r w:rsidR="003E29CF" w:rsidRPr="003E29CF">
          <w:rPr>
            <w:rStyle w:val="Hyperlink"/>
            <w:noProof/>
          </w:rPr>
          <w:t xml:space="preserve"> Types of Transmission Upgrades</w:t>
        </w:r>
        <w:r w:rsidR="003E29CF" w:rsidRPr="003E29CF">
          <w:rPr>
            <w:noProof/>
            <w:webHidden/>
          </w:rPr>
          <w:tab/>
        </w:r>
        <w:r w:rsidRPr="003E29CF">
          <w:rPr>
            <w:noProof/>
            <w:webHidden/>
          </w:rPr>
          <w:fldChar w:fldCharType="begin"/>
        </w:r>
        <w:r w:rsidR="003E29CF" w:rsidRPr="003E29CF">
          <w:rPr>
            <w:noProof/>
            <w:webHidden/>
          </w:rPr>
          <w:instrText xml:space="preserve"> PAGEREF _Toc271632240 \h </w:instrText>
        </w:r>
        <w:r w:rsidRPr="003E29CF">
          <w:rPr>
            <w:noProof/>
            <w:webHidden/>
          </w:rPr>
        </w:r>
        <w:r w:rsidRPr="003E29CF">
          <w:rPr>
            <w:noProof/>
            <w:webHidden/>
          </w:rPr>
          <w:fldChar w:fldCharType="separate"/>
        </w:r>
        <w:r w:rsidR="00E5699E">
          <w:rPr>
            <w:noProof/>
            <w:webHidden/>
          </w:rPr>
          <w:t>62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41" w:history="1">
        <w:r w:rsidR="003E29CF" w:rsidRPr="003E29CF">
          <w:rPr>
            <w:rStyle w:val="Hyperlink"/>
            <w:noProof/>
          </w:rPr>
          <w:t>6.3</w:t>
        </w:r>
        <w:r w:rsidR="003E29CF" w:rsidRPr="003E29CF">
          <w:rPr>
            <w:rStyle w:val="Hyperlink"/>
            <w:i/>
            <w:noProof/>
          </w:rPr>
          <w:t xml:space="preserve"> RSP Project List</w:t>
        </w:r>
        <w:r w:rsidR="003E29CF" w:rsidRPr="003E29CF">
          <w:rPr>
            <w:rStyle w:val="Hyperlink"/>
            <w:noProof/>
          </w:rPr>
          <w:t xml:space="preserve"> and Projected Transmission Project Costs</w:t>
        </w:r>
        <w:r w:rsidR="003E29CF" w:rsidRPr="003E29CF">
          <w:rPr>
            <w:noProof/>
            <w:webHidden/>
          </w:rPr>
          <w:tab/>
        </w:r>
        <w:r w:rsidRPr="003E29CF">
          <w:rPr>
            <w:noProof/>
            <w:webHidden/>
          </w:rPr>
          <w:fldChar w:fldCharType="begin"/>
        </w:r>
        <w:r w:rsidR="003E29CF" w:rsidRPr="003E29CF">
          <w:rPr>
            <w:noProof/>
            <w:webHidden/>
          </w:rPr>
          <w:instrText xml:space="preserve"> PAGEREF _Toc271632241 \h </w:instrText>
        </w:r>
        <w:r w:rsidRPr="003E29CF">
          <w:rPr>
            <w:noProof/>
            <w:webHidden/>
          </w:rPr>
        </w:r>
        <w:r w:rsidRPr="003E29CF">
          <w:rPr>
            <w:noProof/>
            <w:webHidden/>
          </w:rPr>
          <w:fldChar w:fldCharType="separate"/>
        </w:r>
        <w:r w:rsidR="00E5699E">
          <w:rPr>
            <w:noProof/>
            <w:webHidden/>
          </w:rPr>
          <w:t>64</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42" w:history="1">
        <w:r w:rsidR="003E29CF" w:rsidRPr="003E29CF">
          <w:rPr>
            <w:rStyle w:val="Hyperlink"/>
            <w:noProof/>
          </w:rPr>
          <w:t>6.4 Transmission System Performance Needs Assessments and Upgrade Approvals</w:t>
        </w:r>
        <w:r w:rsidR="003E29CF" w:rsidRPr="003E29CF">
          <w:rPr>
            <w:noProof/>
            <w:webHidden/>
          </w:rPr>
          <w:tab/>
        </w:r>
        <w:r w:rsidRPr="003E29CF">
          <w:rPr>
            <w:noProof/>
            <w:webHidden/>
          </w:rPr>
          <w:fldChar w:fldCharType="begin"/>
        </w:r>
        <w:r w:rsidR="003E29CF" w:rsidRPr="003E29CF">
          <w:rPr>
            <w:noProof/>
            <w:webHidden/>
          </w:rPr>
          <w:instrText xml:space="preserve"> PAGEREF _Toc271632242 \h </w:instrText>
        </w:r>
        <w:r w:rsidRPr="003E29CF">
          <w:rPr>
            <w:noProof/>
            <w:webHidden/>
          </w:rPr>
        </w:r>
        <w:r w:rsidRPr="003E29CF">
          <w:rPr>
            <w:noProof/>
            <w:webHidden/>
          </w:rPr>
          <w:fldChar w:fldCharType="separate"/>
        </w:r>
        <w:r w:rsidR="00E5699E">
          <w:rPr>
            <w:noProof/>
            <w:webHidden/>
          </w:rPr>
          <w:t>66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3" w:history="1">
        <w:r w:rsidR="003E29CF" w:rsidRPr="003E29CF">
          <w:rPr>
            <w:rStyle w:val="Hyperlink"/>
            <w:rFonts w:cs="Times New Roman"/>
            <w:noProof/>
          </w:rPr>
          <w:t>6.4.1</w:t>
        </w:r>
        <w:r w:rsidR="003E29CF" w:rsidRPr="003E29CF">
          <w:rPr>
            <w:rStyle w:val="Hyperlink"/>
            <w:noProof/>
          </w:rPr>
          <w:t xml:space="preserve"> Northern New England</w:t>
        </w:r>
        <w:r w:rsidR="003E29CF" w:rsidRPr="003E29CF">
          <w:rPr>
            <w:noProof/>
            <w:webHidden/>
          </w:rPr>
          <w:tab/>
        </w:r>
        <w:r w:rsidRPr="003E29CF">
          <w:rPr>
            <w:noProof/>
            <w:webHidden/>
          </w:rPr>
          <w:fldChar w:fldCharType="begin"/>
        </w:r>
        <w:r w:rsidR="003E29CF" w:rsidRPr="003E29CF">
          <w:rPr>
            <w:noProof/>
            <w:webHidden/>
          </w:rPr>
          <w:instrText xml:space="preserve"> PAGEREF _Toc271632243 \h </w:instrText>
        </w:r>
        <w:r w:rsidRPr="003E29CF">
          <w:rPr>
            <w:noProof/>
            <w:webHidden/>
          </w:rPr>
        </w:r>
        <w:r w:rsidRPr="003E29CF">
          <w:rPr>
            <w:noProof/>
            <w:webHidden/>
          </w:rPr>
          <w:fldChar w:fldCharType="separate"/>
        </w:r>
        <w:r w:rsidR="00E5699E">
          <w:rPr>
            <w:noProof/>
            <w:webHidden/>
          </w:rPr>
          <w:t>67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4" w:history="1">
        <w:r w:rsidR="003E29CF" w:rsidRPr="003E29CF">
          <w:rPr>
            <w:rStyle w:val="Hyperlink"/>
            <w:rFonts w:cs="Times New Roman"/>
            <w:noProof/>
          </w:rPr>
          <w:t>6.4.2</w:t>
        </w:r>
        <w:r w:rsidR="003E29CF" w:rsidRPr="003E29CF">
          <w:rPr>
            <w:rStyle w:val="Hyperlink"/>
            <w:noProof/>
          </w:rPr>
          <w:t xml:space="preserve"> Southern New England</w:t>
        </w:r>
        <w:r w:rsidR="003E29CF" w:rsidRPr="003E29CF">
          <w:rPr>
            <w:noProof/>
            <w:webHidden/>
          </w:rPr>
          <w:tab/>
        </w:r>
        <w:r w:rsidRPr="003E29CF">
          <w:rPr>
            <w:noProof/>
            <w:webHidden/>
          </w:rPr>
          <w:fldChar w:fldCharType="begin"/>
        </w:r>
        <w:r w:rsidR="003E29CF" w:rsidRPr="003E29CF">
          <w:rPr>
            <w:noProof/>
            <w:webHidden/>
          </w:rPr>
          <w:instrText xml:space="preserve"> PAGEREF _Toc271632244 \h </w:instrText>
        </w:r>
        <w:r w:rsidRPr="003E29CF">
          <w:rPr>
            <w:noProof/>
            <w:webHidden/>
          </w:rPr>
        </w:r>
        <w:r w:rsidRPr="003E29CF">
          <w:rPr>
            <w:noProof/>
            <w:webHidden/>
          </w:rPr>
          <w:fldChar w:fldCharType="separate"/>
        </w:r>
        <w:r w:rsidR="00E5699E">
          <w:rPr>
            <w:noProof/>
            <w:webHidden/>
          </w:rPr>
          <w:t>75</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45" w:history="1">
        <w:r w:rsidR="003E29CF" w:rsidRPr="003E29CF">
          <w:rPr>
            <w:rStyle w:val="Hyperlink"/>
            <w:noProof/>
          </w:rPr>
          <w:t>6.5 Transmission Improvements to Load and Generation Pockets Addressing Reliability Issues</w:t>
        </w:r>
        <w:r w:rsidR="003E29CF" w:rsidRPr="003E29CF">
          <w:rPr>
            <w:noProof/>
            <w:webHidden/>
          </w:rPr>
          <w:tab/>
        </w:r>
        <w:r w:rsidRPr="003E29CF">
          <w:rPr>
            <w:noProof/>
            <w:webHidden/>
          </w:rPr>
          <w:fldChar w:fldCharType="begin"/>
        </w:r>
        <w:r w:rsidR="003E29CF" w:rsidRPr="003E29CF">
          <w:rPr>
            <w:noProof/>
            <w:webHidden/>
          </w:rPr>
          <w:instrText xml:space="preserve"> PAGEREF _Toc271632245 \h </w:instrText>
        </w:r>
        <w:r w:rsidRPr="003E29CF">
          <w:rPr>
            <w:noProof/>
            <w:webHidden/>
          </w:rPr>
        </w:r>
        <w:r w:rsidRPr="003E29CF">
          <w:rPr>
            <w:noProof/>
            <w:webHidden/>
          </w:rPr>
          <w:fldChar w:fldCharType="separate"/>
        </w:r>
        <w:r w:rsidR="00E5699E">
          <w:rPr>
            <w:noProof/>
            <w:webHidden/>
          </w:rPr>
          <w:t>84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6" w:history="1">
        <w:r w:rsidR="003E29CF" w:rsidRPr="003E29CF">
          <w:rPr>
            <w:rStyle w:val="Hyperlink"/>
            <w:rFonts w:cs="Times New Roman"/>
            <w:noProof/>
          </w:rPr>
          <w:t>6.5.1</w:t>
        </w:r>
        <w:r w:rsidR="003E29CF" w:rsidRPr="003E29CF">
          <w:rPr>
            <w:rStyle w:val="Hyperlink"/>
            <w:noProof/>
          </w:rPr>
          <w:t xml:space="preserve"> Maine</w:t>
        </w:r>
        <w:r w:rsidR="003E29CF" w:rsidRPr="003E29CF">
          <w:rPr>
            <w:noProof/>
            <w:webHidden/>
          </w:rPr>
          <w:tab/>
        </w:r>
        <w:r w:rsidRPr="003E29CF">
          <w:rPr>
            <w:noProof/>
            <w:webHidden/>
          </w:rPr>
          <w:fldChar w:fldCharType="begin"/>
        </w:r>
        <w:r w:rsidR="003E29CF" w:rsidRPr="003E29CF">
          <w:rPr>
            <w:noProof/>
            <w:webHidden/>
          </w:rPr>
          <w:instrText xml:space="preserve"> PAGEREF _Toc271632246 \h </w:instrText>
        </w:r>
        <w:r w:rsidRPr="003E29CF">
          <w:rPr>
            <w:noProof/>
            <w:webHidden/>
          </w:rPr>
        </w:r>
        <w:r w:rsidRPr="003E29CF">
          <w:rPr>
            <w:noProof/>
            <w:webHidden/>
          </w:rPr>
          <w:fldChar w:fldCharType="separate"/>
        </w:r>
        <w:r w:rsidR="00E5699E">
          <w:rPr>
            <w:noProof/>
            <w:webHidden/>
          </w:rPr>
          <w:t>85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7" w:history="1">
        <w:r w:rsidR="003E29CF" w:rsidRPr="003E29CF">
          <w:rPr>
            <w:rStyle w:val="Hyperlink"/>
            <w:rFonts w:cs="Times New Roman"/>
            <w:noProof/>
          </w:rPr>
          <w:t>6.5.2</w:t>
        </w:r>
        <w:r w:rsidR="003E29CF" w:rsidRPr="003E29CF">
          <w:rPr>
            <w:rStyle w:val="Hyperlink"/>
            <w:noProof/>
          </w:rPr>
          <w:t xml:space="preserve"> Boston Area</w:t>
        </w:r>
        <w:r w:rsidR="003E29CF" w:rsidRPr="003E29CF">
          <w:rPr>
            <w:noProof/>
            <w:webHidden/>
          </w:rPr>
          <w:tab/>
        </w:r>
        <w:r w:rsidRPr="003E29CF">
          <w:rPr>
            <w:noProof/>
            <w:webHidden/>
          </w:rPr>
          <w:fldChar w:fldCharType="begin"/>
        </w:r>
        <w:r w:rsidR="003E29CF" w:rsidRPr="003E29CF">
          <w:rPr>
            <w:noProof/>
            <w:webHidden/>
          </w:rPr>
          <w:instrText xml:space="preserve"> PAGEREF _Toc271632247 \h </w:instrText>
        </w:r>
        <w:r w:rsidRPr="003E29CF">
          <w:rPr>
            <w:noProof/>
            <w:webHidden/>
          </w:rPr>
        </w:r>
        <w:r w:rsidRPr="003E29CF">
          <w:rPr>
            <w:noProof/>
            <w:webHidden/>
          </w:rPr>
          <w:fldChar w:fldCharType="separate"/>
        </w:r>
        <w:r w:rsidR="00E5699E">
          <w:rPr>
            <w:noProof/>
            <w:webHidden/>
          </w:rPr>
          <w:t>85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8" w:history="1">
        <w:r w:rsidR="003E29CF" w:rsidRPr="003E29CF">
          <w:rPr>
            <w:rStyle w:val="Hyperlink"/>
            <w:rFonts w:cs="Times New Roman"/>
            <w:noProof/>
          </w:rPr>
          <w:t>6.5.3</w:t>
        </w:r>
        <w:r w:rsidR="003E29CF" w:rsidRPr="003E29CF">
          <w:rPr>
            <w:rStyle w:val="Hyperlink"/>
            <w:noProof/>
          </w:rPr>
          <w:t xml:space="preserve"> Southeastern Massachusetts</w:t>
        </w:r>
        <w:r w:rsidR="003E29CF" w:rsidRPr="003E29CF">
          <w:rPr>
            <w:noProof/>
            <w:webHidden/>
          </w:rPr>
          <w:tab/>
        </w:r>
        <w:r w:rsidRPr="003E29CF">
          <w:rPr>
            <w:noProof/>
            <w:webHidden/>
          </w:rPr>
          <w:fldChar w:fldCharType="begin"/>
        </w:r>
        <w:r w:rsidR="003E29CF" w:rsidRPr="003E29CF">
          <w:rPr>
            <w:noProof/>
            <w:webHidden/>
          </w:rPr>
          <w:instrText xml:space="preserve"> PAGEREF _Toc271632248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49" w:history="1">
        <w:r w:rsidR="003E29CF" w:rsidRPr="003E29CF">
          <w:rPr>
            <w:rStyle w:val="Hyperlink"/>
            <w:rFonts w:cs="Times New Roman"/>
            <w:noProof/>
          </w:rPr>
          <w:t>6.5.4</w:t>
        </w:r>
        <w:r w:rsidR="003E29CF" w:rsidRPr="003E29CF">
          <w:rPr>
            <w:rStyle w:val="Hyperlink"/>
            <w:noProof/>
          </w:rPr>
          <w:t xml:space="preserve"> Western Massachusetts</w:t>
        </w:r>
        <w:r w:rsidR="003E29CF" w:rsidRPr="003E29CF">
          <w:rPr>
            <w:noProof/>
            <w:webHidden/>
          </w:rPr>
          <w:tab/>
        </w:r>
        <w:r w:rsidRPr="003E29CF">
          <w:rPr>
            <w:noProof/>
            <w:webHidden/>
          </w:rPr>
          <w:fldChar w:fldCharType="begin"/>
        </w:r>
        <w:r w:rsidR="003E29CF" w:rsidRPr="003E29CF">
          <w:rPr>
            <w:noProof/>
            <w:webHidden/>
          </w:rPr>
          <w:instrText xml:space="preserve"> PAGEREF _Toc271632249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0" w:history="1">
        <w:r w:rsidR="003E29CF" w:rsidRPr="003E29CF">
          <w:rPr>
            <w:rStyle w:val="Hyperlink"/>
            <w:rFonts w:cs="Times New Roman"/>
            <w:noProof/>
          </w:rPr>
          <w:t>6.5.5</w:t>
        </w:r>
        <w:r w:rsidR="003E29CF" w:rsidRPr="003E29CF">
          <w:rPr>
            <w:rStyle w:val="Hyperlink"/>
            <w:noProof/>
          </w:rPr>
          <w:t xml:space="preserve"> Springfield Area</w:t>
        </w:r>
        <w:r w:rsidR="003E29CF" w:rsidRPr="003E29CF">
          <w:rPr>
            <w:noProof/>
            <w:webHidden/>
          </w:rPr>
          <w:tab/>
        </w:r>
        <w:r w:rsidRPr="003E29CF">
          <w:rPr>
            <w:noProof/>
            <w:webHidden/>
          </w:rPr>
          <w:fldChar w:fldCharType="begin"/>
        </w:r>
        <w:r w:rsidR="003E29CF" w:rsidRPr="003E29CF">
          <w:rPr>
            <w:noProof/>
            <w:webHidden/>
          </w:rPr>
          <w:instrText xml:space="preserve"> PAGEREF _Toc271632250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1" w:history="1">
        <w:r w:rsidR="003E29CF" w:rsidRPr="003E29CF">
          <w:rPr>
            <w:rStyle w:val="Hyperlink"/>
            <w:rFonts w:cs="Times New Roman"/>
            <w:noProof/>
          </w:rPr>
          <w:t>6.5.6</w:t>
        </w:r>
        <w:r w:rsidR="003E29CF" w:rsidRPr="003E29CF">
          <w:rPr>
            <w:rStyle w:val="Hyperlink"/>
            <w:noProof/>
          </w:rPr>
          <w:t xml:space="preserve"> Connecticut</w:t>
        </w:r>
        <w:r w:rsidR="003E29CF" w:rsidRPr="003E29CF">
          <w:rPr>
            <w:noProof/>
            <w:webHidden/>
          </w:rPr>
          <w:tab/>
        </w:r>
        <w:r w:rsidRPr="003E29CF">
          <w:rPr>
            <w:noProof/>
            <w:webHidden/>
          </w:rPr>
          <w:fldChar w:fldCharType="begin"/>
        </w:r>
        <w:r w:rsidR="003E29CF" w:rsidRPr="003E29CF">
          <w:rPr>
            <w:noProof/>
            <w:webHidden/>
          </w:rPr>
          <w:instrText xml:space="preserve"> PAGEREF _Toc271632251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2" w:history="1">
        <w:r w:rsidR="003E29CF" w:rsidRPr="003E29CF">
          <w:rPr>
            <w:rStyle w:val="Hyperlink"/>
            <w:rFonts w:cs="Times New Roman"/>
            <w:noProof/>
          </w:rPr>
          <w:t>6.5.7</w:t>
        </w:r>
        <w:r w:rsidR="003E29CF" w:rsidRPr="003E29CF">
          <w:rPr>
            <w:rStyle w:val="Hyperlink"/>
            <w:noProof/>
          </w:rPr>
          <w:t xml:space="preserve"> Southwest Connecticut Area</w:t>
        </w:r>
        <w:r w:rsidR="003E29CF" w:rsidRPr="003E29CF">
          <w:rPr>
            <w:noProof/>
            <w:webHidden/>
          </w:rPr>
          <w:tab/>
        </w:r>
        <w:r w:rsidRPr="003E29CF">
          <w:rPr>
            <w:noProof/>
            <w:webHidden/>
          </w:rPr>
          <w:fldChar w:fldCharType="begin"/>
        </w:r>
        <w:r w:rsidR="003E29CF" w:rsidRPr="003E29CF">
          <w:rPr>
            <w:noProof/>
            <w:webHidden/>
          </w:rPr>
          <w:instrText xml:space="preserve"> PAGEREF _Toc271632252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53" w:history="1">
        <w:r w:rsidR="003E29CF" w:rsidRPr="003E29CF">
          <w:rPr>
            <w:rStyle w:val="Hyperlink"/>
            <w:noProof/>
          </w:rPr>
          <w:t>6.6 Out</w:t>
        </w:r>
        <w:r w:rsidR="003E29CF" w:rsidRPr="003E29CF">
          <w:rPr>
            <w:rStyle w:val="Hyperlink"/>
            <w:noProof/>
          </w:rPr>
          <w:noBreakHyphen/>
          <w:t>of</w:t>
        </w:r>
        <w:r w:rsidR="003E29CF" w:rsidRPr="003E29CF">
          <w:rPr>
            <w:rStyle w:val="Hyperlink"/>
            <w:noProof/>
          </w:rPr>
          <w:noBreakHyphen/>
          <w:t>Merit Operating Situations</w:t>
        </w:r>
        <w:r w:rsidR="003E29CF" w:rsidRPr="003E29CF">
          <w:rPr>
            <w:noProof/>
            <w:webHidden/>
          </w:rPr>
          <w:tab/>
        </w:r>
        <w:r w:rsidRPr="003E29CF">
          <w:rPr>
            <w:noProof/>
            <w:webHidden/>
          </w:rPr>
          <w:fldChar w:fldCharType="begin"/>
        </w:r>
        <w:r w:rsidR="003E29CF" w:rsidRPr="003E29CF">
          <w:rPr>
            <w:noProof/>
            <w:webHidden/>
          </w:rPr>
          <w:instrText xml:space="preserve"> PAGEREF _Toc271632253 \h </w:instrText>
        </w:r>
        <w:r w:rsidRPr="003E29CF">
          <w:rPr>
            <w:noProof/>
            <w:webHidden/>
          </w:rPr>
        </w:r>
        <w:r w:rsidRPr="003E29CF">
          <w:rPr>
            <w:noProof/>
            <w:webHidden/>
          </w:rPr>
          <w:fldChar w:fldCharType="separate"/>
        </w:r>
        <w:r w:rsidR="00E5699E">
          <w:rPr>
            <w:noProof/>
            <w:webHidden/>
          </w:rPr>
          <w:t>86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54" w:history="1">
        <w:r w:rsidR="003E29CF" w:rsidRPr="003E29CF">
          <w:rPr>
            <w:rStyle w:val="Hyperlink"/>
            <w:noProof/>
          </w:rPr>
          <w:t>6.7 Other Needed and Elective Transmission Upgrades</w:t>
        </w:r>
        <w:r w:rsidR="003E29CF" w:rsidRPr="003E29CF">
          <w:rPr>
            <w:noProof/>
            <w:webHidden/>
          </w:rPr>
          <w:tab/>
        </w:r>
        <w:r w:rsidRPr="003E29CF">
          <w:rPr>
            <w:noProof/>
            <w:webHidden/>
          </w:rPr>
          <w:fldChar w:fldCharType="begin"/>
        </w:r>
        <w:r w:rsidR="003E29CF" w:rsidRPr="003E29CF">
          <w:rPr>
            <w:noProof/>
            <w:webHidden/>
          </w:rPr>
          <w:instrText xml:space="preserve"> PAGEREF _Toc271632254 \h </w:instrText>
        </w:r>
        <w:r w:rsidRPr="003E29CF">
          <w:rPr>
            <w:noProof/>
            <w:webHidden/>
          </w:rPr>
        </w:r>
        <w:r w:rsidRPr="003E29CF">
          <w:rPr>
            <w:noProof/>
            <w:webHidden/>
          </w:rPr>
          <w:fldChar w:fldCharType="separate"/>
        </w:r>
        <w:r w:rsidR="00E5699E">
          <w:rPr>
            <w:noProof/>
            <w:webHidden/>
          </w:rPr>
          <w:t>87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5" w:history="1">
        <w:r w:rsidR="003E29CF" w:rsidRPr="003E29CF">
          <w:rPr>
            <w:rStyle w:val="Hyperlink"/>
            <w:rFonts w:cs="Times New Roman"/>
            <w:noProof/>
          </w:rPr>
          <w:t>6.7.1</w:t>
        </w:r>
        <w:r w:rsidR="003E29CF" w:rsidRPr="003E29CF">
          <w:rPr>
            <w:rStyle w:val="Hyperlink"/>
            <w:noProof/>
          </w:rPr>
          <w:t xml:space="preserve"> Needed Market</w:t>
        </w:r>
        <w:r w:rsidR="00F811DF">
          <w:rPr>
            <w:rStyle w:val="Hyperlink"/>
            <w:noProof/>
          </w:rPr>
          <w:t>-</w:t>
        </w:r>
        <w:r w:rsidR="003E29CF" w:rsidRPr="003E29CF">
          <w:rPr>
            <w:rStyle w:val="Hyperlink"/>
            <w:noProof/>
          </w:rPr>
          <w:t>Efficiency-Related Transmission Upgrades</w:t>
        </w:r>
        <w:r w:rsidR="003E29CF" w:rsidRPr="003E29CF">
          <w:rPr>
            <w:noProof/>
            <w:webHidden/>
          </w:rPr>
          <w:tab/>
        </w:r>
        <w:r w:rsidRPr="003E29CF">
          <w:rPr>
            <w:noProof/>
            <w:webHidden/>
          </w:rPr>
          <w:fldChar w:fldCharType="begin"/>
        </w:r>
        <w:r w:rsidR="003E29CF" w:rsidRPr="003E29CF">
          <w:rPr>
            <w:noProof/>
            <w:webHidden/>
          </w:rPr>
          <w:instrText xml:space="preserve"> PAGEREF _Toc271632255 \h </w:instrText>
        </w:r>
        <w:r w:rsidRPr="003E29CF">
          <w:rPr>
            <w:noProof/>
            <w:webHidden/>
          </w:rPr>
        </w:r>
        <w:r w:rsidRPr="003E29CF">
          <w:rPr>
            <w:noProof/>
            <w:webHidden/>
          </w:rPr>
          <w:fldChar w:fldCharType="separate"/>
        </w:r>
        <w:r w:rsidR="00E5699E">
          <w:rPr>
            <w:noProof/>
            <w:webHidden/>
          </w:rPr>
          <w:t>87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6" w:history="1">
        <w:r w:rsidR="003E29CF" w:rsidRPr="003E29CF">
          <w:rPr>
            <w:rStyle w:val="Hyperlink"/>
            <w:rFonts w:cs="Times New Roman"/>
            <w:noProof/>
          </w:rPr>
          <w:t>6.7.2</w:t>
        </w:r>
        <w:r w:rsidR="003E29CF" w:rsidRPr="003E29CF">
          <w:rPr>
            <w:rStyle w:val="Hyperlink"/>
            <w:noProof/>
          </w:rPr>
          <w:t xml:space="preserve"> Required Generator</w:t>
        </w:r>
        <w:r w:rsidR="00F811DF">
          <w:rPr>
            <w:rStyle w:val="Hyperlink"/>
            <w:noProof/>
          </w:rPr>
          <w:t>-</w:t>
        </w:r>
        <w:r w:rsidR="003E29CF" w:rsidRPr="003E29CF">
          <w:rPr>
            <w:rStyle w:val="Hyperlink"/>
            <w:noProof/>
          </w:rPr>
          <w:t>Interconnection-Related Upgrades</w:t>
        </w:r>
        <w:r w:rsidR="003E29CF" w:rsidRPr="003E29CF">
          <w:rPr>
            <w:noProof/>
            <w:webHidden/>
          </w:rPr>
          <w:tab/>
        </w:r>
        <w:r w:rsidRPr="003E29CF">
          <w:rPr>
            <w:noProof/>
            <w:webHidden/>
          </w:rPr>
          <w:fldChar w:fldCharType="begin"/>
        </w:r>
        <w:r w:rsidR="003E29CF" w:rsidRPr="003E29CF">
          <w:rPr>
            <w:noProof/>
            <w:webHidden/>
          </w:rPr>
          <w:instrText xml:space="preserve"> PAGEREF _Toc271632256 \h </w:instrText>
        </w:r>
        <w:r w:rsidRPr="003E29CF">
          <w:rPr>
            <w:noProof/>
            <w:webHidden/>
          </w:rPr>
        </w:r>
        <w:r w:rsidRPr="003E29CF">
          <w:rPr>
            <w:noProof/>
            <w:webHidden/>
          </w:rPr>
          <w:fldChar w:fldCharType="separate"/>
        </w:r>
        <w:r w:rsidR="00E5699E">
          <w:rPr>
            <w:noProof/>
            <w:webHidden/>
          </w:rPr>
          <w:t>88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57" w:history="1">
        <w:r w:rsidR="003E29CF" w:rsidRPr="003E29CF">
          <w:rPr>
            <w:rStyle w:val="Hyperlink"/>
            <w:rFonts w:cs="Times New Roman"/>
            <w:noProof/>
          </w:rPr>
          <w:t>6.7.3</w:t>
        </w:r>
        <w:r w:rsidR="003E29CF" w:rsidRPr="003E29CF">
          <w:rPr>
            <w:rStyle w:val="Hyperlink"/>
            <w:noProof/>
          </w:rPr>
          <w:t xml:space="preserve"> Elective Transmission Upgrades and Merchant Transmission</w:t>
        </w:r>
        <w:r w:rsidR="003E29CF" w:rsidRPr="003E29CF">
          <w:rPr>
            <w:noProof/>
            <w:webHidden/>
          </w:rPr>
          <w:tab/>
        </w:r>
        <w:r w:rsidRPr="003E29CF">
          <w:rPr>
            <w:noProof/>
            <w:webHidden/>
          </w:rPr>
          <w:fldChar w:fldCharType="begin"/>
        </w:r>
        <w:r w:rsidR="003E29CF" w:rsidRPr="003E29CF">
          <w:rPr>
            <w:noProof/>
            <w:webHidden/>
          </w:rPr>
          <w:instrText xml:space="preserve"> PAGEREF _Toc271632257 \h </w:instrText>
        </w:r>
        <w:r w:rsidRPr="003E29CF">
          <w:rPr>
            <w:noProof/>
            <w:webHidden/>
          </w:rPr>
        </w:r>
        <w:r w:rsidRPr="003E29CF">
          <w:rPr>
            <w:noProof/>
            <w:webHidden/>
          </w:rPr>
          <w:fldChar w:fldCharType="separate"/>
        </w:r>
        <w:r w:rsidR="00E5699E">
          <w:rPr>
            <w:noProof/>
            <w:webHidden/>
          </w:rPr>
          <w:t>89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58" w:history="1">
        <w:r w:rsidR="003E29CF" w:rsidRPr="003E29CF">
          <w:rPr>
            <w:rStyle w:val="Hyperlink"/>
            <w:noProof/>
          </w:rPr>
          <w:t>6.8 Summary</w:t>
        </w:r>
        <w:r w:rsidR="003E29CF" w:rsidRPr="003E29CF">
          <w:rPr>
            <w:noProof/>
            <w:webHidden/>
          </w:rPr>
          <w:tab/>
        </w:r>
        <w:r w:rsidRPr="003E29CF">
          <w:rPr>
            <w:noProof/>
            <w:webHidden/>
          </w:rPr>
          <w:fldChar w:fldCharType="begin"/>
        </w:r>
        <w:r w:rsidR="003E29CF" w:rsidRPr="003E29CF">
          <w:rPr>
            <w:noProof/>
            <w:webHidden/>
          </w:rPr>
          <w:instrText xml:space="preserve"> PAGEREF _Toc271632258 \h </w:instrText>
        </w:r>
        <w:r w:rsidRPr="003E29CF">
          <w:rPr>
            <w:noProof/>
            <w:webHidden/>
          </w:rPr>
        </w:r>
        <w:r w:rsidRPr="003E29CF">
          <w:rPr>
            <w:noProof/>
            <w:webHidden/>
          </w:rPr>
          <w:fldChar w:fldCharType="separate"/>
        </w:r>
        <w:r w:rsidR="00E5699E">
          <w:rPr>
            <w:noProof/>
            <w:webHidden/>
          </w:rPr>
          <w:t>89</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59" w:history="1">
        <w:r w:rsidR="003E29CF" w:rsidRPr="003E29CF">
          <w:rPr>
            <w:rStyle w:val="Hyperlink"/>
            <w:sz w:val="22"/>
          </w:rPr>
          <w:t>Section 7</w:t>
        </w:r>
        <w:r w:rsidR="003E29CF">
          <w:rPr>
            <w:rStyle w:val="Hyperlink"/>
            <w:sz w:val="22"/>
          </w:rPr>
          <w:br/>
        </w:r>
        <w:r w:rsidR="003E29CF" w:rsidRPr="003E29CF">
          <w:rPr>
            <w:rStyle w:val="Hyperlink"/>
            <w:sz w:val="22"/>
          </w:rPr>
          <w:t>Fuel Diversity</w:t>
        </w:r>
        <w:r w:rsidR="003E29CF" w:rsidRPr="003E29CF">
          <w:rPr>
            <w:webHidden/>
            <w:sz w:val="22"/>
          </w:rPr>
          <w:tab/>
        </w:r>
        <w:r w:rsidRPr="003E29CF">
          <w:rPr>
            <w:webHidden/>
            <w:sz w:val="22"/>
          </w:rPr>
          <w:fldChar w:fldCharType="begin"/>
        </w:r>
        <w:r w:rsidR="003E29CF" w:rsidRPr="003E29CF">
          <w:rPr>
            <w:webHidden/>
            <w:sz w:val="22"/>
          </w:rPr>
          <w:instrText xml:space="preserve"> PAGEREF _Toc271632259 \h </w:instrText>
        </w:r>
        <w:r w:rsidRPr="003E29CF">
          <w:rPr>
            <w:webHidden/>
            <w:sz w:val="22"/>
          </w:rPr>
        </w:r>
        <w:r w:rsidRPr="003E29CF">
          <w:rPr>
            <w:webHidden/>
            <w:sz w:val="22"/>
          </w:rPr>
          <w:fldChar w:fldCharType="separate"/>
        </w:r>
        <w:r w:rsidR="00E5699E">
          <w:rPr>
            <w:webHidden/>
            <w:sz w:val="22"/>
          </w:rPr>
          <w:t>91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60" w:history="1">
        <w:r w:rsidR="003E29CF" w:rsidRPr="003E29CF">
          <w:rPr>
            <w:rStyle w:val="Hyperlink"/>
            <w:noProof/>
          </w:rPr>
          <w:t>7.1 System Capacity for 2010 and 2009 Fuel Mix</w:t>
        </w:r>
        <w:r w:rsidR="003E29CF" w:rsidRPr="003E29CF">
          <w:rPr>
            <w:noProof/>
            <w:webHidden/>
          </w:rPr>
          <w:tab/>
        </w:r>
        <w:r w:rsidRPr="003E29CF">
          <w:rPr>
            <w:noProof/>
            <w:webHidden/>
          </w:rPr>
          <w:fldChar w:fldCharType="begin"/>
        </w:r>
        <w:r w:rsidR="003E29CF" w:rsidRPr="003E29CF">
          <w:rPr>
            <w:noProof/>
            <w:webHidden/>
          </w:rPr>
          <w:instrText xml:space="preserve"> PAGEREF _Toc271632260 \h </w:instrText>
        </w:r>
        <w:r w:rsidRPr="003E29CF">
          <w:rPr>
            <w:noProof/>
            <w:webHidden/>
          </w:rPr>
        </w:r>
        <w:r w:rsidRPr="003E29CF">
          <w:rPr>
            <w:noProof/>
            <w:webHidden/>
          </w:rPr>
          <w:fldChar w:fldCharType="separate"/>
        </w:r>
        <w:r w:rsidR="00E5699E">
          <w:rPr>
            <w:noProof/>
            <w:webHidden/>
          </w:rPr>
          <w:t>91</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61" w:history="1">
        <w:r w:rsidR="003E29CF" w:rsidRPr="003E29CF">
          <w:rPr>
            <w:rStyle w:val="Hyperlink"/>
            <w:noProof/>
          </w:rPr>
          <w:t>7.2 Winter 2009/2010 Operational Overview</w:t>
        </w:r>
        <w:r w:rsidR="003E29CF" w:rsidRPr="003E29CF">
          <w:rPr>
            <w:noProof/>
            <w:webHidden/>
          </w:rPr>
          <w:tab/>
        </w:r>
        <w:r w:rsidRPr="003E29CF">
          <w:rPr>
            <w:noProof/>
            <w:webHidden/>
          </w:rPr>
          <w:fldChar w:fldCharType="begin"/>
        </w:r>
        <w:r w:rsidR="003E29CF" w:rsidRPr="003E29CF">
          <w:rPr>
            <w:noProof/>
            <w:webHidden/>
          </w:rPr>
          <w:instrText xml:space="preserve"> PAGEREF _Toc271632261 \h </w:instrText>
        </w:r>
        <w:r w:rsidRPr="003E29CF">
          <w:rPr>
            <w:noProof/>
            <w:webHidden/>
          </w:rPr>
        </w:r>
        <w:r w:rsidRPr="003E29CF">
          <w:rPr>
            <w:noProof/>
            <w:webHidden/>
          </w:rPr>
          <w:fldChar w:fldCharType="separate"/>
        </w:r>
        <w:r w:rsidR="00E5699E">
          <w:rPr>
            <w:noProof/>
            <w:webHidden/>
          </w:rPr>
          <w:t>93</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62" w:history="1">
        <w:r w:rsidR="003E29CF" w:rsidRPr="003E29CF">
          <w:rPr>
            <w:rStyle w:val="Hyperlink"/>
            <w:noProof/>
          </w:rPr>
          <w:t>7.3 Expanding Natural Gas Supply and Infrastructure</w:t>
        </w:r>
        <w:r w:rsidR="003E29CF" w:rsidRPr="003E29CF">
          <w:rPr>
            <w:noProof/>
            <w:webHidden/>
          </w:rPr>
          <w:tab/>
        </w:r>
        <w:r w:rsidRPr="003E29CF">
          <w:rPr>
            <w:noProof/>
            <w:webHidden/>
          </w:rPr>
          <w:fldChar w:fldCharType="begin"/>
        </w:r>
        <w:r w:rsidR="003E29CF" w:rsidRPr="003E29CF">
          <w:rPr>
            <w:noProof/>
            <w:webHidden/>
          </w:rPr>
          <w:instrText xml:space="preserve"> PAGEREF _Toc271632262 \h </w:instrText>
        </w:r>
        <w:r w:rsidRPr="003E29CF">
          <w:rPr>
            <w:noProof/>
            <w:webHidden/>
          </w:rPr>
        </w:r>
        <w:r w:rsidRPr="003E29CF">
          <w:rPr>
            <w:noProof/>
            <w:webHidden/>
          </w:rPr>
          <w:fldChar w:fldCharType="separate"/>
        </w:r>
        <w:r w:rsidR="00E5699E">
          <w:rPr>
            <w:noProof/>
            <w:webHidden/>
          </w:rPr>
          <w:t>94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3" w:history="1">
        <w:r w:rsidR="003E29CF" w:rsidRPr="003E29CF">
          <w:rPr>
            <w:rStyle w:val="Hyperlink"/>
            <w:rFonts w:cs="Times New Roman"/>
            <w:noProof/>
          </w:rPr>
          <w:t>7.3.1</w:t>
        </w:r>
        <w:r w:rsidR="003E29CF" w:rsidRPr="003E29CF">
          <w:rPr>
            <w:rStyle w:val="Hyperlink"/>
            <w:noProof/>
          </w:rPr>
          <w:t xml:space="preserve"> LNG Supply Facilities</w:t>
        </w:r>
        <w:r w:rsidR="003E29CF" w:rsidRPr="003E29CF">
          <w:rPr>
            <w:noProof/>
            <w:webHidden/>
          </w:rPr>
          <w:tab/>
        </w:r>
        <w:r w:rsidRPr="003E29CF">
          <w:rPr>
            <w:noProof/>
            <w:webHidden/>
          </w:rPr>
          <w:fldChar w:fldCharType="begin"/>
        </w:r>
        <w:r w:rsidR="003E29CF" w:rsidRPr="003E29CF">
          <w:rPr>
            <w:noProof/>
            <w:webHidden/>
          </w:rPr>
          <w:instrText xml:space="preserve"> PAGEREF _Toc271632263 \h </w:instrText>
        </w:r>
        <w:r w:rsidRPr="003E29CF">
          <w:rPr>
            <w:noProof/>
            <w:webHidden/>
          </w:rPr>
        </w:r>
        <w:r w:rsidRPr="003E29CF">
          <w:rPr>
            <w:noProof/>
            <w:webHidden/>
          </w:rPr>
          <w:fldChar w:fldCharType="separate"/>
        </w:r>
        <w:r w:rsidR="00E5699E">
          <w:rPr>
            <w:noProof/>
            <w:webHidden/>
          </w:rPr>
          <w:t>95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4" w:history="1">
        <w:r w:rsidR="003E29CF" w:rsidRPr="003E29CF">
          <w:rPr>
            <w:rStyle w:val="Hyperlink"/>
            <w:rFonts w:cs="Times New Roman"/>
            <w:noProof/>
          </w:rPr>
          <w:t>7.3.2</w:t>
        </w:r>
        <w:r w:rsidR="003E29CF" w:rsidRPr="003E29CF">
          <w:rPr>
            <w:rStyle w:val="Hyperlink"/>
            <w:noProof/>
          </w:rPr>
          <w:t xml:space="preserve"> Other Natural Gas Development</w:t>
        </w:r>
        <w:r w:rsidR="003E29CF" w:rsidRPr="003E29CF">
          <w:rPr>
            <w:noProof/>
            <w:webHidden/>
          </w:rPr>
          <w:tab/>
        </w:r>
        <w:r w:rsidRPr="003E29CF">
          <w:rPr>
            <w:noProof/>
            <w:webHidden/>
          </w:rPr>
          <w:fldChar w:fldCharType="begin"/>
        </w:r>
        <w:r w:rsidR="003E29CF" w:rsidRPr="003E29CF">
          <w:rPr>
            <w:noProof/>
            <w:webHidden/>
          </w:rPr>
          <w:instrText xml:space="preserve"> PAGEREF _Toc271632264 \h </w:instrText>
        </w:r>
        <w:r w:rsidRPr="003E29CF">
          <w:rPr>
            <w:noProof/>
            <w:webHidden/>
          </w:rPr>
        </w:r>
        <w:r w:rsidRPr="003E29CF">
          <w:rPr>
            <w:noProof/>
            <w:webHidden/>
          </w:rPr>
          <w:fldChar w:fldCharType="separate"/>
        </w:r>
        <w:r w:rsidR="00E5699E">
          <w:rPr>
            <w:noProof/>
            <w:webHidden/>
          </w:rPr>
          <w:t>96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5" w:history="1">
        <w:r w:rsidR="003E29CF" w:rsidRPr="003E29CF">
          <w:rPr>
            <w:rStyle w:val="Hyperlink"/>
            <w:rFonts w:cs="Times New Roman"/>
            <w:noProof/>
          </w:rPr>
          <w:t>7.3.3</w:t>
        </w:r>
        <w:r w:rsidR="003E29CF" w:rsidRPr="003E29CF">
          <w:rPr>
            <w:rStyle w:val="Hyperlink"/>
            <w:noProof/>
          </w:rPr>
          <w:t xml:space="preserve"> New Pipelines and Storage</w:t>
        </w:r>
        <w:r w:rsidR="003E29CF" w:rsidRPr="003E29CF">
          <w:rPr>
            <w:noProof/>
            <w:webHidden/>
          </w:rPr>
          <w:tab/>
        </w:r>
        <w:r w:rsidRPr="003E29CF">
          <w:rPr>
            <w:noProof/>
            <w:webHidden/>
          </w:rPr>
          <w:fldChar w:fldCharType="begin"/>
        </w:r>
        <w:r w:rsidR="003E29CF" w:rsidRPr="003E29CF">
          <w:rPr>
            <w:noProof/>
            <w:webHidden/>
          </w:rPr>
          <w:instrText xml:space="preserve"> PAGEREF _Toc271632265 \h </w:instrText>
        </w:r>
        <w:r w:rsidRPr="003E29CF">
          <w:rPr>
            <w:noProof/>
            <w:webHidden/>
          </w:rPr>
        </w:r>
        <w:r w:rsidRPr="003E29CF">
          <w:rPr>
            <w:noProof/>
            <w:webHidden/>
          </w:rPr>
          <w:fldChar w:fldCharType="separate"/>
        </w:r>
        <w:r w:rsidR="00E5699E">
          <w:rPr>
            <w:noProof/>
            <w:webHidden/>
          </w:rPr>
          <w:t>96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66" w:history="1">
        <w:r w:rsidR="003E29CF" w:rsidRPr="003E29CF">
          <w:rPr>
            <w:rStyle w:val="Hyperlink"/>
            <w:noProof/>
          </w:rPr>
          <w:t>7.4 Electric Power Sector Outlook</w:t>
        </w:r>
        <w:r w:rsidR="003E29CF" w:rsidRPr="003E29CF">
          <w:rPr>
            <w:noProof/>
            <w:webHidden/>
          </w:rPr>
          <w:tab/>
        </w:r>
        <w:r w:rsidRPr="003E29CF">
          <w:rPr>
            <w:noProof/>
            <w:webHidden/>
          </w:rPr>
          <w:fldChar w:fldCharType="begin"/>
        </w:r>
        <w:r w:rsidR="003E29CF" w:rsidRPr="003E29CF">
          <w:rPr>
            <w:noProof/>
            <w:webHidden/>
          </w:rPr>
          <w:instrText xml:space="preserve"> PAGEREF _Toc271632266 \h </w:instrText>
        </w:r>
        <w:r w:rsidRPr="003E29CF">
          <w:rPr>
            <w:noProof/>
            <w:webHidden/>
          </w:rPr>
        </w:r>
        <w:r w:rsidRPr="003E29CF">
          <w:rPr>
            <w:noProof/>
            <w:webHidden/>
          </w:rPr>
          <w:fldChar w:fldCharType="separate"/>
        </w:r>
        <w:r w:rsidR="00E5699E">
          <w:rPr>
            <w:noProof/>
            <w:webHidden/>
          </w:rPr>
          <w:t>97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7" w:history="1">
        <w:r w:rsidR="003E29CF" w:rsidRPr="003E29CF">
          <w:rPr>
            <w:rStyle w:val="Hyperlink"/>
            <w:rFonts w:cs="Times New Roman"/>
            <w:noProof/>
          </w:rPr>
          <w:t>7.4.1</w:t>
        </w:r>
        <w:r w:rsidR="003E29CF" w:rsidRPr="003E29CF">
          <w:rPr>
            <w:rStyle w:val="Hyperlink"/>
            <w:noProof/>
          </w:rPr>
          <w:t xml:space="preserve"> Lower Natural Gas and Oil Prices</w:t>
        </w:r>
        <w:r w:rsidR="003E29CF" w:rsidRPr="003E29CF">
          <w:rPr>
            <w:noProof/>
            <w:webHidden/>
          </w:rPr>
          <w:tab/>
        </w:r>
        <w:r w:rsidRPr="003E29CF">
          <w:rPr>
            <w:noProof/>
            <w:webHidden/>
          </w:rPr>
          <w:fldChar w:fldCharType="begin"/>
        </w:r>
        <w:r w:rsidR="003E29CF" w:rsidRPr="003E29CF">
          <w:rPr>
            <w:noProof/>
            <w:webHidden/>
          </w:rPr>
          <w:instrText xml:space="preserve"> PAGEREF _Toc271632267 \h </w:instrText>
        </w:r>
        <w:r w:rsidRPr="003E29CF">
          <w:rPr>
            <w:noProof/>
            <w:webHidden/>
          </w:rPr>
        </w:r>
        <w:r w:rsidRPr="003E29CF">
          <w:rPr>
            <w:noProof/>
            <w:webHidden/>
          </w:rPr>
          <w:fldChar w:fldCharType="separate"/>
        </w:r>
        <w:r w:rsidR="00E5699E">
          <w:rPr>
            <w:noProof/>
            <w:webHidden/>
          </w:rPr>
          <w:t>97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8" w:history="1">
        <w:r w:rsidR="003E29CF" w:rsidRPr="003E29CF">
          <w:rPr>
            <w:rStyle w:val="Hyperlink"/>
            <w:rFonts w:cs="Times New Roman"/>
            <w:noProof/>
          </w:rPr>
          <w:t>7.4.2</w:t>
        </w:r>
        <w:r w:rsidR="003E29CF" w:rsidRPr="003E29CF">
          <w:rPr>
            <w:rStyle w:val="Hyperlink"/>
            <w:noProof/>
          </w:rPr>
          <w:t xml:space="preserve"> Improved Supply Infrastructure, Including Renewables</w:t>
        </w:r>
        <w:r w:rsidR="003E29CF" w:rsidRPr="003E29CF">
          <w:rPr>
            <w:noProof/>
            <w:webHidden/>
          </w:rPr>
          <w:tab/>
        </w:r>
        <w:r w:rsidRPr="003E29CF">
          <w:rPr>
            <w:noProof/>
            <w:webHidden/>
          </w:rPr>
          <w:fldChar w:fldCharType="begin"/>
        </w:r>
        <w:r w:rsidR="003E29CF" w:rsidRPr="003E29CF">
          <w:rPr>
            <w:noProof/>
            <w:webHidden/>
          </w:rPr>
          <w:instrText xml:space="preserve"> PAGEREF _Toc271632268 \h </w:instrText>
        </w:r>
        <w:r w:rsidRPr="003E29CF">
          <w:rPr>
            <w:noProof/>
            <w:webHidden/>
          </w:rPr>
        </w:r>
        <w:r w:rsidRPr="003E29CF">
          <w:rPr>
            <w:noProof/>
            <w:webHidden/>
          </w:rPr>
          <w:fldChar w:fldCharType="separate"/>
        </w:r>
        <w:r w:rsidR="00E5699E">
          <w:rPr>
            <w:noProof/>
            <w:webHidden/>
          </w:rPr>
          <w:t>98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69" w:history="1">
        <w:r w:rsidR="003E29CF" w:rsidRPr="003E29CF">
          <w:rPr>
            <w:rStyle w:val="Hyperlink"/>
            <w:rFonts w:cs="Times New Roman"/>
            <w:noProof/>
          </w:rPr>
          <w:t>7.4.3</w:t>
        </w:r>
        <w:r w:rsidR="003E29CF" w:rsidRPr="003E29CF">
          <w:rPr>
            <w:rStyle w:val="Hyperlink"/>
            <w:noProof/>
          </w:rPr>
          <w:t xml:space="preserve"> Adequate Dual-Fuel Capacity</w:t>
        </w:r>
        <w:r w:rsidR="003E29CF" w:rsidRPr="003E29CF">
          <w:rPr>
            <w:noProof/>
            <w:webHidden/>
          </w:rPr>
          <w:tab/>
        </w:r>
        <w:r w:rsidRPr="003E29CF">
          <w:rPr>
            <w:noProof/>
            <w:webHidden/>
          </w:rPr>
          <w:fldChar w:fldCharType="begin"/>
        </w:r>
        <w:r w:rsidR="003E29CF" w:rsidRPr="003E29CF">
          <w:rPr>
            <w:noProof/>
            <w:webHidden/>
          </w:rPr>
          <w:instrText xml:space="preserve"> PAGEREF _Toc271632269 \h </w:instrText>
        </w:r>
        <w:r w:rsidRPr="003E29CF">
          <w:rPr>
            <w:noProof/>
            <w:webHidden/>
          </w:rPr>
        </w:r>
        <w:r w:rsidRPr="003E29CF">
          <w:rPr>
            <w:noProof/>
            <w:webHidden/>
          </w:rPr>
          <w:fldChar w:fldCharType="separate"/>
        </w:r>
        <w:r w:rsidR="00E5699E">
          <w:rPr>
            <w:noProof/>
            <w:webHidden/>
          </w:rPr>
          <w:t>99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70" w:history="1">
        <w:r w:rsidR="003E29CF" w:rsidRPr="003E29CF">
          <w:rPr>
            <w:rStyle w:val="Hyperlink"/>
            <w:noProof/>
          </w:rPr>
          <w:t>7.5 Remaining Risks and Mitigation</w:t>
        </w:r>
        <w:r w:rsidR="003E29CF" w:rsidRPr="003E29CF">
          <w:rPr>
            <w:noProof/>
            <w:webHidden/>
          </w:rPr>
          <w:tab/>
        </w:r>
        <w:r w:rsidRPr="003E29CF">
          <w:rPr>
            <w:noProof/>
            <w:webHidden/>
          </w:rPr>
          <w:fldChar w:fldCharType="begin"/>
        </w:r>
        <w:r w:rsidR="003E29CF" w:rsidRPr="003E29CF">
          <w:rPr>
            <w:noProof/>
            <w:webHidden/>
          </w:rPr>
          <w:instrText xml:space="preserve"> PAGEREF _Toc271632270 \h </w:instrText>
        </w:r>
        <w:r w:rsidRPr="003E29CF">
          <w:rPr>
            <w:noProof/>
            <w:webHidden/>
          </w:rPr>
        </w:r>
        <w:r w:rsidRPr="003E29CF">
          <w:rPr>
            <w:noProof/>
            <w:webHidden/>
          </w:rPr>
          <w:fldChar w:fldCharType="separate"/>
        </w:r>
        <w:r w:rsidR="00E5699E">
          <w:rPr>
            <w:noProof/>
            <w:webHidden/>
          </w:rPr>
          <w:t>99</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1" w:history="1">
        <w:r w:rsidR="003E29CF" w:rsidRPr="003E29CF">
          <w:rPr>
            <w:rStyle w:val="Hyperlink"/>
            <w:rFonts w:cs="Times New Roman"/>
            <w:noProof/>
          </w:rPr>
          <w:t>7.5.1</w:t>
        </w:r>
        <w:r w:rsidR="003E29CF" w:rsidRPr="003E29CF">
          <w:rPr>
            <w:rStyle w:val="Hyperlink"/>
            <w:noProof/>
          </w:rPr>
          <w:t xml:space="preserve"> Resource Commitment Uncertainties</w:t>
        </w:r>
        <w:r w:rsidR="003E29CF" w:rsidRPr="003E29CF">
          <w:rPr>
            <w:noProof/>
            <w:webHidden/>
          </w:rPr>
          <w:tab/>
        </w:r>
        <w:r w:rsidRPr="003E29CF">
          <w:rPr>
            <w:noProof/>
            <w:webHidden/>
          </w:rPr>
          <w:fldChar w:fldCharType="begin"/>
        </w:r>
        <w:r w:rsidR="003E29CF" w:rsidRPr="003E29CF">
          <w:rPr>
            <w:noProof/>
            <w:webHidden/>
          </w:rPr>
          <w:instrText xml:space="preserve"> PAGEREF _Toc271632271 \h </w:instrText>
        </w:r>
        <w:r w:rsidRPr="003E29CF">
          <w:rPr>
            <w:noProof/>
            <w:webHidden/>
          </w:rPr>
        </w:r>
        <w:r w:rsidRPr="003E29CF">
          <w:rPr>
            <w:noProof/>
            <w:webHidden/>
          </w:rPr>
          <w:fldChar w:fldCharType="separate"/>
        </w:r>
        <w:r w:rsidR="00E5699E">
          <w:rPr>
            <w:noProof/>
            <w:webHidden/>
          </w:rPr>
          <w:t>99</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2" w:history="1">
        <w:r w:rsidR="003E29CF" w:rsidRPr="003E29CF">
          <w:rPr>
            <w:rStyle w:val="Hyperlink"/>
            <w:rFonts w:cs="Times New Roman"/>
            <w:noProof/>
          </w:rPr>
          <w:t>7.5.2</w:t>
        </w:r>
        <w:r w:rsidR="003E29CF" w:rsidRPr="003E29CF">
          <w:rPr>
            <w:rStyle w:val="Hyperlink"/>
            <w:noProof/>
          </w:rPr>
          <w:t xml:space="preserve"> Unforeseen Events in Real-Time Operations</w:t>
        </w:r>
        <w:r w:rsidR="003E29CF" w:rsidRPr="003E29CF">
          <w:rPr>
            <w:noProof/>
            <w:webHidden/>
          </w:rPr>
          <w:tab/>
        </w:r>
        <w:r w:rsidRPr="003E29CF">
          <w:rPr>
            <w:noProof/>
            <w:webHidden/>
          </w:rPr>
          <w:fldChar w:fldCharType="begin"/>
        </w:r>
        <w:r w:rsidR="003E29CF" w:rsidRPr="003E29CF">
          <w:rPr>
            <w:noProof/>
            <w:webHidden/>
          </w:rPr>
          <w:instrText xml:space="preserve"> PAGEREF _Toc271632272 \h </w:instrText>
        </w:r>
        <w:r w:rsidRPr="003E29CF">
          <w:rPr>
            <w:noProof/>
            <w:webHidden/>
          </w:rPr>
        </w:r>
        <w:r w:rsidRPr="003E29CF">
          <w:rPr>
            <w:noProof/>
            <w:webHidden/>
          </w:rPr>
          <w:fldChar w:fldCharType="separate"/>
        </w:r>
        <w:r w:rsidR="00E5699E">
          <w:rPr>
            <w:noProof/>
            <w:webHidden/>
          </w:rPr>
          <w:t>100</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3" w:history="1">
        <w:r w:rsidR="003E29CF" w:rsidRPr="003E29CF">
          <w:rPr>
            <w:rStyle w:val="Hyperlink"/>
            <w:rFonts w:cs="Times New Roman"/>
            <w:noProof/>
          </w:rPr>
          <w:t>7.5.3</w:t>
        </w:r>
        <w:r w:rsidR="003E29CF" w:rsidRPr="003E29CF">
          <w:rPr>
            <w:rStyle w:val="Hyperlink"/>
            <w:noProof/>
          </w:rPr>
          <w:t xml:space="preserve"> Gas Quality and Interchangeability</w:t>
        </w:r>
        <w:r w:rsidR="003E29CF" w:rsidRPr="003E29CF">
          <w:rPr>
            <w:noProof/>
            <w:webHidden/>
          </w:rPr>
          <w:tab/>
        </w:r>
        <w:r w:rsidRPr="003E29CF">
          <w:rPr>
            <w:noProof/>
            <w:webHidden/>
          </w:rPr>
          <w:fldChar w:fldCharType="begin"/>
        </w:r>
        <w:r w:rsidR="003E29CF" w:rsidRPr="003E29CF">
          <w:rPr>
            <w:noProof/>
            <w:webHidden/>
          </w:rPr>
          <w:instrText xml:space="preserve"> PAGEREF _Toc271632273 \h </w:instrText>
        </w:r>
        <w:r w:rsidRPr="003E29CF">
          <w:rPr>
            <w:noProof/>
            <w:webHidden/>
          </w:rPr>
        </w:r>
        <w:r w:rsidRPr="003E29CF">
          <w:rPr>
            <w:noProof/>
            <w:webHidden/>
          </w:rPr>
          <w:fldChar w:fldCharType="separate"/>
        </w:r>
        <w:r w:rsidR="00E5699E">
          <w:rPr>
            <w:noProof/>
            <w:webHidden/>
          </w:rPr>
          <w:t>100</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4" w:history="1">
        <w:r w:rsidR="003E29CF" w:rsidRPr="003E29CF">
          <w:rPr>
            <w:rStyle w:val="Hyperlink"/>
            <w:rFonts w:cs="Times New Roman"/>
            <w:noProof/>
          </w:rPr>
          <w:t>7.5.4</w:t>
        </w:r>
        <w:r w:rsidR="003E29CF" w:rsidRPr="003E29CF">
          <w:rPr>
            <w:rStyle w:val="Hyperlink"/>
            <w:noProof/>
          </w:rPr>
          <w:t xml:space="preserve"> LNG Supply Risks</w:t>
        </w:r>
        <w:r w:rsidR="003E29CF" w:rsidRPr="003E29CF">
          <w:rPr>
            <w:noProof/>
            <w:webHidden/>
          </w:rPr>
          <w:tab/>
        </w:r>
        <w:r w:rsidRPr="003E29CF">
          <w:rPr>
            <w:noProof/>
            <w:webHidden/>
          </w:rPr>
          <w:fldChar w:fldCharType="begin"/>
        </w:r>
        <w:r w:rsidR="003E29CF" w:rsidRPr="003E29CF">
          <w:rPr>
            <w:noProof/>
            <w:webHidden/>
          </w:rPr>
          <w:instrText xml:space="preserve"> PAGEREF _Toc271632274 \h </w:instrText>
        </w:r>
        <w:r w:rsidRPr="003E29CF">
          <w:rPr>
            <w:noProof/>
            <w:webHidden/>
          </w:rPr>
        </w:r>
        <w:r w:rsidRPr="003E29CF">
          <w:rPr>
            <w:noProof/>
            <w:webHidden/>
          </w:rPr>
          <w:fldChar w:fldCharType="separate"/>
        </w:r>
        <w:r w:rsidR="00E5699E">
          <w:rPr>
            <w:noProof/>
            <w:webHidden/>
          </w:rPr>
          <w:t>100</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5" w:history="1">
        <w:r w:rsidR="003E29CF" w:rsidRPr="003E29CF">
          <w:rPr>
            <w:rStyle w:val="Hyperlink"/>
            <w:rFonts w:cs="Times New Roman"/>
            <w:noProof/>
          </w:rPr>
          <w:t>7.5.5</w:t>
        </w:r>
        <w:r w:rsidR="003E29CF" w:rsidRPr="003E29CF">
          <w:rPr>
            <w:rStyle w:val="Hyperlink"/>
            <w:noProof/>
          </w:rPr>
          <w:t xml:space="preserve"> Communication Barriers</w:t>
        </w:r>
        <w:r w:rsidR="003E29CF" w:rsidRPr="003E29CF">
          <w:rPr>
            <w:noProof/>
            <w:webHidden/>
          </w:rPr>
          <w:tab/>
        </w:r>
        <w:r w:rsidRPr="003E29CF">
          <w:rPr>
            <w:noProof/>
            <w:webHidden/>
          </w:rPr>
          <w:fldChar w:fldCharType="begin"/>
        </w:r>
        <w:r w:rsidR="003E29CF" w:rsidRPr="003E29CF">
          <w:rPr>
            <w:noProof/>
            <w:webHidden/>
          </w:rPr>
          <w:instrText xml:space="preserve"> PAGEREF _Toc271632275 \h </w:instrText>
        </w:r>
        <w:r w:rsidRPr="003E29CF">
          <w:rPr>
            <w:noProof/>
            <w:webHidden/>
          </w:rPr>
        </w:r>
        <w:r w:rsidRPr="003E29CF">
          <w:rPr>
            <w:noProof/>
            <w:webHidden/>
          </w:rPr>
          <w:fldChar w:fldCharType="separate"/>
        </w:r>
        <w:r w:rsidR="00E5699E">
          <w:rPr>
            <w:noProof/>
            <w:webHidden/>
          </w:rPr>
          <w:t>101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6" w:history="1">
        <w:r w:rsidR="003E29CF" w:rsidRPr="003E29CF">
          <w:rPr>
            <w:rStyle w:val="Hyperlink"/>
            <w:rFonts w:cs="Times New Roman"/>
            <w:noProof/>
          </w:rPr>
          <w:t>7.5.6</w:t>
        </w:r>
        <w:r w:rsidR="003E29CF" w:rsidRPr="003E29CF">
          <w:rPr>
            <w:rStyle w:val="Hyperlink"/>
            <w:noProof/>
          </w:rPr>
          <w:t xml:space="preserve"> Price Exposure</w:t>
        </w:r>
        <w:r w:rsidR="003E29CF" w:rsidRPr="003E29CF">
          <w:rPr>
            <w:noProof/>
            <w:webHidden/>
          </w:rPr>
          <w:tab/>
        </w:r>
        <w:r w:rsidRPr="003E29CF">
          <w:rPr>
            <w:noProof/>
            <w:webHidden/>
          </w:rPr>
          <w:fldChar w:fldCharType="begin"/>
        </w:r>
        <w:r w:rsidR="003E29CF" w:rsidRPr="003E29CF">
          <w:rPr>
            <w:noProof/>
            <w:webHidden/>
          </w:rPr>
          <w:instrText xml:space="preserve"> PAGEREF _Toc271632276 \h </w:instrText>
        </w:r>
        <w:r w:rsidRPr="003E29CF">
          <w:rPr>
            <w:noProof/>
            <w:webHidden/>
          </w:rPr>
        </w:r>
        <w:r w:rsidRPr="003E29CF">
          <w:rPr>
            <w:noProof/>
            <w:webHidden/>
          </w:rPr>
          <w:fldChar w:fldCharType="separate"/>
        </w:r>
        <w:r w:rsidR="00E5699E">
          <w:rPr>
            <w:noProof/>
            <w:webHidden/>
          </w:rPr>
          <w:t>101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77" w:history="1">
        <w:r w:rsidR="003E29CF" w:rsidRPr="003E29CF">
          <w:rPr>
            <w:rStyle w:val="Hyperlink"/>
            <w:rFonts w:cs="Times New Roman"/>
            <w:noProof/>
          </w:rPr>
          <w:t>7.5.7</w:t>
        </w:r>
        <w:r w:rsidR="003E29CF" w:rsidRPr="003E29CF">
          <w:rPr>
            <w:rStyle w:val="Hyperlink"/>
            <w:noProof/>
          </w:rPr>
          <w:t xml:space="preserve"> Other Fuel-Supply Risks</w:t>
        </w:r>
        <w:r w:rsidR="003E29CF" w:rsidRPr="003E29CF">
          <w:rPr>
            <w:noProof/>
            <w:webHidden/>
          </w:rPr>
          <w:tab/>
        </w:r>
        <w:r w:rsidRPr="003E29CF">
          <w:rPr>
            <w:noProof/>
            <w:webHidden/>
          </w:rPr>
          <w:fldChar w:fldCharType="begin"/>
        </w:r>
        <w:r w:rsidR="003E29CF" w:rsidRPr="003E29CF">
          <w:rPr>
            <w:noProof/>
            <w:webHidden/>
          </w:rPr>
          <w:instrText xml:space="preserve"> PAGEREF _Toc271632277 \h </w:instrText>
        </w:r>
        <w:r w:rsidRPr="003E29CF">
          <w:rPr>
            <w:noProof/>
            <w:webHidden/>
          </w:rPr>
        </w:r>
        <w:r w:rsidRPr="003E29CF">
          <w:rPr>
            <w:noProof/>
            <w:webHidden/>
          </w:rPr>
          <w:fldChar w:fldCharType="separate"/>
        </w:r>
        <w:r w:rsidR="00E5699E">
          <w:rPr>
            <w:noProof/>
            <w:webHidden/>
          </w:rPr>
          <w:t>101</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78" w:history="1">
        <w:r w:rsidR="003E29CF" w:rsidRPr="003E29CF">
          <w:rPr>
            <w:rStyle w:val="Hyperlink"/>
            <w:noProof/>
          </w:rPr>
          <w:t>7.6 Summary</w:t>
        </w:r>
        <w:r w:rsidR="003E29CF" w:rsidRPr="003E29CF">
          <w:rPr>
            <w:noProof/>
            <w:webHidden/>
          </w:rPr>
          <w:tab/>
        </w:r>
        <w:r w:rsidRPr="003E29CF">
          <w:rPr>
            <w:noProof/>
            <w:webHidden/>
          </w:rPr>
          <w:fldChar w:fldCharType="begin"/>
        </w:r>
        <w:r w:rsidR="003E29CF" w:rsidRPr="003E29CF">
          <w:rPr>
            <w:noProof/>
            <w:webHidden/>
          </w:rPr>
          <w:instrText xml:space="preserve"> PAGEREF _Toc271632278 \h </w:instrText>
        </w:r>
        <w:r w:rsidRPr="003E29CF">
          <w:rPr>
            <w:noProof/>
            <w:webHidden/>
          </w:rPr>
        </w:r>
        <w:r w:rsidRPr="003E29CF">
          <w:rPr>
            <w:noProof/>
            <w:webHidden/>
          </w:rPr>
          <w:fldChar w:fldCharType="separate"/>
        </w:r>
        <w:r w:rsidR="00E5699E">
          <w:rPr>
            <w:noProof/>
            <w:webHidden/>
          </w:rPr>
          <w:t>103</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79" w:history="1">
        <w:r w:rsidR="003E29CF" w:rsidRPr="003E29CF">
          <w:rPr>
            <w:rStyle w:val="Hyperlink"/>
            <w:sz w:val="22"/>
          </w:rPr>
          <w:t>Section 8</w:t>
        </w:r>
        <w:r w:rsidR="003E29CF">
          <w:rPr>
            <w:rStyle w:val="Hyperlink"/>
            <w:sz w:val="22"/>
          </w:rPr>
          <w:br/>
        </w:r>
        <w:r w:rsidR="003E29CF" w:rsidRPr="003E29CF">
          <w:rPr>
            <w:rStyle w:val="Hyperlink"/>
            <w:sz w:val="22"/>
          </w:rPr>
          <w:t>Environmental Regulatory Update</w:t>
        </w:r>
        <w:r w:rsidR="003E29CF" w:rsidRPr="003E29CF">
          <w:rPr>
            <w:webHidden/>
            <w:sz w:val="22"/>
          </w:rPr>
          <w:tab/>
        </w:r>
        <w:r w:rsidRPr="003E29CF">
          <w:rPr>
            <w:webHidden/>
            <w:sz w:val="22"/>
          </w:rPr>
          <w:fldChar w:fldCharType="begin"/>
        </w:r>
        <w:r w:rsidR="003E29CF" w:rsidRPr="003E29CF">
          <w:rPr>
            <w:webHidden/>
            <w:sz w:val="22"/>
          </w:rPr>
          <w:instrText xml:space="preserve"> PAGEREF _Toc271632279 \h </w:instrText>
        </w:r>
        <w:r w:rsidRPr="003E29CF">
          <w:rPr>
            <w:webHidden/>
            <w:sz w:val="22"/>
          </w:rPr>
        </w:r>
        <w:r w:rsidRPr="003E29CF">
          <w:rPr>
            <w:webHidden/>
            <w:sz w:val="22"/>
          </w:rPr>
          <w:fldChar w:fldCharType="separate"/>
        </w:r>
        <w:r w:rsidR="00E5699E">
          <w:rPr>
            <w:webHidden/>
            <w:sz w:val="22"/>
          </w:rPr>
          <w:t>104</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80" w:history="1">
        <w:r w:rsidR="003E29CF" w:rsidRPr="003E29CF">
          <w:rPr>
            <w:rStyle w:val="Hyperlink"/>
            <w:noProof/>
          </w:rPr>
          <w:t>8.1 Update of Environmental Regulations</w:t>
        </w:r>
        <w:r w:rsidR="003E29CF" w:rsidRPr="003E29CF">
          <w:rPr>
            <w:noProof/>
            <w:webHidden/>
          </w:rPr>
          <w:tab/>
        </w:r>
        <w:r w:rsidRPr="003E29CF">
          <w:rPr>
            <w:noProof/>
            <w:webHidden/>
          </w:rPr>
          <w:fldChar w:fldCharType="begin"/>
        </w:r>
        <w:r w:rsidR="003E29CF" w:rsidRPr="003E29CF">
          <w:rPr>
            <w:noProof/>
            <w:webHidden/>
          </w:rPr>
          <w:instrText xml:space="preserve"> PAGEREF _Toc271632280 \h </w:instrText>
        </w:r>
        <w:r w:rsidRPr="003E29CF">
          <w:rPr>
            <w:noProof/>
            <w:webHidden/>
          </w:rPr>
        </w:r>
        <w:r w:rsidRPr="003E29CF">
          <w:rPr>
            <w:noProof/>
            <w:webHidden/>
          </w:rPr>
          <w:fldChar w:fldCharType="separate"/>
        </w:r>
        <w:r w:rsidR="00E5699E">
          <w:rPr>
            <w:noProof/>
            <w:webHidden/>
          </w:rPr>
          <w:t>104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1" w:history="1">
        <w:r w:rsidR="003E29CF" w:rsidRPr="003E29CF">
          <w:rPr>
            <w:rStyle w:val="Hyperlink"/>
            <w:rFonts w:cs="Times New Roman"/>
            <w:noProof/>
          </w:rPr>
          <w:t>8.1.1</w:t>
        </w:r>
        <w:r w:rsidR="003E29CF" w:rsidRPr="003E29CF">
          <w:rPr>
            <w:rStyle w:val="Hyperlink"/>
            <w:noProof/>
          </w:rPr>
          <w:t xml:space="preserve"> Ozone Attainment Measures</w:t>
        </w:r>
        <w:r w:rsidR="003E29CF" w:rsidRPr="003E29CF">
          <w:rPr>
            <w:noProof/>
            <w:webHidden/>
          </w:rPr>
          <w:tab/>
        </w:r>
        <w:r w:rsidRPr="003E29CF">
          <w:rPr>
            <w:noProof/>
            <w:webHidden/>
          </w:rPr>
          <w:fldChar w:fldCharType="begin"/>
        </w:r>
        <w:r w:rsidR="003E29CF" w:rsidRPr="003E29CF">
          <w:rPr>
            <w:noProof/>
            <w:webHidden/>
          </w:rPr>
          <w:instrText xml:space="preserve"> PAGEREF _Toc271632281 \h </w:instrText>
        </w:r>
        <w:r w:rsidRPr="003E29CF">
          <w:rPr>
            <w:noProof/>
            <w:webHidden/>
          </w:rPr>
        </w:r>
        <w:r w:rsidRPr="003E29CF">
          <w:rPr>
            <w:noProof/>
            <w:webHidden/>
          </w:rPr>
          <w:fldChar w:fldCharType="separate"/>
        </w:r>
        <w:r w:rsidR="00E5699E">
          <w:rPr>
            <w:noProof/>
            <w:webHidden/>
          </w:rPr>
          <w:t>105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2" w:history="1">
        <w:r w:rsidR="003E29CF" w:rsidRPr="003E29CF">
          <w:rPr>
            <w:rStyle w:val="Hyperlink"/>
            <w:rFonts w:cs="Times New Roman"/>
            <w:noProof/>
          </w:rPr>
          <w:t>8.1.2</w:t>
        </w:r>
        <w:r w:rsidR="003E29CF" w:rsidRPr="003E29CF">
          <w:rPr>
            <w:rStyle w:val="Hyperlink"/>
            <w:noProof/>
          </w:rPr>
          <w:t xml:space="preserve"> Greenhouse Gases</w:t>
        </w:r>
        <w:r w:rsidR="003E29CF" w:rsidRPr="003E29CF">
          <w:rPr>
            <w:noProof/>
            <w:webHidden/>
          </w:rPr>
          <w:tab/>
        </w:r>
        <w:r w:rsidRPr="003E29CF">
          <w:rPr>
            <w:noProof/>
            <w:webHidden/>
          </w:rPr>
          <w:fldChar w:fldCharType="begin"/>
        </w:r>
        <w:r w:rsidR="003E29CF" w:rsidRPr="003E29CF">
          <w:rPr>
            <w:noProof/>
            <w:webHidden/>
          </w:rPr>
          <w:instrText xml:space="preserve"> PAGEREF _Toc271632282 \h </w:instrText>
        </w:r>
        <w:r w:rsidRPr="003E29CF">
          <w:rPr>
            <w:noProof/>
            <w:webHidden/>
          </w:rPr>
        </w:r>
        <w:r w:rsidRPr="003E29CF">
          <w:rPr>
            <w:noProof/>
            <w:webHidden/>
          </w:rPr>
          <w:fldChar w:fldCharType="separate"/>
        </w:r>
        <w:r w:rsidR="00E5699E">
          <w:rPr>
            <w:noProof/>
            <w:webHidden/>
          </w:rPr>
          <w:t>107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3" w:history="1">
        <w:r w:rsidR="003E29CF" w:rsidRPr="003E29CF">
          <w:rPr>
            <w:rStyle w:val="Hyperlink"/>
            <w:rFonts w:cs="Times New Roman"/>
            <w:noProof/>
          </w:rPr>
          <w:t>8.1.3</w:t>
        </w:r>
        <w:r w:rsidR="003E29CF" w:rsidRPr="003E29CF">
          <w:rPr>
            <w:rStyle w:val="Hyperlink"/>
            <w:noProof/>
          </w:rPr>
          <w:t xml:space="preserve"> Cooling Water</w:t>
        </w:r>
        <w:r w:rsidR="003E29CF" w:rsidRPr="003E29CF">
          <w:rPr>
            <w:noProof/>
            <w:webHidden/>
          </w:rPr>
          <w:tab/>
        </w:r>
        <w:r w:rsidRPr="003E29CF">
          <w:rPr>
            <w:noProof/>
            <w:webHidden/>
          </w:rPr>
          <w:fldChar w:fldCharType="begin"/>
        </w:r>
        <w:r w:rsidR="003E29CF" w:rsidRPr="003E29CF">
          <w:rPr>
            <w:noProof/>
            <w:webHidden/>
          </w:rPr>
          <w:instrText xml:space="preserve"> PAGEREF _Toc271632283 \h </w:instrText>
        </w:r>
        <w:r w:rsidRPr="003E29CF">
          <w:rPr>
            <w:noProof/>
            <w:webHidden/>
          </w:rPr>
        </w:r>
        <w:r w:rsidRPr="003E29CF">
          <w:rPr>
            <w:noProof/>
            <w:webHidden/>
          </w:rPr>
          <w:fldChar w:fldCharType="separate"/>
        </w:r>
        <w:r w:rsidR="00E5699E">
          <w:rPr>
            <w:noProof/>
            <w:webHidden/>
          </w:rPr>
          <w:t>108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4" w:history="1">
        <w:r w:rsidR="003E29CF" w:rsidRPr="003E29CF">
          <w:rPr>
            <w:rStyle w:val="Hyperlink"/>
            <w:rFonts w:cs="Times New Roman"/>
            <w:noProof/>
          </w:rPr>
          <w:t>8.1.4</w:t>
        </w:r>
        <w:r w:rsidR="003E29CF" w:rsidRPr="003E29CF">
          <w:rPr>
            <w:rStyle w:val="Hyperlink"/>
            <w:noProof/>
          </w:rPr>
          <w:t xml:space="preserve"> Studies of Potential Generator Retirements</w:t>
        </w:r>
        <w:r w:rsidR="003E29CF" w:rsidRPr="003E29CF">
          <w:rPr>
            <w:noProof/>
            <w:webHidden/>
          </w:rPr>
          <w:tab/>
        </w:r>
        <w:r w:rsidRPr="003E29CF">
          <w:rPr>
            <w:noProof/>
            <w:webHidden/>
          </w:rPr>
          <w:fldChar w:fldCharType="begin"/>
        </w:r>
        <w:r w:rsidR="003E29CF" w:rsidRPr="003E29CF">
          <w:rPr>
            <w:noProof/>
            <w:webHidden/>
          </w:rPr>
          <w:instrText xml:space="preserve"> PAGEREF _Toc271632284 \h </w:instrText>
        </w:r>
        <w:r w:rsidRPr="003E29CF">
          <w:rPr>
            <w:noProof/>
            <w:webHidden/>
          </w:rPr>
        </w:r>
        <w:r w:rsidRPr="003E29CF">
          <w:rPr>
            <w:noProof/>
            <w:webHidden/>
          </w:rPr>
          <w:fldChar w:fldCharType="separate"/>
        </w:r>
        <w:r w:rsidR="00E5699E">
          <w:rPr>
            <w:noProof/>
            <w:webHidden/>
          </w:rPr>
          <w:t>108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5" w:history="1">
        <w:r w:rsidR="003E29CF" w:rsidRPr="003E29CF">
          <w:rPr>
            <w:rStyle w:val="Hyperlink"/>
            <w:rFonts w:cs="Times New Roman"/>
            <w:noProof/>
          </w:rPr>
          <w:t>8.1.5</w:t>
        </w:r>
        <w:r w:rsidR="003E29CF" w:rsidRPr="003E29CF">
          <w:rPr>
            <w:rStyle w:val="Hyperlink"/>
            <w:noProof/>
          </w:rPr>
          <w:t xml:space="preserve"> FCM Classification for Generation Retrofits Resulting from Environmental Regulations</w:t>
        </w:r>
        <w:r w:rsidR="003E29CF" w:rsidRPr="003E29CF">
          <w:rPr>
            <w:noProof/>
            <w:webHidden/>
          </w:rPr>
          <w:tab/>
        </w:r>
        <w:r w:rsidRPr="003E29CF">
          <w:rPr>
            <w:noProof/>
            <w:webHidden/>
          </w:rPr>
          <w:fldChar w:fldCharType="begin"/>
        </w:r>
        <w:r w:rsidR="003E29CF" w:rsidRPr="003E29CF">
          <w:rPr>
            <w:noProof/>
            <w:webHidden/>
          </w:rPr>
          <w:instrText xml:space="preserve"> PAGEREF _Toc271632285 \h </w:instrText>
        </w:r>
        <w:r w:rsidRPr="003E29CF">
          <w:rPr>
            <w:noProof/>
            <w:webHidden/>
          </w:rPr>
        </w:r>
        <w:r w:rsidRPr="003E29CF">
          <w:rPr>
            <w:noProof/>
            <w:webHidden/>
          </w:rPr>
          <w:fldChar w:fldCharType="separate"/>
        </w:r>
        <w:r w:rsidR="00E5699E">
          <w:rPr>
            <w:noProof/>
            <w:webHidden/>
          </w:rPr>
          <w:t>109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86" w:history="1">
        <w:r w:rsidR="003E29CF" w:rsidRPr="003E29CF">
          <w:rPr>
            <w:rStyle w:val="Hyperlink"/>
            <w:noProof/>
          </w:rPr>
          <w:t>8.2 New England Power Plant Emissions</w:t>
        </w:r>
        <w:r w:rsidR="003E29CF" w:rsidRPr="003E29CF">
          <w:rPr>
            <w:noProof/>
            <w:webHidden/>
          </w:rPr>
          <w:tab/>
        </w:r>
        <w:r w:rsidRPr="003E29CF">
          <w:rPr>
            <w:noProof/>
            <w:webHidden/>
          </w:rPr>
          <w:fldChar w:fldCharType="begin"/>
        </w:r>
        <w:r w:rsidR="003E29CF" w:rsidRPr="003E29CF">
          <w:rPr>
            <w:noProof/>
            <w:webHidden/>
          </w:rPr>
          <w:instrText xml:space="preserve"> PAGEREF _Toc271632286 \h </w:instrText>
        </w:r>
        <w:r w:rsidRPr="003E29CF">
          <w:rPr>
            <w:noProof/>
            <w:webHidden/>
          </w:rPr>
        </w:r>
        <w:r w:rsidRPr="003E29CF">
          <w:rPr>
            <w:noProof/>
            <w:webHidden/>
          </w:rPr>
          <w:fldChar w:fldCharType="separate"/>
        </w:r>
        <w:r w:rsidR="00E5699E">
          <w:rPr>
            <w:noProof/>
            <w:webHidden/>
          </w:rPr>
          <w:t>109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87" w:history="1">
        <w:r w:rsidR="003E29CF" w:rsidRPr="003E29CF">
          <w:rPr>
            <w:rStyle w:val="Hyperlink"/>
            <w:noProof/>
          </w:rPr>
          <w:t>8.3 Peak-Day NO</w:t>
        </w:r>
        <w:r w:rsidR="003E29CF" w:rsidRPr="003E29CF">
          <w:rPr>
            <w:rStyle w:val="Hyperlink"/>
            <w:noProof/>
            <w:vertAlign w:val="subscript"/>
          </w:rPr>
          <w:t>x</w:t>
        </w:r>
        <w:r w:rsidR="003E29CF" w:rsidRPr="003E29CF">
          <w:rPr>
            <w:rStyle w:val="Hyperlink"/>
            <w:noProof/>
          </w:rPr>
          <w:t xml:space="preserve"> Analysis</w:t>
        </w:r>
        <w:r w:rsidR="003E29CF" w:rsidRPr="003E29CF">
          <w:rPr>
            <w:noProof/>
            <w:webHidden/>
          </w:rPr>
          <w:tab/>
        </w:r>
        <w:r w:rsidRPr="003E29CF">
          <w:rPr>
            <w:noProof/>
            <w:webHidden/>
          </w:rPr>
          <w:fldChar w:fldCharType="begin"/>
        </w:r>
        <w:r w:rsidR="003E29CF" w:rsidRPr="003E29CF">
          <w:rPr>
            <w:noProof/>
            <w:webHidden/>
          </w:rPr>
          <w:instrText xml:space="preserve"> PAGEREF _Toc271632287 \h </w:instrText>
        </w:r>
        <w:r w:rsidRPr="003E29CF">
          <w:rPr>
            <w:noProof/>
            <w:webHidden/>
          </w:rPr>
        </w:r>
        <w:r w:rsidRPr="003E29CF">
          <w:rPr>
            <w:noProof/>
            <w:webHidden/>
          </w:rPr>
          <w:fldChar w:fldCharType="separate"/>
        </w:r>
        <w:r w:rsidR="00E5699E">
          <w:rPr>
            <w:noProof/>
            <w:webHidden/>
          </w:rPr>
          <w:t>112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88" w:history="1">
        <w:r w:rsidR="003E29CF" w:rsidRPr="003E29CF">
          <w:rPr>
            <w:rStyle w:val="Hyperlink"/>
            <w:noProof/>
          </w:rPr>
          <w:t>8.4 Energy Efficiency in New England</w:t>
        </w:r>
        <w:r w:rsidR="003E29CF" w:rsidRPr="003E29CF">
          <w:rPr>
            <w:noProof/>
            <w:webHidden/>
          </w:rPr>
          <w:tab/>
        </w:r>
        <w:r w:rsidRPr="003E29CF">
          <w:rPr>
            <w:noProof/>
            <w:webHidden/>
          </w:rPr>
          <w:fldChar w:fldCharType="begin"/>
        </w:r>
        <w:r w:rsidR="003E29CF" w:rsidRPr="003E29CF">
          <w:rPr>
            <w:noProof/>
            <w:webHidden/>
          </w:rPr>
          <w:instrText xml:space="preserve"> PAGEREF _Toc271632288 \h </w:instrText>
        </w:r>
        <w:r w:rsidRPr="003E29CF">
          <w:rPr>
            <w:noProof/>
            <w:webHidden/>
          </w:rPr>
        </w:r>
        <w:r w:rsidRPr="003E29CF">
          <w:rPr>
            <w:noProof/>
            <w:webHidden/>
          </w:rPr>
          <w:fldChar w:fldCharType="separate"/>
        </w:r>
        <w:r w:rsidR="00E5699E">
          <w:rPr>
            <w:noProof/>
            <w:webHidden/>
          </w:rPr>
          <w:t>113</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89" w:history="1">
        <w:r w:rsidR="003E29CF" w:rsidRPr="003E29CF">
          <w:rPr>
            <w:rStyle w:val="Hyperlink"/>
            <w:rFonts w:cs="Times New Roman"/>
            <w:noProof/>
          </w:rPr>
          <w:t>8.4.1</w:t>
        </w:r>
        <w:r w:rsidR="003E29CF" w:rsidRPr="003E29CF">
          <w:rPr>
            <w:rStyle w:val="Hyperlink"/>
            <w:noProof/>
          </w:rPr>
          <w:t xml:space="preserve"> Energy Efficiency Resources in the FCM</w:t>
        </w:r>
        <w:r w:rsidR="003E29CF" w:rsidRPr="003E29CF">
          <w:rPr>
            <w:noProof/>
            <w:webHidden/>
          </w:rPr>
          <w:tab/>
        </w:r>
        <w:r w:rsidRPr="003E29CF">
          <w:rPr>
            <w:noProof/>
            <w:webHidden/>
          </w:rPr>
          <w:fldChar w:fldCharType="begin"/>
        </w:r>
        <w:r w:rsidR="003E29CF" w:rsidRPr="003E29CF">
          <w:rPr>
            <w:noProof/>
            <w:webHidden/>
          </w:rPr>
          <w:instrText xml:space="preserve"> PAGEREF _Toc271632289 \h </w:instrText>
        </w:r>
        <w:r w:rsidRPr="003E29CF">
          <w:rPr>
            <w:noProof/>
            <w:webHidden/>
          </w:rPr>
        </w:r>
        <w:r w:rsidRPr="003E29CF">
          <w:rPr>
            <w:noProof/>
            <w:webHidden/>
          </w:rPr>
          <w:fldChar w:fldCharType="separate"/>
        </w:r>
        <w:r w:rsidR="00E5699E">
          <w:rPr>
            <w:noProof/>
            <w:webHidden/>
          </w:rPr>
          <w:t>113</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0" w:history="1">
        <w:r w:rsidR="003E29CF" w:rsidRPr="003E29CF">
          <w:rPr>
            <w:rStyle w:val="Hyperlink"/>
            <w:rFonts w:cs="Times New Roman"/>
            <w:noProof/>
          </w:rPr>
          <w:t>8.4.2</w:t>
        </w:r>
        <w:r w:rsidR="003E29CF" w:rsidRPr="003E29CF">
          <w:rPr>
            <w:rStyle w:val="Hyperlink"/>
            <w:noProof/>
          </w:rPr>
          <w:t xml:space="preserve"> Overview of States’ Energy-Efficiency Programs</w:t>
        </w:r>
        <w:r w:rsidR="003E29CF" w:rsidRPr="003E29CF">
          <w:rPr>
            <w:noProof/>
            <w:webHidden/>
          </w:rPr>
          <w:tab/>
        </w:r>
        <w:r w:rsidRPr="003E29CF">
          <w:rPr>
            <w:noProof/>
            <w:webHidden/>
          </w:rPr>
          <w:fldChar w:fldCharType="begin"/>
        </w:r>
        <w:r w:rsidR="003E29CF" w:rsidRPr="003E29CF">
          <w:rPr>
            <w:noProof/>
            <w:webHidden/>
          </w:rPr>
          <w:instrText xml:space="preserve"> PAGEREF _Toc271632290 \h </w:instrText>
        </w:r>
        <w:r w:rsidRPr="003E29CF">
          <w:rPr>
            <w:noProof/>
            <w:webHidden/>
          </w:rPr>
        </w:r>
        <w:r w:rsidRPr="003E29CF">
          <w:rPr>
            <w:noProof/>
            <w:webHidden/>
          </w:rPr>
          <w:fldChar w:fldCharType="separate"/>
        </w:r>
        <w:r w:rsidR="00E5699E">
          <w:rPr>
            <w:noProof/>
            <w:webHidden/>
          </w:rPr>
          <w:t>114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1" w:history="1">
        <w:r w:rsidR="003E29CF" w:rsidRPr="003E29CF">
          <w:rPr>
            <w:rStyle w:val="Hyperlink"/>
            <w:rFonts w:cs="Times New Roman"/>
            <w:noProof/>
          </w:rPr>
          <w:t>8.4.3</w:t>
        </w:r>
        <w:r w:rsidR="003E29CF" w:rsidRPr="003E29CF">
          <w:rPr>
            <w:rStyle w:val="Hyperlink"/>
            <w:noProof/>
          </w:rPr>
          <w:t xml:space="preserve"> State Energy-Efficiency Reductions Summary in 2020</w:t>
        </w:r>
        <w:r w:rsidR="003E29CF" w:rsidRPr="003E29CF">
          <w:rPr>
            <w:noProof/>
            <w:webHidden/>
          </w:rPr>
          <w:tab/>
        </w:r>
        <w:r w:rsidRPr="003E29CF">
          <w:rPr>
            <w:noProof/>
            <w:webHidden/>
          </w:rPr>
          <w:fldChar w:fldCharType="begin"/>
        </w:r>
        <w:r w:rsidR="003E29CF" w:rsidRPr="003E29CF">
          <w:rPr>
            <w:noProof/>
            <w:webHidden/>
          </w:rPr>
          <w:instrText xml:space="preserve"> PAGEREF _Toc271632291 \h </w:instrText>
        </w:r>
        <w:r w:rsidRPr="003E29CF">
          <w:rPr>
            <w:noProof/>
            <w:webHidden/>
          </w:rPr>
        </w:r>
        <w:r w:rsidRPr="003E29CF">
          <w:rPr>
            <w:noProof/>
            <w:webHidden/>
          </w:rPr>
          <w:fldChar w:fldCharType="separate"/>
        </w:r>
        <w:r w:rsidR="00E5699E">
          <w:rPr>
            <w:noProof/>
            <w:webHidden/>
          </w:rPr>
          <w:t>119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92" w:history="1">
        <w:r w:rsidR="003E29CF" w:rsidRPr="003E29CF">
          <w:rPr>
            <w:rStyle w:val="Hyperlink"/>
            <w:noProof/>
          </w:rPr>
          <w:t>8.5 Renewable Portfolio Standards, Projected Requirements, and Potential Supply</w:t>
        </w:r>
        <w:r w:rsidR="00EC73A7">
          <w:rPr>
            <w:rStyle w:val="Hyperlink"/>
            <w:noProof/>
          </w:rPr>
          <w:br/>
        </w:r>
        <w:r w:rsidR="003E29CF" w:rsidRPr="003E29CF">
          <w:rPr>
            <w:rStyle w:val="Hyperlink"/>
            <w:noProof/>
          </w:rPr>
          <w:t>from the ISO Queue</w:t>
        </w:r>
        <w:r w:rsidR="003E29CF" w:rsidRPr="003E29CF">
          <w:rPr>
            <w:noProof/>
            <w:webHidden/>
          </w:rPr>
          <w:tab/>
        </w:r>
        <w:r w:rsidRPr="003E29CF">
          <w:rPr>
            <w:noProof/>
            <w:webHidden/>
          </w:rPr>
          <w:fldChar w:fldCharType="begin"/>
        </w:r>
        <w:r w:rsidR="003E29CF" w:rsidRPr="003E29CF">
          <w:rPr>
            <w:noProof/>
            <w:webHidden/>
          </w:rPr>
          <w:instrText xml:space="preserve"> PAGEREF _Toc271632292 \h </w:instrText>
        </w:r>
        <w:r w:rsidRPr="003E29CF">
          <w:rPr>
            <w:noProof/>
            <w:webHidden/>
          </w:rPr>
        </w:r>
        <w:r w:rsidRPr="003E29CF">
          <w:rPr>
            <w:noProof/>
            <w:webHidden/>
          </w:rPr>
          <w:fldChar w:fldCharType="separate"/>
        </w:r>
        <w:r w:rsidR="00E5699E">
          <w:rPr>
            <w:noProof/>
            <w:webHidden/>
          </w:rPr>
          <w:t>121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3" w:history="1">
        <w:r w:rsidR="003E29CF" w:rsidRPr="003E29CF">
          <w:rPr>
            <w:rStyle w:val="Hyperlink"/>
            <w:rFonts w:cs="Times New Roman"/>
            <w:noProof/>
          </w:rPr>
          <w:t>8.5.1</w:t>
        </w:r>
        <w:r w:rsidR="003E29CF" w:rsidRPr="003E29CF">
          <w:rPr>
            <w:rStyle w:val="Hyperlink"/>
            <w:noProof/>
          </w:rPr>
          <w:t xml:space="preserve"> Related Renewable Resource and Energy-Efficiency Developments</w:t>
        </w:r>
        <w:r w:rsidR="003E29CF" w:rsidRPr="003E29CF">
          <w:rPr>
            <w:noProof/>
            <w:webHidden/>
          </w:rPr>
          <w:tab/>
        </w:r>
        <w:r w:rsidRPr="003E29CF">
          <w:rPr>
            <w:noProof/>
            <w:webHidden/>
          </w:rPr>
          <w:fldChar w:fldCharType="begin"/>
        </w:r>
        <w:r w:rsidR="003E29CF" w:rsidRPr="003E29CF">
          <w:rPr>
            <w:noProof/>
            <w:webHidden/>
          </w:rPr>
          <w:instrText xml:space="preserve"> PAGEREF _Toc271632293 \h </w:instrText>
        </w:r>
        <w:r w:rsidRPr="003E29CF">
          <w:rPr>
            <w:noProof/>
            <w:webHidden/>
          </w:rPr>
        </w:r>
        <w:r w:rsidRPr="003E29CF">
          <w:rPr>
            <w:noProof/>
            <w:webHidden/>
          </w:rPr>
          <w:fldChar w:fldCharType="separate"/>
        </w:r>
        <w:r w:rsidR="00E5699E">
          <w:rPr>
            <w:noProof/>
            <w:webHidden/>
          </w:rPr>
          <w:t>125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4" w:history="1">
        <w:r w:rsidR="003E29CF" w:rsidRPr="003E29CF">
          <w:rPr>
            <w:rStyle w:val="Hyperlink"/>
            <w:rFonts w:cs="Times New Roman"/>
            <w:noProof/>
          </w:rPr>
          <w:t>8.5.2</w:t>
        </w:r>
        <w:r w:rsidR="003E29CF" w:rsidRPr="003E29CF">
          <w:rPr>
            <w:rStyle w:val="Hyperlink"/>
            <w:noProof/>
          </w:rPr>
          <w:t xml:space="preserve"> Projected RPS and Renewable Resources in the ISO Queue</w:t>
        </w:r>
        <w:r w:rsidR="003E29CF" w:rsidRPr="003E29CF">
          <w:rPr>
            <w:noProof/>
            <w:webHidden/>
          </w:rPr>
          <w:tab/>
        </w:r>
        <w:r w:rsidRPr="003E29CF">
          <w:rPr>
            <w:noProof/>
            <w:webHidden/>
          </w:rPr>
          <w:fldChar w:fldCharType="begin"/>
        </w:r>
        <w:r w:rsidR="003E29CF" w:rsidRPr="003E29CF">
          <w:rPr>
            <w:noProof/>
            <w:webHidden/>
          </w:rPr>
          <w:instrText xml:space="preserve"> PAGEREF _Toc271632294 \h </w:instrText>
        </w:r>
        <w:r w:rsidRPr="003E29CF">
          <w:rPr>
            <w:noProof/>
            <w:webHidden/>
          </w:rPr>
        </w:r>
        <w:r w:rsidRPr="003E29CF">
          <w:rPr>
            <w:noProof/>
            <w:webHidden/>
          </w:rPr>
          <w:fldChar w:fldCharType="separate"/>
        </w:r>
        <w:r w:rsidR="00E5699E">
          <w:rPr>
            <w:noProof/>
            <w:webHidden/>
          </w:rPr>
          <w:t>126</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295" w:history="1">
        <w:r w:rsidR="003E29CF" w:rsidRPr="003E29CF">
          <w:rPr>
            <w:rStyle w:val="Hyperlink"/>
            <w:noProof/>
          </w:rPr>
          <w:t>8.6 Summary</w:t>
        </w:r>
        <w:r w:rsidR="003E29CF" w:rsidRPr="003E29CF">
          <w:rPr>
            <w:noProof/>
            <w:webHidden/>
          </w:rPr>
          <w:tab/>
        </w:r>
        <w:r w:rsidRPr="003E29CF">
          <w:rPr>
            <w:noProof/>
            <w:webHidden/>
          </w:rPr>
          <w:fldChar w:fldCharType="begin"/>
        </w:r>
        <w:r w:rsidR="003E29CF" w:rsidRPr="003E29CF">
          <w:rPr>
            <w:noProof/>
            <w:webHidden/>
          </w:rPr>
          <w:instrText xml:space="preserve"> PAGEREF _Toc271632295 \h </w:instrText>
        </w:r>
        <w:r w:rsidRPr="003E29CF">
          <w:rPr>
            <w:noProof/>
            <w:webHidden/>
          </w:rPr>
        </w:r>
        <w:r w:rsidRPr="003E29CF">
          <w:rPr>
            <w:noProof/>
            <w:webHidden/>
          </w:rPr>
          <w:fldChar w:fldCharType="separate"/>
        </w:r>
        <w:r w:rsidR="00E5699E">
          <w:rPr>
            <w:noProof/>
            <w:webHidden/>
          </w:rPr>
          <w:t>135</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296" w:history="1">
        <w:r w:rsidR="003E29CF" w:rsidRPr="003E29CF">
          <w:rPr>
            <w:rStyle w:val="Hyperlink"/>
            <w:sz w:val="22"/>
          </w:rPr>
          <w:t>Section 9</w:t>
        </w:r>
        <w:r w:rsidR="003E29CF">
          <w:rPr>
            <w:rStyle w:val="Hyperlink"/>
            <w:sz w:val="22"/>
          </w:rPr>
          <w:br/>
        </w:r>
        <w:r w:rsidR="003E29CF" w:rsidRPr="003E29CF">
          <w:rPr>
            <w:rStyle w:val="Hyperlink"/>
            <w:sz w:val="22"/>
          </w:rPr>
          <w:t>New Technologies</w:t>
        </w:r>
        <w:r w:rsidR="003E29CF" w:rsidRPr="003E29CF">
          <w:rPr>
            <w:webHidden/>
            <w:sz w:val="22"/>
          </w:rPr>
          <w:tab/>
        </w:r>
        <w:r w:rsidRPr="003E29CF">
          <w:rPr>
            <w:webHidden/>
            <w:sz w:val="22"/>
          </w:rPr>
          <w:fldChar w:fldCharType="begin"/>
        </w:r>
        <w:r w:rsidR="003E29CF" w:rsidRPr="003E29CF">
          <w:rPr>
            <w:webHidden/>
            <w:sz w:val="22"/>
          </w:rPr>
          <w:instrText xml:space="preserve"> PAGEREF _Toc271632296 \h </w:instrText>
        </w:r>
        <w:r w:rsidRPr="003E29CF">
          <w:rPr>
            <w:webHidden/>
            <w:sz w:val="22"/>
          </w:rPr>
        </w:r>
        <w:r w:rsidRPr="003E29CF">
          <w:rPr>
            <w:webHidden/>
            <w:sz w:val="22"/>
          </w:rPr>
          <w:fldChar w:fldCharType="separate"/>
        </w:r>
        <w:r w:rsidR="00E5699E">
          <w:rPr>
            <w:webHidden/>
            <w:sz w:val="22"/>
          </w:rPr>
          <w:t>136</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297" w:history="1">
        <w:r w:rsidR="003E29CF" w:rsidRPr="003E29CF">
          <w:rPr>
            <w:rStyle w:val="Hyperlink"/>
            <w:noProof/>
          </w:rPr>
          <w:t>9.1 Integration of Smart Grid Technologies</w:t>
        </w:r>
        <w:r w:rsidR="003E29CF" w:rsidRPr="003E29CF">
          <w:rPr>
            <w:noProof/>
            <w:webHidden/>
          </w:rPr>
          <w:tab/>
        </w:r>
        <w:r w:rsidRPr="003E29CF">
          <w:rPr>
            <w:noProof/>
            <w:webHidden/>
          </w:rPr>
          <w:fldChar w:fldCharType="begin"/>
        </w:r>
        <w:r w:rsidR="003E29CF" w:rsidRPr="003E29CF">
          <w:rPr>
            <w:noProof/>
            <w:webHidden/>
          </w:rPr>
          <w:instrText xml:space="preserve"> PAGEREF _Toc271632297 \h </w:instrText>
        </w:r>
        <w:r w:rsidRPr="003E29CF">
          <w:rPr>
            <w:noProof/>
            <w:webHidden/>
          </w:rPr>
        </w:r>
        <w:r w:rsidRPr="003E29CF">
          <w:rPr>
            <w:noProof/>
            <w:webHidden/>
          </w:rPr>
          <w:fldChar w:fldCharType="separate"/>
        </w:r>
        <w:r w:rsidR="00E5699E">
          <w:rPr>
            <w:noProof/>
            <w:webHidden/>
          </w:rPr>
          <w:t>136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8" w:history="1">
        <w:r w:rsidR="003E29CF" w:rsidRPr="003E29CF">
          <w:rPr>
            <w:rStyle w:val="Hyperlink"/>
            <w:rFonts w:cs="Times New Roman"/>
            <w:noProof/>
          </w:rPr>
          <w:t>9.1.1</w:t>
        </w:r>
        <w:r w:rsidR="003E29CF" w:rsidRPr="003E29CF">
          <w:rPr>
            <w:rStyle w:val="Hyperlink"/>
            <w:noProof/>
          </w:rPr>
          <w:t xml:space="preserve"> Operational Challenges and Opportunities</w:t>
        </w:r>
        <w:r w:rsidR="003E29CF" w:rsidRPr="003E29CF">
          <w:rPr>
            <w:noProof/>
            <w:webHidden/>
          </w:rPr>
          <w:tab/>
        </w:r>
        <w:r w:rsidRPr="003E29CF">
          <w:rPr>
            <w:noProof/>
            <w:webHidden/>
          </w:rPr>
          <w:fldChar w:fldCharType="begin"/>
        </w:r>
        <w:r w:rsidR="003E29CF" w:rsidRPr="003E29CF">
          <w:rPr>
            <w:noProof/>
            <w:webHidden/>
          </w:rPr>
          <w:instrText xml:space="preserve"> PAGEREF _Toc271632298 \h </w:instrText>
        </w:r>
        <w:r w:rsidRPr="003E29CF">
          <w:rPr>
            <w:noProof/>
            <w:webHidden/>
          </w:rPr>
        </w:r>
        <w:r w:rsidRPr="003E29CF">
          <w:rPr>
            <w:noProof/>
            <w:webHidden/>
          </w:rPr>
          <w:fldChar w:fldCharType="separate"/>
        </w:r>
        <w:r w:rsidR="00E5699E">
          <w:rPr>
            <w:noProof/>
            <w:webHidden/>
          </w:rPr>
          <w:t>136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299" w:history="1">
        <w:r w:rsidR="003E29CF" w:rsidRPr="003E29CF">
          <w:rPr>
            <w:rStyle w:val="Hyperlink"/>
            <w:rFonts w:cs="Times New Roman"/>
            <w:noProof/>
          </w:rPr>
          <w:t>9.1.2</w:t>
        </w:r>
        <w:r w:rsidR="003E29CF" w:rsidRPr="003E29CF">
          <w:rPr>
            <w:rStyle w:val="Hyperlink"/>
            <w:noProof/>
          </w:rPr>
          <w:t xml:space="preserve"> ISO Activities in Support of Developing and Implementing a Smart Grid</w:t>
        </w:r>
        <w:r w:rsidR="003E29CF" w:rsidRPr="003E29CF">
          <w:rPr>
            <w:noProof/>
            <w:webHidden/>
          </w:rPr>
          <w:tab/>
        </w:r>
        <w:r w:rsidRPr="003E29CF">
          <w:rPr>
            <w:noProof/>
            <w:webHidden/>
          </w:rPr>
          <w:fldChar w:fldCharType="begin"/>
        </w:r>
        <w:r w:rsidR="003E29CF" w:rsidRPr="003E29CF">
          <w:rPr>
            <w:noProof/>
            <w:webHidden/>
          </w:rPr>
          <w:instrText xml:space="preserve"> PAGEREF _Toc271632299 \h </w:instrText>
        </w:r>
        <w:r w:rsidRPr="003E29CF">
          <w:rPr>
            <w:noProof/>
            <w:webHidden/>
          </w:rPr>
        </w:r>
        <w:r w:rsidRPr="003E29CF">
          <w:rPr>
            <w:noProof/>
            <w:webHidden/>
          </w:rPr>
          <w:fldChar w:fldCharType="separate"/>
        </w:r>
        <w:r w:rsidR="00E5699E">
          <w:rPr>
            <w:noProof/>
            <w:webHidden/>
          </w:rPr>
          <w:t>137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0" w:history="1">
        <w:r w:rsidR="003E29CF" w:rsidRPr="003E29CF">
          <w:rPr>
            <w:rStyle w:val="Hyperlink"/>
            <w:rFonts w:cs="Times New Roman"/>
            <w:noProof/>
          </w:rPr>
          <w:t>9.1.3</w:t>
        </w:r>
        <w:r w:rsidR="003E29CF" w:rsidRPr="003E29CF">
          <w:rPr>
            <w:rStyle w:val="Hyperlink"/>
            <w:noProof/>
          </w:rPr>
          <w:t xml:space="preserve"> Dynamic Line Ratings</w:t>
        </w:r>
        <w:r w:rsidR="003E29CF" w:rsidRPr="003E29CF">
          <w:rPr>
            <w:noProof/>
            <w:webHidden/>
          </w:rPr>
          <w:tab/>
        </w:r>
        <w:r w:rsidRPr="003E29CF">
          <w:rPr>
            <w:noProof/>
            <w:webHidden/>
          </w:rPr>
          <w:fldChar w:fldCharType="begin"/>
        </w:r>
        <w:r w:rsidR="003E29CF" w:rsidRPr="003E29CF">
          <w:rPr>
            <w:noProof/>
            <w:webHidden/>
          </w:rPr>
          <w:instrText xml:space="preserve"> PAGEREF _Toc271632300 \h </w:instrText>
        </w:r>
        <w:r w:rsidRPr="003E29CF">
          <w:rPr>
            <w:noProof/>
            <w:webHidden/>
          </w:rPr>
        </w:r>
        <w:r w:rsidRPr="003E29CF">
          <w:rPr>
            <w:noProof/>
            <w:webHidden/>
          </w:rPr>
          <w:fldChar w:fldCharType="separate"/>
        </w:r>
        <w:r w:rsidR="00E5699E">
          <w:rPr>
            <w:noProof/>
            <w:webHidden/>
          </w:rPr>
          <w:t>138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1" w:history="1">
        <w:r w:rsidR="003E29CF" w:rsidRPr="003E29CF">
          <w:rPr>
            <w:rStyle w:val="Hyperlink"/>
            <w:rFonts w:cs="Times New Roman"/>
            <w:noProof/>
          </w:rPr>
          <w:t>9.1.4</w:t>
        </w:r>
        <w:r w:rsidR="003E29CF" w:rsidRPr="003E29CF">
          <w:rPr>
            <w:rStyle w:val="Hyperlink"/>
            <w:noProof/>
          </w:rPr>
          <w:t xml:space="preserve"> Flexible Alternating-Current Transmission Systems</w:t>
        </w:r>
        <w:r w:rsidR="003E29CF" w:rsidRPr="003E29CF">
          <w:rPr>
            <w:noProof/>
            <w:webHidden/>
          </w:rPr>
          <w:tab/>
        </w:r>
        <w:r w:rsidRPr="003E29CF">
          <w:rPr>
            <w:noProof/>
            <w:webHidden/>
          </w:rPr>
          <w:fldChar w:fldCharType="begin"/>
        </w:r>
        <w:r w:rsidR="003E29CF" w:rsidRPr="003E29CF">
          <w:rPr>
            <w:noProof/>
            <w:webHidden/>
          </w:rPr>
          <w:instrText xml:space="preserve"> PAGEREF _Toc271632301 \h </w:instrText>
        </w:r>
        <w:r w:rsidRPr="003E29CF">
          <w:rPr>
            <w:noProof/>
            <w:webHidden/>
          </w:rPr>
        </w:r>
        <w:r w:rsidRPr="003E29CF">
          <w:rPr>
            <w:noProof/>
            <w:webHidden/>
          </w:rPr>
          <w:fldChar w:fldCharType="separate"/>
        </w:r>
        <w:r w:rsidR="00E5699E">
          <w:rPr>
            <w:noProof/>
            <w:webHidden/>
          </w:rPr>
          <w:t>139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02" w:history="1">
        <w:r w:rsidR="003E29CF" w:rsidRPr="003E29CF">
          <w:rPr>
            <w:rStyle w:val="Hyperlink"/>
            <w:noProof/>
          </w:rPr>
          <w:t>9.2 Integration of Active Demand Resources under the FCM</w:t>
        </w:r>
        <w:r w:rsidR="003E29CF" w:rsidRPr="003E29CF">
          <w:rPr>
            <w:noProof/>
            <w:webHidden/>
          </w:rPr>
          <w:tab/>
        </w:r>
        <w:r w:rsidRPr="003E29CF">
          <w:rPr>
            <w:noProof/>
            <w:webHidden/>
          </w:rPr>
          <w:fldChar w:fldCharType="begin"/>
        </w:r>
        <w:r w:rsidR="003E29CF" w:rsidRPr="003E29CF">
          <w:rPr>
            <w:noProof/>
            <w:webHidden/>
          </w:rPr>
          <w:instrText xml:space="preserve"> PAGEREF _Toc271632302 \h </w:instrText>
        </w:r>
        <w:r w:rsidRPr="003E29CF">
          <w:rPr>
            <w:noProof/>
            <w:webHidden/>
          </w:rPr>
        </w:r>
        <w:r w:rsidRPr="003E29CF">
          <w:rPr>
            <w:noProof/>
            <w:webHidden/>
          </w:rPr>
          <w:fldChar w:fldCharType="separate"/>
        </w:r>
        <w:r w:rsidR="00E5699E">
          <w:rPr>
            <w:noProof/>
            <w:webHidden/>
          </w:rPr>
          <w:t>139</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3" w:history="1">
        <w:r w:rsidR="003E29CF" w:rsidRPr="003E29CF">
          <w:rPr>
            <w:rStyle w:val="Hyperlink"/>
            <w:rFonts w:cs="Times New Roman"/>
            <w:noProof/>
          </w:rPr>
          <w:t>9.2.1</w:t>
        </w:r>
        <w:r w:rsidR="003E29CF" w:rsidRPr="003E29CF">
          <w:rPr>
            <w:rStyle w:val="Hyperlink"/>
            <w:noProof/>
          </w:rPr>
          <w:t xml:space="preserve"> Modifications to ISO New England Operating Procedure No. 4</w:t>
        </w:r>
        <w:r w:rsidR="003E29CF" w:rsidRPr="003E29CF">
          <w:rPr>
            <w:noProof/>
            <w:webHidden/>
          </w:rPr>
          <w:tab/>
        </w:r>
        <w:r w:rsidRPr="003E29CF">
          <w:rPr>
            <w:noProof/>
            <w:webHidden/>
          </w:rPr>
          <w:fldChar w:fldCharType="begin"/>
        </w:r>
        <w:r w:rsidR="003E29CF" w:rsidRPr="003E29CF">
          <w:rPr>
            <w:noProof/>
            <w:webHidden/>
          </w:rPr>
          <w:instrText xml:space="preserve"> PAGEREF _Toc271632303 \h </w:instrText>
        </w:r>
        <w:r w:rsidRPr="003E29CF">
          <w:rPr>
            <w:noProof/>
            <w:webHidden/>
          </w:rPr>
        </w:r>
        <w:r w:rsidRPr="003E29CF">
          <w:rPr>
            <w:noProof/>
            <w:webHidden/>
          </w:rPr>
          <w:fldChar w:fldCharType="separate"/>
        </w:r>
        <w:r w:rsidR="00E5699E">
          <w:rPr>
            <w:noProof/>
            <w:webHidden/>
          </w:rPr>
          <w:t>141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4" w:history="1">
        <w:r w:rsidR="003E29CF" w:rsidRPr="003E29CF">
          <w:rPr>
            <w:rStyle w:val="Hyperlink"/>
            <w:rFonts w:cs="Times New Roman"/>
            <w:noProof/>
          </w:rPr>
          <w:t>9.2.2</w:t>
        </w:r>
        <w:r w:rsidR="003E29CF" w:rsidRPr="003E29CF">
          <w:rPr>
            <w:rStyle w:val="Hyperlink"/>
            <w:noProof/>
          </w:rPr>
          <w:t xml:space="preserve"> Creation of Demand-Designated Entities</w:t>
        </w:r>
        <w:r w:rsidR="003E29CF" w:rsidRPr="003E29CF">
          <w:rPr>
            <w:noProof/>
            <w:webHidden/>
          </w:rPr>
          <w:tab/>
        </w:r>
        <w:r w:rsidRPr="003E29CF">
          <w:rPr>
            <w:noProof/>
            <w:webHidden/>
          </w:rPr>
          <w:fldChar w:fldCharType="begin"/>
        </w:r>
        <w:r w:rsidR="003E29CF" w:rsidRPr="003E29CF">
          <w:rPr>
            <w:noProof/>
            <w:webHidden/>
          </w:rPr>
          <w:instrText xml:space="preserve"> PAGEREF _Toc271632304 \h </w:instrText>
        </w:r>
        <w:r w:rsidRPr="003E29CF">
          <w:rPr>
            <w:noProof/>
            <w:webHidden/>
          </w:rPr>
        </w:r>
        <w:r w:rsidRPr="003E29CF">
          <w:rPr>
            <w:noProof/>
            <w:webHidden/>
          </w:rPr>
          <w:fldChar w:fldCharType="separate"/>
        </w:r>
        <w:r w:rsidR="00E5699E">
          <w:rPr>
            <w:noProof/>
            <w:webHidden/>
          </w:rPr>
          <w:t>141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5" w:history="1">
        <w:r w:rsidR="003E29CF" w:rsidRPr="003E29CF">
          <w:rPr>
            <w:rStyle w:val="Hyperlink"/>
            <w:rFonts w:cs="Times New Roman"/>
            <w:noProof/>
          </w:rPr>
          <w:t>9.2.3</w:t>
        </w:r>
        <w:r w:rsidR="003E29CF" w:rsidRPr="003E29CF">
          <w:rPr>
            <w:rStyle w:val="Hyperlink"/>
            <w:noProof/>
          </w:rPr>
          <w:t xml:space="preserve"> Operator Interfaces</w:t>
        </w:r>
        <w:r w:rsidR="003E29CF" w:rsidRPr="003E29CF">
          <w:rPr>
            <w:noProof/>
            <w:webHidden/>
          </w:rPr>
          <w:tab/>
        </w:r>
        <w:r w:rsidRPr="003E29CF">
          <w:rPr>
            <w:noProof/>
            <w:webHidden/>
          </w:rPr>
          <w:fldChar w:fldCharType="begin"/>
        </w:r>
        <w:r w:rsidR="003E29CF" w:rsidRPr="003E29CF">
          <w:rPr>
            <w:noProof/>
            <w:webHidden/>
          </w:rPr>
          <w:instrText xml:space="preserve"> PAGEREF _Toc271632305 \h </w:instrText>
        </w:r>
        <w:r w:rsidRPr="003E29CF">
          <w:rPr>
            <w:noProof/>
            <w:webHidden/>
          </w:rPr>
        </w:r>
        <w:r w:rsidRPr="003E29CF">
          <w:rPr>
            <w:noProof/>
            <w:webHidden/>
          </w:rPr>
          <w:fldChar w:fldCharType="separate"/>
        </w:r>
        <w:r w:rsidR="00E5699E">
          <w:rPr>
            <w:noProof/>
            <w:webHidden/>
          </w:rPr>
          <w:t>141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6" w:history="1">
        <w:r w:rsidR="003E29CF" w:rsidRPr="003E29CF">
          <w:rPr>
            <w:rStyle w:val="Hyperlink"/>
            <w:rFonts w:cs="Times New Roman"/>
            <w:noProof/>
          </w:rPr>
          <w:t>9.2.4</w:t>
        </w:r>
        <w:r w:rsidR="003E29CF" w:rsidRPr="003E29CF">
          <w:rPr>
            <w:rStyle w:val="Hyperlink"/>
            <w:noProof/>
          </w:rPr>
          <w:t xml:space="preserve"> Development of New Communications Infrastructure</w:t>
        </w:r>
        <w:r w:rsidR="003E29CF" w:rsidRPr="003E29CF">
          <w:rPr>
            <w:noProof/>
            <w:webHidden/>
          </w:rPr>
          <w:tab/>
        </w:r>
        <w:r w:rsidRPr="003E29CF">
          <w:rPr>
            <w:noProof/>
            <w:webHidden/>
          </w:rPr>
          <w:fldChar w:fldCharType="begin"/>
        </w:r>
        <w:r w:rsidR="003E29CF" w:rsidRPr="003E29CF">
          <w:rPr>
            <w:noProof/>
            <w:webHidden/>
          </w:rPr>
          <w:instrText xml:space="preserve"> PAGEREF _Toc271632306 \h </w:instrText>
        </w:r>
        <w:r w:rsidRPr="003E29CF">
          <w:rPr>
            <w:noProof/>
            <w:webHidden/>
          </w:rPr>
        </w:r>
        <w:r w:rsidRPr="003E29CF">
          <w:rPr>
            <w:noProof/>
            <w:webHidden/>
          </w:rPr>
          <w:fldChar w:fldCharType="separate"/>
        </w:r>
        <w:r w:rsidR="00E5699E">
          <w:rPr>
            <w:noProof/>
            <w:webHidden/>
          </w:rPr>
          <w:t>141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7" w:history="1">
        <w:r w:rsidR="003E29CF" w:rsidRPr="003E29CF">
          <w:rPr>
            <w:rStyle w:val="Hyperlink"/>
            <w:rFonts w:cs="Times New Roman"/>
            <w:noProof/>
          </w:rPr>
          <w:t>9.2.5</w:t>
        </w:r>
        <w:r w:rsidR="003E29CF" w:rsidRPr="003E29CF">
          <w:rPr>
            <w:rStyle w:val="Hyperlink"/>
            <w:noProof/>
          </w:rPr>
          <w:t xml:space="preserve"> Use of Active-Demand-Resource Dispatch Zones</w:t>
        </w:r>
        <w:r w:rsidR="003E29CF" w:rsidRPr="003E29CF">
          <w:rPr>
            <w:noProof/>
            <w:webHidden/>
          </w:rPr>
          <w:tab/>
        </w:r>
        <w:r w:rsidRPr="003E29CF">
          <w:rPr>
            <w:noProof/>
            <w:webHidden/>
          </w:rPr>
          <w:fldChar w:fldCharType="begin"/>
        </w:r>
        <w:r w:rsidR="003E29CF" w:rsidRPr="003E29CF">
          <w:rPr>
            <w:noProof/>
            <w:webHidden/>
          </w:rPr>
          <w:instrText xml:space="preserve"> PAGEREF _Toc271632307 \h </w:instrText>
        </w:r>
        <w:r w:rsidRPr="003E29CF">
          <w:rPr>
            <w:noProof/>
            <w:webHidden/>
          </w:rPr>
        </w:r>
        <w:r w:rsidRPr="003E29CF">
          <w:rPr>
            <w:noProof/>
            <w:webHidden/>
          </w:rPr>
          <w:fldChar w:fldCharType="separate"/>
        </w:r>
        <w:r w:rsidR="00E5699E">
          <w:rPr>
            <w:noProof/>
            <w:webHidden/>
          </w:rPr>
          <w:t>142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08" w:history="1">
        <w:r w:rsidR="003E29CF" w:rsidRPr="003E29CF">
          <w:rPr>
            <w:rStyle w:val="Hyperlink"/>
            <w:noProof/>
          </w:rPr>
          <w:t>9.3 Integration of Variable-Output Generation</w:t>
        </w:r>
        <w:r w:rsidR="003E29CF" w:rsidRPr="003E29CF">
          <w:rPr>
            <w:noProof/>
            <w:webHidden/>
          </w:rPr>
          <w:tab/>
        </w:r>
        <w:r w:rsidRPr="003E29CF">
          <w:rPr>
            <w:noProof/>
            <w:webHidden/>
          </w:rPr>
          <w:fldChar w:fldCharType="begin"/>
        </w:r>
        <w:r w:rsidR="003E29CF" w:rsidRPr="003E29CF">
          <w:rPr>
            <w:noProof/>
            <w:webHidden/>
          </w:rPr>
          <w:instrText xml:space="preserve"> PAGEREF _Toc271632308 \h </w:instrText>
        </w:r>
        <w:r w:rsidRPr="003E29CF">
          <w:rPr>
            <w:noProof/>
            <w:webHidden/>
          </w:rPr>
        </w:r>
        <w:r w:rsidRPr="003E29CF">
          <w:rPr>
            <w:noProof/>
            <w:webHidden/>
          </w:rPr>
          <w:fldChar w:fldCharType="separate"/>
        </w:r>
        <w:r w:rsidR="00E5699E">
          <w:rPr>
            <w:noProof/>
            <w:webHidden/>
          </w:rPr>
          <w:t>142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09" w:history="1">
        <w:r w:rsidR="003E29CF" w:rsidRPr="003E29CF">
          <w:rPr>
            <w:rStyle w:val="Hyperlink"/>
            <w:rFonts w:cs="Times New Roman"/>
            <w:noProof/>
          </w:rPr>
          <w:t>9.3.1</w:t>
        </w:r>
        <w:r w:rsidR="003E29CF" w:rsidRPr="003E29CF">
          <w:rPr>
            <w:rStyle w:val="Hyperlink"/>
            <w:noProof/>
          </w:rPr>
          <w:t xml:space="preserve"> Studies of Variable-Output Generation Resources</w:t>
        </w:r>
        <w:r w:rsidR="003E29CF" w:rsidRPr="003E29CF">
          <w:rPr>
            <w:noProof/>
            <w:webHidden/>
          </w:rPr>
          <w:tab/>
        </w:r>
        <w:r w:rsidRPr="003E29CF">
          <w:rPr>
            <w:noProof/>
            <w:webHidden/>
          </w:rPr>
          <w:fldChar w:fldCharType="begin"/>
        </w:r>
        <w:r w:rsidR="003E29CF" w:rsidRPr="003E29CF">
          <w:rPr>
            <w:noProof/>
            <w:webHidden/>
          </w:rPr>
          <w:instrText xml:space="preserve"> PAGEREF _Toc271632309 \h </w:instrText>
        </w:r>
        <w:r w:rsidRPr="003E29CF">
          <w:rPr>
            <w:noProof/>
            <w:webHidden/>
          </w:rPr>
        </w:r>
        <w:r w:rsidRPr="003E29CF">
          <w:rPr>
            <w:noProof/>
            <w:webHidden/>
          </w:rPr>
          <w:fldChar w:fldCharType="separate"/>
        </w:r>
        <w:r w:rsidR="00E5699E">
          <w:rPr>
            <w:noProof/>
            <w:webHidden/>
          </w:rPr>
          <w:t>143</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10" w:history="1">
        <w:r w:rsidR="003E29CF" w:rsidRPr="003E29CF">
          <w:rPr>
            <w:rStyle w:val="Hyperlink"/>
            <w:rFonts w:cs="Times New Roman"/>
            <w:noProof/>
          </w:rPr>
          <w:t>9.3.2</w:t>
        </w:r>
        <w:r w:rsidR="003E29CF" w:rsidRPr="003E29CF">
          <w:rPr>
            <w:rStyle w:val="Hyperlink"/>
            <w:noProof/>
          </w:rPr>
          <w:t xml:space="preserve"> Wind Generation Technology and Integration</w:t>
        </w:r>
        <w:r w:rsidR="003E29CF" w:rsidRPr="003E29CF">
          <w:rPr>
            <w:noProof/>
            <w:webHidden/>
          </w:rPr>
          <w:tab/>
        </w:r>
        <w:r w:rsidRPr="003E29CF">
          <w:rPr>
            <w:noProof/>
            <w:webHidden/>
          </w:rPr>
          <w:fldChar w:fldCharType="begin"/>
        </w:r>
        <w:r w:rsidR="003E29CF" w:rsidRPr="003E29CF">
          <w:rPr>
            <w:noProof/>
            <w:webHidden/>
          </w:rPr>
          <w:instrText xml:space="preserve"> PAGEREF _Toc271632310 \h </w:instrText>
        </w:r>
        <w:r w:rsidRPr="003E29CF">
          <w:rPr>
            <w:noProof/>
            <w:webHidden/>
          </w:rPr>
        </w:r>
        <w:r w:rsidRPr="003E29CF">
          <w:rPr>
            <w:noProof/>
            <w:webHidden/>
          </w:rPr>
          <w:fldChar w:fldCharType="separate"/>
        </w:r>
        <w:r w:rsidR="00E5699E">
          <w:rPr>
            <w:noProof/>
            <w:webHidden/>
          </w:rPr>
          <w:t>144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11" w:history="1">
        <w:r w:rsidR="003E29CF" w:rsidRPr="003E29CF">
          <w:rPr>
            <w:rStyle w:val="Hyperlink"/>
            <w:rFonts w:cs="Times New Roman"/>
            <w:noProof/>
          </w:rPr>
          <w:t>9.3.3</w:t>
        </w:r>
        <w:r w:rsidR="003E29CF" w:rsidRPr="003E29CF">
          <w:rPr>
            <w:rStyle w:val="Hyperlink"/>
            <w:noProof/>
          </w:rPr>
          <w:t xml:space="preserve"> Solar Energy Technologies and Integration</w:t>
        </w:r>
        <w:r w:rsidR="003E29CF" w:rsidRPr="003E29CF">
          <w:rPr>
            <w:noProof/>
            <w:webHidden/>
          </w:rPr>
          <w:tab/>
        </w:r>
        <w:r w:rsidRPr="003E29CF">
          <w:rPr>
            <w:noProof/>
            <w:webHidden/>
          </w:rPr>
          <w:fldChar w:fldCharType="begin"/>
        </w:r>
        <w:r w:rsidR="003E29CF" w:rsidRPr="003E29CF">
          <w:rPr>
            <w:noProof/>
            <w:webHidden/>
          </w:rPr>
          <w:instrText xml:space="preserve"> PAGEREF _Toc271632311 \h </w:instrText>
        </w:r>
        <w:r w:rsidRPr="003E29CF">
          <w:rPr>
            <w:noProof/>
            <w:webHidden/>
          </w:rPr>
        </w:r>
        <w:r w:rsidRPr="003E29CF">
          <w:rPr>
            <w:noProof/>
            <w:webHidden/>
          </w:rPr>
          <w:fldChar w:fldCharType="separate"/>
        </w:r>
        <w:r w:rsidR="00E5699E">
          <w:rPr>
            <w:noProof/>
            <w:webHidden/>
          </w:rPr>
          <w:t>147</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12" w:history="1">
        <w:r w:rsidR="003E29CF" w:rsidRPr="003E29CF">
          <w:rPr>
            <w:rStyle w:val="Hyperlink"/>
            <w:noProof/>
          </w:rPr>
          <w:t>9.4 Summary</w:t>
        </w:r>
        <w:r w:rsidR="003E29CF" w:rsidRPr="003E29CF">
          <w:rPr>
            <w:noProof/>
            <w:webHidden/>
          </w:rPr>
          <w:tab/>
        </w:r>
        <w:r w:rsidRPr="003E29CF">
          <w:rPr>
            <w:noProof/>
            <w:webHidden/>
          </w:rPr>
          <w:fldChar w:fldCharType="begin"/>
        </w:r>
        <w:r w:rsidR="003E29CF" w:rsidRPr="003E29CF">
          <w:rPr>
            <w:noProof/>
            <w:webHidden/>
          </w:rPr>
          <w:instrText xml:space="preserve"> PAGEREF _Toc271632312 \h </w:instrText>
        </w:r>
        <w:r w:rsidRPr="003E29CF">
          <w:rPr>
            <w:noProof/>
            <w:webHidden/>
          </w:rPr>
        </w:r>
        <w:r w:rsidRPr="003E29CF">
          <w:rPr>
            <w:noProof/>
            <w:webHidden/>
          </w:rPr>
          <w:fldChar w:fldCharType="separate"/>
        </w:r>
        <w:r w:rsidR="00E5699E">
          <w:rPr>
            <w:noProof/>
            <w:webHidden/>
          </w:rPr>
          <w:t>152</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313" w:history="1">
        <w:r w:rsidR="003E29CF" w:rsidRPr="003E29CF">
          <w:rPr>
            <w:rStyle w:val="Hyperlink"/>
            <w:sz w:val="22"/>
          </w:rPr>
          <w:t>Section 10</w:t>
        </w:r>
        <w:r w:rsidR="003E29CF">
          <w:rPr>
            <w:rStyle w:val="Hyperlink"/>
            <w:sz w:val="22"/>
          </w:rPr>
          <w:br/>
        </w:r>
        <w:r w:rsidR="003E29CF" w:rsidRPr="003E29CF">
          <w:rPr>
            <w:rStyle w:val="Hyperlink"/>
            <w:sz w:val="22"/>
          </w:rPr>
          <w:t>System Performance and Production Cost Studies</w:t>
        </w:r>
        <w:r w:rsidR="003E29CF" w:rsidRPr="003E29CF">
          <w:rPr>
            <w:webHidden/>
            <w:sz w:val="22"/>
          </w:rPr>
          <w:tab/>
        </w:r>
        <w:r w:rsidRPr="003E29CF">
          <w:rPr>
            <w:webHidden/>
            <w:sz w:val="22"/>
          </w:rPr>
          <w:fldChar w:fldCharType="begin"/>
        </w:r>
        <w:r w:rsidR="003E29CF" w:rsidRPr="003E29CF">
          <w:rPr>
            <w:webHidden/>
            <w:sz w:val="22"/>
          </w:rPr>
          <w:instrText xml:space="preserve"> PAGEREF _Toc271632313 \h </w:instrText>
        </w:r>
        <w:r w:rsidRPr="003E29CF">
          <w:rPr>
            <w:webHidden/>
            <w:sz w:val="22"/>
          </w:rPr>
        </w:r>
        <w:r w:rsidRPr="003E29CF">
          <w:rPr>
            <w:webHidden/>
            <w:sz w:val="22"/>
          </w:rPr>
          <w:fldChar w:fldCharType="separate"/>
        </w:r>
        <w:r w:rsidR="00E5699E">
          <w:rPr>
            <w:webHidden/>
            <w:sz w:val="22"/>
          </w:rPr>
          <w:t>153</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314" w:history="1">
        <w:r w:rsidR="003E29CF" w:rsidRPr="003E29CF">
          <w:rPr>
            <w:rStyle w:val="Hyperlink"/>
            <w:noProof/>
          </w:rPr>
          <w:t>10.1 2030 Power System Study for New England Governors</w:t>
        </w:r>
        <w:r w:rsidR="003E29CF" w:rsidRPr="003E29CF">
          <w:rPr>
            <w:noProof/>
            <w:webHidden/>
          </w:rPr>
          <w:tab/>
        </w:r>
        <w:r w:rsidRPr="003E29CF">
          <w:rPr>
            <w:noProof/>
            <w:webHidden/>
          </w:rPr>
          <w:fldChar w:fldCharType="begin"/>
        </w:r>
        <w:r w:rsidR="003E29CF" w:rsidRPr="003E29CF">
          <w:rPr>
            <w:noProof/>
            <w:webHidden/>
          </w:rPr>
          <w:instrText xml:space="preserve"> PAGEREF _Toc271632314 \h </w:instrText>
        </w:r>
        <w:r w:rsidRPr="003E29CF">
          <w:rPr>
            <w:noProof/>
            <w:webHidden/>
          </w:rPr>
        </w:r>
        <w:r w:rsidRPr="003E29CF">
          <w:rPr>
            <w:noProof/>
            <w:webHidden/>
          </w:rPr>
          <w:fldChar w:fldCharType="separate"/>
        </w:r>
        <w:r w:rsidR="00E5699E">
          <w:rPr>
            <w:noProof/>
            <w:webHidden/>
          </w:rPr>
          <w:t>153</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15" w:history="1">
        <w:r w:rsidR="003E29CF" w:rsidRPr="003E29CF">
          <w:rPr>
            <w:rStyle w:val="Hyperlink"/>
            <w:noProof/>
          </w:rPr>
          <w:t>10.2 New York ISO/ISO New England Economic Study</w:t>
        </w:r>
        <w:r w:rsidR="003E29CF" w:rsidRPr="003E29CF">
          <w:rPr>
            <w:noProof/>
            <w:webHidden/>
          </w:rPr>
          <w:tab/>
        </w:r>
        <w:r w:rsidRPr="003E29CF">
          <w:rPr>
            <w:noProof/>
            <w:webHidden/>
          </w:rPr>
          <w:fldChar w:fldCharType="begin"/>
        </w:r>
        <w:r w:rsidR="003E29CF" w:rsidRPr="003E29CF">
          <w:rPr>
            <w:noProof/>
            <w:webHidden/>
          </w:rPr>
          <w:instrText xml:space="preserve"> PAGEREF _Toc271632315 \h </w:instrText>
        </w:r>
        <w:r w:rsidRPr="003E29CF">
          <w:rPr>
            <w:noProof/>
            <w:webHidden/>
          </w:rPr>
        </w:r>
        <w:r w:rsidRPr="003E29CF">
          <w:rPr>
            <w:noProof/>
            <w:webHidden/>
          </w:rPr>
          <w:fldChar w:fldCharType="separate"/>
        </w:r>
        <w:r w:rsidR="00E5699E">
          <w:rPr>
            <w:noProof/>
            <w:webHidden/>
          </w:rPr>
          <w:t>155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16" w:history="1">
        <w:r w:rsidR="003E29CF" w:rsidRPr="003E29CF">
          <w:rPr>
            <w:rStyle w:val="Hyperlink"/>
            <w:rFonts w:cs="Times New Roman"/>
            <w:noProof/>
          </w:rPr>
          <w:t>10.2.1</w:t>
        </w:r>
        <w:r w:rsidR="003E29CF" w:rsidRPr="003E29CF">
          <w:rPr>
            <w:rStyle w:val="Hyperlink"/>
            <w:noProof/>
          </w:rPr>
          <w:t xml:space="preserve"> Modeling and Assumptions</w:t>
        </w:r>
        <w:r w:rsidR="003E29CF" w:rsidRPr="003E29CF">
          <w:rPr>
            <w:noProof/>
            <w:webHidden/>
          </w:rPr>
          <w:tab/>
        </w:r>
        <w:r w:rsidRPr="003E29CF">
          <w:rPr>
            <w:noProof/>
            <w:webHidden/>
          </w:rPr>
          <w:fldChar w:fldCharType="begin"/>
        </w:r>
        <w:r w:rsidR="003E29CF" w:rsidRPr="003E29CF">
          <w:rPr>
            <w:noProof/>
            <w:webHidden/>
          </w:rPr>
          <w:instrText xml:space="preserve"> PAGEREF _Toc271632316 \h </w:instrText>
        </w:r>
        <w:r w:rsidRPr="003E29CF">
          <w:rPr>
            <w:noProof/>
            <w:webHidden/>
          </w:rPr>
        </w:r>
        <w:r w:rsidRPr="003E29CF">
          <w:rPr>
            <w:noProof/>
            <w:webHidden/>
          </w:rPr>
          <w:fldChar w:fldCharType="separate"/>
        </w:r>
        <w:r w:rsidR="00E5699E">
          <w:rPr>
            <w:noProof/>
            <w:webHidden/>
          </w:rPr>
          <w:t>157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17" w:history="1">
        <w:r w:rsidR="003E29CF" w:rsidRPr="003E29CF">
          <w:rPr>
            <w:rStyle w:val="Hyperlink"/>
            <w:rFonts w:cs="Times New Roman"/>
            <w:noProof/>
          </w:rPr>
          <w:t>10.2.2</w:t>
        </w:r>
        <w:r w:rsidR="003E29CF" w:rsidRPr="003E29CF">
          <w:rPr>
            <w:rStyle w:val="Hyperlink"/>
            <w:noProof/>
          </w:rPr>
          <w:t xml:space="preserve"> Simulation Metrics</w:t>
        </w:r>
        <w:r w:rsidR="003E29CF" w:rsidRPr="003E29CF">
          <w:rPr>
            <w:noProof/>
            <w:webHidden/>
          </w:rPr>
          <w:tab/>
        </w:r>
        <w:r w:rsidRPr="003E29CF">
          <w:rPr>
            <w:noProof/>
            <w:webHidden/>
          </w:rPr>
          <w:fldChar w:fldCharType="begin"/>
        </w:r>
        <w:r w:rsidR="003E29CF" w:rsidRPr="003E29CF">
          <w:rPr>
            <w:noProof/>
            <w:webHidden/>
          </w:rPr>
          <w:instrText xml:space="preserve"> PAGEREF _Toc271632317 \h </w:instrText>
        </w:r>
        <w:r w:rsidRPr="003E29CF">
          <w:rPr>
            <w:noProof/>
            <w:webHidden/>
          </w:rPr>
        </w:r>
        <w:r w:rsidRPr="003E29CF">
          <w:rPr>
            <w:noProof/>
            <w:webHidden/>
          </w:rPr>
          <w:fldChar w:fldCharType="separate"/>
        </w:r>
        <w:r w:rsidR="00E5699E">
          <w:rPr>
            <w:noProof/>
            <w:webHidden/>
          </w:rPr>
          <w:t>161</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18" w:history="1">
        <w:r w:rsidR="003E29CF" w:rsidRPr="003E29CF">
          <w:rPr>
            <w:rStyle w:val="Hyperlink"/>
            <w:noProof/>
          </w:rPr>
          <w:t>10.3 Economic Study Requests, 2010</w:t>
        </w:r>
        <w:r w:rsidR="003E29CF" w:rsidRPr="003E29CF">
          <w:rPr>
            <w:noProof/>
            <w:webHidden/>
          </w:rPr>
          <w:tab/>
        </w:r>
        <w:r w:rsidRPr="003E29CF">
          <w:rPr>
            <w:noProof/>
            <w:webHidden/>
          </w:rPr>
          <w:fldChar w:fldCharType="begin"/>
        </w:r>
        <w:r w:rsidR="003E29CF" w:rsidRPr="003E29CF">
          <w:rPr>
            <w:noProof/>
            <w:webHidden/>
          </w:rPr>
          <w:instrText xml:space="preserve"> PAGEREF _Toc271632318 \h </w:instrText>
        </w:r>
        <w:r w:rsidRPr="003E29CF">
          <w:rPr>
            <w:noProof/>
            <w:webHidden/>
          </w:rPr>
        </w:r>
        <w:r w:rsidRPr="003E29CF">
          <w:rPr>
            <w:noProof/>
            <w:webHidden/>
          </w:rPr>
          <w:fldChar w:fldCharType="separate"/>
        </w:r>
        <w:r w:rsidR="00E5699E">
          <w:rPr>
            <w:noProof/>
            <w:webHidden/>
          </w:rPr>
          <w:t>162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19" w:history="1">
        <w:r w:rsidR="003E29CF" w:rsidRPr="003E29CF">
          <w:rPr>
            <w:rStyle w:val="Hyperlink"/>
            <w:noProof/>
          </w:rPr>
          <w:t>10.4 Generic Capital Costs of New Resources</w:t>
        </w:r>
        <w:r w:rsidR="003E29CF" w:rsidRPr="003E29CF">
          <w:rPr>
            <w:noProof/>
            <w:webHidden/>
          </w:rPr>
          <w:tab/>
        </w:r>
        <w:r w:rsidRPr="003E29CF">
          <w:rPr>
            <w:noProof/>
            <w:webHidden/>
          </w:rPr>
          <w:fldChar w:fldCharType="begin"/>
        </w:r>
        <w:r w:rsidR="003E29CF" w:rsidRPr="003E29CF">
          <w:rPr>
            <w:noProof/>
            <w:webHidden/>
          </w:rPr>
          <w:instrText xml:space="preserve"> PAGEREF _Toc271632319 \h </w:instrText>
        </w:r>
        <w:r w:rsidRPr="003E29CF">
          <w:rPr>
            <w:noProof/>
            <w:webHidden/>
          </w:rPr>
        </w:r>
        <w:r w:rsidRPr="003E29CF">
          <w:rPr>
            <w:noProof/>
            <w:webHidden/>
          </w:rPr>
          <w:fldChar w:fldCharType="separate"/>
        </w:r>
        <w:r w:rsidR="00E5699E">
          <w:rPr>
            <w:noProof/>
            <w:webHidden/>
          </w:rPr>
          <w:t>162</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20" w:history="1">
        <w:r w:rsidR="003E29CF" w:rsidRPr="003E29CF">
          <w:rPr>
            <w:rStyle w:val="Hyperlink"/>
            <w:noProof/>
          </w:rPr>
          <w:t>10.5 Observations</w:t>
        </w:r>
        <w:r w:rsidR="003E29CF" w:rsidRPr="003E29CF">
          <w:rPr>
            <w:noProof/>
            <w:webHidden/>
          </w:rPr>
          <w:tab/>
        </w:r>
        <w:r w:rsidRPr="003E29CF">
          <w:rPr>
            <w:noProof/>
            <w:webHidden/>
          </w:rPr>
          <w:fldChar w:fldCharType="begin"/>
        </w:r>
        <w:r w:rsidR="003E29CF" w:rsidRPr="003E29CF">
          <w:rPr>
            <w:noProof/>
            <w:webHidden/>
          </w:rPr>
          <w:instrText xml:space="preserve"> PAGEREF _Toc271632320 \h </w:instrText>
        </w:r>
        <w:r w:rsidRPr="003E29CF">
          <w:rPr>
            <w:noProof/>
            <w:webHidden/>
          </w:rPr>
        </w:r>
        <w:r w:rsidRPr="003E29CF">
          <w:rPr>
            <w:noProof/>
            <w:webHidden/>
          </w:rPr>
          <w:fldChar w:fldCharType="separate"/>
        </w:r>
        <w:r w:rsidR="00E5699E">
          <w:rPr>
            <w:noProof/>
            <w:webHidden/>
          </w:rPr>
          <w:t>164</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321" w:history="1">
        <w:r w:rsidR="003E29CF" w:rsidRPr="003E29CF">
          <w:rPr>
            <w:rStyle w:val="Hyperlink"/>
            <w:sz w:val="22"/>
          </w:rPr>
          <w:t>Section 11</w:t>
        </w:r>
        <w:r w:rsidR="003E29CF">
          <w:rPr>
            <w:rStyle w:val="Hyperlink"/>
            <w:sz w:val="22"/>
          </w:rPr>
          <w:br/>
        </w:r>
        <w:r w:rsidR="003E29CF" w:rsidRPr="003E29CF">
          <w:rPr>
            <w:rStyle w:val="Hyperlink"/>
            <w:sz w:val="22"/>
          </w:rPr>
          <w:t>Interregional Planning and Studies</w:t>
        </w:r>
        <w:r w:rsidR="003E29CF" w:rsidRPr="003E29CF">
          <w:rPr>
            <w:webHidden/>
            <w:sz w:val="22"/>
          </w:rPr>
          <w:tab/>
        </w:r>
        <w:r w:rsidRPr="003E29CF">
          <w:rPr>
            <w:webHidden/>
            <w:sz w:val="22"/>
          </w:rPr>
          <w:fldChar w:fldCharType="begin"/>
        </w:r>
        <w:r w:rsidR="003E29CF" w:rsidRPr="003E29CF">
          <w:rPr>
            <w:webHidden/>
            <w:sz w:val="22"/>
          </w:rPr>
          <w:instrText xml:space="preserve"> PAGEREF _Toc271632321 \h </w:instrText>
        </w:r>
        <w:r w:rsidRPr="003E29CF">
          <w:rPr>
            <w:webHidden/>
            <w:sz w:val="22"/>
          </w:rPr>
        </w:r>
        <w:r w:rsidRPr="003E29CF">
          <w:rPr>
            <w:webHidden/>
            <w:sz w:val="22"/>
          </w:rPr>
          <w:fldChar w:fldCharType="separate"/>
        </w:r>
        <w:r w:rsidR="00E5699E">
          <w:rPr>
            <w:webHidden/>
            <w:sz w:val="22"/>
          </w:rPr>
          <w:t>165</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322" w:history="1">
        <w:r w:rsidR="003E29CF" w:rsidRPr="003E29CF">
          <w:rPr>
            <w:rStyle w:val="Hyperlink"/>
            <w:noProof/>
          </w:rPr>
          <w:t>11.1 Studies of the Eastern Interconnection</w:t>
        </w:r>
        <w:r w:rsidR="003E29CF" w:rsidRPr="003E29CF">
          <w:rPr>
            <w:noProof/>
            <w:webHidden/>
          </w:rPr>
          <w:tab/>
        </w:r>
        <w:r w:rsidRPr="003E29CF">
          <w:rPr>
            <w:noProof/>
            <w:webHidden/>
          </w:rPr>
          <w:fldChar w:fldCharType="begin"/>
        </w:r>
        <w:r w:rsidR="003E29CF" w:rsidRPr="003E29CF">
          <w:rPr>
            <w:noProof/>
            <w:webHidden/>
          </w:rPr>
          <w:instrText xml:space="preserve"> PAGEREF _Toc271632322 \h </w:instrText>
        </w:r>
        <w:r w:rsidRPr="003E29CF">
          <w:rPr>
            <w:noProof/>
            <w:webHidden/>
          </w:rPr>
        </w:r>
        <w:r w:rsidRPr="003E29CF">
          <w:rPr>
            <w:noProof/>
            <w:webHidden/>
          </w:rPr>
          <w:fldChar w:fldCharType="separate"/>
        </w:r>
        <w:r w:rsidR="00E5699E">
          <w:rPr>
            <w:noProof/>
            <w:webHidden/>
          </w:rPr>
          <w:t>165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3" w:history="1">
        <w:r w:rsidR="003E29CF" w:rsidRPr="003E29CF">
          <w:rPr>
            <w:rStyle w:val="Hyperlink"/>
            <w:rFonts w:cs="Times New Roman"/>
            <w:noProof/>
          </w:rPr>
          <w:t>11.1.1</w:t>
        </w:r>
        <w:r w:rsidR="003E29CF" w:rsidRPr="003E29CF">
          <w:rPr>
            <w:rStyle w:val="Hyperlink"/>
            <w:noProof/>
          </w:rPr>
          <w:t xml:space="preserve"> U.S. DOE Study of National Interest Electric Transmission Corridors</w:t>
        </w:r>
        <w:r w:rsidR="003E29CF" w:rsidRPr="003E29CF">
          <w:rPr>
            <w:noProof/>
            <w:webHidden/>
          </w:rPr>
          <w:tab/>
        </w:r>
        <w:r w:rsidRPr="003E29CF">
          <w:rPr>
            <w:noProof/>
            <w:webHidden/>
          </w:rPr>
          <w:fldChar w:fldCharType="begin"/>
        </w:r>
        <w:r w:rsidR="003E29CF" w:rsidRPr="003E29CF">
          <w:rPr>
            <w:noProof/>
            <w:webHidden/>
          </w:rPr>
          <w:instrText xml:space="preserve"> PAGEREF _Toc271632323 \h </w:instrText>
        </w:r>
        <w:r w:rsidRPr="003E29CF">
          <w:rPr>
            <w:noProof/>
            <w:webHidden/>
          </w:rPr>
        </w:r>
        <w:r w:rsidRPr="003E29CF">
          <w:rPr>
            <w:noProof/>
            <w:webHidden/>
          </w:rPr>
          <w:fldChar w:fldCharType="separate"/>
        </w:r>
        <w:r w:rsidR="00E5699E">
          <w:rPr>
            <w:noProof/>
            <w:webHidden/>
          </w:rPr>
          <w:t>165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4" w:history="1">
        <w:r w:rsidR="003E29CF" w:rsidRPr="003E29CF">
          <w:rPr>
            <w:rStyle w:val="Hyperlink"/>
            <w:rFonts w:cs="Times New Roman"/>
            <w:noProof/>
          </w:rPr>
          <w:t>11.1.2</w:t>
        </w:r>
        <w:r w:rsidR="003E29CF" w:rsidRPr="003E29CF">
          <w:rPr>
            <w:rStyle w:val="Hyperlink"/>
            <w:noProof/>
          </w:rPr>
          <w:t xml:space="preserve"> Eastern Interconnection Planning Collaborative</w:t>
        </w:r>
        <w:r w:rsidR="003E29CF" w:rsidRPr="003E29CF">
          <w:rPr>
            <w:noProof/>
            <w:webHidden/>
          </w:rPr>
          <w:tab/>
        </w:r>
        <w:r w:rsidRPr="003E29CF">
          <w:rPr>
            <w:noProof/>
            <w:webHidden/>
          </w:rPr>
          <w:fldChar w:fldCharType="begin"/>
        </w:r>
        <w:r w:rsidR="003E29CF" w:rsidRPr="003E29CF">
          <w:rPr>
            <w:noProof/>
            <w:webHidden/>
          </w:rPr>
          <w:instrText xml:space="preserve"> PAGEREF _Toc271632324 \h </w:instrText>
        </w:r>
        <w:r w:rsidRPr="003E29CF">
          <w:rPr>
            <w:noProof/>
            <w:webHidden/>
          </w:rPr>
        </w:r>
        <w:r w:rsidRPr="003E29CF">
          <w:rPr>
            <w:noProof/>
            <w:webHidden/>
          </w:rPr>
          <w:fldChar w:fldCharType="separate"/>
        </w:r>
        <w:r w:rsidR="00E5699E">
          <w:rPr>
            <w:noProof/>
            <w:webHidden/>
          </w:rPr>
          <w:t>166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5" w:history="1">
        <w:r w:rsidR="003E29CF" w:rsidRPr="003E29CF">
          <w:rPr>
            <w:rStyle w:val="Hyperlink"/>
            <w:rFonts w:cs="Times New Roman"/>
            <w:noProof/>
          </w:rPr>
          <w:t>11.1.3</w:t>
        </w:r>
        <w:r w:rsidR="003E29CF" w:rsidRPr="003E29CF">
          <w:rPr>
            <w:rStyle w:val="Hyperlink"/>
            <w:noProof/>
          </w:rPr>
          <w:t xml:space="preserve"> Electric Reliability Organization Overview</w:t>
        </w:r>
        <w:r w:rsidR="003E29CF" w:rsidRPr="003E29CF">
          <w:rPr>
            <w:noProof/>
            <w:webHidden/>
          </w:rPr>
          <w:tab/>
        </w:r>
        <w:r w:rsidRPr="003E29CF">
          <w:rPr>
            <w:noProof/>
            <w:webHidden/>
          </w:rPr>
          <w:fldChar w:fldCharType="begin"/>
        </w:r>
        <w:r w:rsidR="003E29CF" w:rsidRPr="003E29CF">
          <w:rPr>
            <w:noProof/>
            <w:webHidden/>
          </w:rPr>
          <w:instrText xml:space="preserve"> PAGEREF _Toc271632325 \h </w:instrText>
        </w:r>
        <w:r w:rsidRPr="003E29CF">
          <w:rPr>
            <w:noProof/>
            <w:webHidden/>
          </w:rPr>
        </w:r>
        <w:r w:rsidRPr="003E29CF">
          <w:rPr>
            <w:noProof/>
            <w:webHidden/>
          </w:rPr>
          <w:fldChar w:fldCharType="separate"/>
        </w:r>
        <w:r w:rsidR="00E5699E">
          <w:rPr>
            <w:noProof/>
            <w:webHidden/>
          </w:rPr>
          <w:t>167</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26" w:history="1">
        <w:r w:rsidR="003E29CF" w:rsidRPr="003E29CF">
          <w:rPr>
            <w:rStyle w:val="Hyperlink"/>
            <w:noProof/>
          </w:rPr>
          <w:t>11.2 Interregional Coordination</w:t>
        </w:r>
        <w:r w:rsidR="003E29CF" w:rsidRPr="003E29CF">
          <w:rPr>
            <w:noProof/>
            <w:webHidden/>
          </w:rPr>
          <w:tab/>
        </w:r>
        <w:r w:rsidRPr="003E29CF">
          <w:rPr>
            <w:noProof/>
            <w:webHidden/>
          </w:rPr>
          <w:fldChar w:fldCharType="begin"/>
        </w:r>
        <w:r w:rsidR="003E29CF" w:rsidRPr="003E29CF">
          <w:rPr>
            <w:noProof/>
            <w:webHidden/>
          </w:rPr>
          <w:instrText xml:space="preserve"> PAGEREF _Toc271632326 \h </w:instrText>
        </w:r>
        <w:r w:rsidRPr="003E29CF">
          <w:rPr>
            <w:noProof/>
            <w:webHidden/>
          </w:rPr>
        </w:r>
        <w:r w:rsidRPr="003E29CF">
          <w:rPr>
            <w:noProof/>
            <w:webHidden/>
          </w:rPr>
          <w:fldChar w:fldCharType="separate"/>
        </w:r>
        <w:r w:rsidR="00E5699E">
          <w:rPr>
            <w:noProof/>
            <w:webHidden/>
          </w:rPr>
          <w:t>167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7" w:history="1">
        <w:r w:rsidR="003E29CF" w:rsidRPr="003E29CF">
          <w:rPr>
            <w:rStyle w:val="Hyperlink"/>
            <w:rFonts w:cs="Times New Roman"/>
            <w:noProof/>
          </w:rPr>
          <w:t>11.2.1</w:t>
        </w:r>
        <w:r w:rsidR="003E29CF" w:rsidRPr="003E29CF">
          <w:rPr>
            <w:rStyle w:val="Hyperlink"/>
            <w:noProof/>
          </w:rPr>
          <w:t xml:space="preserve"> IRC Activities</w:t>
        </w:r>
        <w:r w:rsidR="003E29CF" w:rsidRPr="003E29CF">
          <w:rPr>
            <w:noProof/>
            <w:webHidden/>
          </w:rPr>
          <w:tab/>
        </w:r>
        <w:r w:rsidRPr="003E29CF">
          <w:rPr>
            <w:noProof/>
            <w:webHidden/>
          </w:rPr>
          <w:fldChar w:fldCharType="begin"/>
        </w:r>
        <w:r w:rsidR="003E29CF" w:rsidRPr="003E29CF">
          <w:rPr>
            <w:noProof/>
            <w:webHidden/>
          </w:rPr>
          <w:instrText xml:space="preserve"> PAGEREF _Toc271632327 \h </w:instrText>
        </w:r>
        <w:r w:rsidRPr="003E29CF">
          <w:rPr>
            <w:noProof/>
            <w:webHidden/>
          </w:rPr>
        </w:r>
        <w:r w:rsidRPr="003E29CF">
          <w:rPr>
            <w:noProof/>
            <w:webHidden/>
          </w:rPr>
          <w:fldChar w:fldCharType="separate"/>
        </w:r>
        <w:r w:rsidR="00E5699E">
          <w:rPr>
            <w:noProof/>
            <w:webHidden/>
          </w:rPr>
          <w:t>167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8" w:history="1">
        <w:r w:rsidR="003E29CF" w:rsidRPr="003E29CF">
          <w:rPr>
            <w:rStyle w:val="Hyperlink"/>
            <w:rFonts w:cs="Times New Roman"/>
            <w:noProof/>
          </w:rPr>
          <w:t>11.2.2</w:t>
        </w:r>
        <w:r w:rsidR="003E29CF" w:rsidRPr="003E29CF">
          <w:rPr>
            <w:rStyle w:val="Hyperlink"/>
            <w:noProof/>
          </w:rPr>
          <w:t xml:space="preserve"> Northeast Power Coordinating Council</w:t>
        </w:r>
        <w:r w:rsidR="003E29CF" w:rsidRPr="003E29CF">
          <w:rPr>
            <w:noProof/>
            <w:webHidden/>
          </w:rPr>
          <w:tab/>
        </w:r>
        <w:r w:rsidRPr="003E29CF">
          <w:rPr>
            <w:noProof/>
            <w:webHidden/>
          </w:rPr>
          <w:fldChar w:fldCharType="begin"/>
        </w:r>
        <w:r w:rsidR="003E29CF" w:rsidRPr="003E29CF">
          <w:rPr>
            <w:noProof/>
            <w:webHidden/>
          </w:rPr>
          <w:instrText xml:space="preserve"> PAGEREF _Toc271632328 \h </w:instrText>
        </w:r>
        <w:r w:rsidRPr="003E29CF">
          <w:rPr>
            <w:noProof/>
            <w:webHidden/>
          </w:rPr>
        </w:r>
        <w:r w:rsidRPr="003E29CF">
          <w:rPr>
            <w:noProof/>
            <w:webHidden/>
          </w:rPr>
          <w:fldChar w:fldCharType="separate"/>
        </w:r>
        <w:r w:rsidR="00E5699E">
          <w:rPr>
            <w:noProof/>
            <w:webHidden/>
          </w:rPr>
          <w:t>168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29" w:history="1">
        <w:r w:rsidR="003E29CF" w:rsidRPr="003E29CF">
          <w:rPr>
            <w:rStyle w:val="Hyperlink"/>
            <w:rFonts w:cs="Times New Roman"/>
            <w:noProof/>
          </w:rPr>
          <w:t>11.2.3</w:t>
        </w:r>
        <w:r w:rsidR="003E29CF" w:rsidRPr="003E29CF">
          <w:rPr>
            <w:rStyle w:val="Hyperlink"/>
            <w:noProof/>
          </w:rPr>
          <w:t xml:space="preserve"> Northeastern ISO/RTO Planning Coordination Protocol</w:t>
        </w:r>
        <w:r w:rsidR="003E29CF" w:rsidRPr="003E29CF">
          <w:rPr>
            <w:noProof/>
            <w:webHidden/>
          </w:rPr>
          <w:tab/>
        </w:r>
        <w:r w:rsidRPr="003E29CF">
          <w:rPr>
            <w:noProof/>
            <w:webHidden/>
          </w:rPr>
          <w:fldChar w:fldCharType="begin"/>
        </w:r>
        <w:r w:rsidR="003E29CF" w:rsidRPr="003E29CF">
          <w:rPr>
            <w:noProof/>
            <w:webHidden/>
          </w:rPr>
          <w:instrText xml:space="preserve"> PAGEREF _Toc271632329 \h </w:instrText>
        </w:r>
        <w:r w:rsidRPr="003E29CF">
          <w:rPr>
            <w:noProof/>
            <w:webHidden/>
          </w:rPr>
        </w:r>
        <w:r w:rsidRPr="003E29CF">
          <w:rPr>
            <w:noProof/>
            <w:webHidden/>
          </w:rPr>
          <w:fldChar w:fldCharType="separate"/>
        </w:r>
        <w:r w:rsidR="00E5699E">
          <w:rPr>
            <w:noProof/>
            <w:webHidden/>
          </w:rPr>
          <w:t>169</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30" w:history="1">
        <w:r w:rsidR="003E29CF" w:rsidRPr="003E29CF">
          <w:rPr>
            <w:rStyle w:val="Hyperlink"/>
            <w:noProof/>
          </w:rPr>
          <w:t>11.3 Summary of Interregional Planning</w:t>
        </w:r>
        <w:r w:rsidR="003E29CF" w:rsidRPr="003E29CF">
          <w:rPr>
            <w:noProof/>
            <w:webHidden/>
          </w:rPr>
          <w:tab/>
        </w:r>
        <w:r w:rsidRPr="003E29CF">
          <w:rPr>
            <w:noProof/>
            <w:webHidden/>
          </w:rPr>
          <w:fldChar w:fldCharType="begin"/>
        </w:r>
        <w:r w:rsidR="003E29CF" w:rsidRPr="003E29CF">
          <w:rPr>
            <w:noProof/>
            <w:webHidden/>
          </w:rPr>
          <w:instrText xml:space="preserve"> PAGEREF _Toc271632330 \h </w:instrText>
        </w:r>
        <w:r w:rsidRPr="003E29CF">
          <w:rPr>
            <w:noProof/>
            <w:webHidden/>
          </w:rPr>
        </w:r>
        <w:r w:rsidRPr="003E29CF">
          <w:rPr>
            <w:noProof/>
            <w:webHidden/>
          </w:rPr>
          <w:fldChar w:fldCharType="separate"/>
        </w:r>
        <w:r w:rsidR="00E5699E">
          <w:rPr>
            <w:noProof/>
            <w:webHidden/>
          </w:rPr>
          <w:t>170</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331" w:history="1">
        <w:r w:rsidR="003E29CF" w:rsidRPr="003E29CF">
          <w:rPr>
            <w:rStyle w:val="Hyperlink"/>
            <w:sz w:val="22"/>
          </w:rPr>
          <w:t>Section 12</w:t>
        </w:r>
        <w:r w:rsidR="003E29CF">
          <w:rPr>
            <w:rStyle w:val="Hyperlink"/>
            <w:sz w:val="22"/>
          </w:rPr>
          <w:br/>
        </w:r>
        <w:r w:rsidR="003E29CF" w:rsidRPr="003E29CF">
          <w:rPr>
            <w:rStyle w:val="Hyperlink"/>
            <w:sz w:val="22"/>
          </w:rPr>
          <w:t>State, Regional and Federal Initiatives</w:t>
        </w:r>
        <w:r w:rsidR="003E29CF" w:rsidRPr="003E29CF">
          <w:rPr>
            <w:webHidden/>
            <w:sz w:val="22"/>
          </w:rPr>
          <w:tab/>
        </w:r>
        <w:r w:rsidRPr="003E29CF">
          <w:rPr>
            <w:webHidden/>
            <w:sz w:val="22"/>
          </w:rPr>
          <w:fldChar w:fldCharType="begin"/>
        </w:r>
        <w:r w:rsidR="003E29CF" w:rsidRPr="003E29CF">
          <w:rPr>
            <w:webHidden/>
            <w:sz w:val="22"/>
          </w:rPr>
          <w:instrText xml:space="preserve"> PAGEREF _Toc271632331 \h </w:instrText>
        </w:r>
        <w:r w:rsidRPr="003E29CF">
          <w:rPr>
            <w:webHidden/>
            <w:sz w:val="22"/>
          </w:rPr>
        </w:r>
        <w:r w:rsidRPr="003E29CF">
          <w:rPr>
            <w:webHidden/>
            <w:sz w:val="22"/>
          </w:rPr>
          <w:fldChar w:fldCharType="separate"/>
        </w:r>
        <w:r w:rsidR="00E5699E">
          <w:rPr>
            <w:webHidden/>
            <w:sz w:val="22"/>
          </w:rPr>
          <w:t>171</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332" w:history="1">
        <w:r w:rsidR="003E29CF" w:rsidRPr="003E29CF">
          <w:rPr>
            <w:rStyle w:val="Hyperlink"/>
            <w:noProof/>
          </w:rPr>
          <w:t>12.1 State Initiatives, Activities, and Policies</w:t>
        </w:r>
        <w:r w:rsidR="003E29CF" w:rsidRPr="003E29CF">
          <w:rPr>
            <w:noProof/>
            <w:webHidden/>
          </w:rPr>
          <w:tab/>
        </w:r>
        <w:r w:rsidRPr="003E29CF">
          <w:rPr>
            <w:noProof/>
            <w:webHidden/>
          </w:rPr>
          <w:fldChar w:fldCharType="begin"/>
        </w:r>
        <w:r w:rsidR="003E29CF" w:rsidRPr="003E29CF">
          <w:rPr>
            <w:noProof/>
            <w:webHidden/>
          </w:rPr>
          <w:instrText xml:space="preserve"> PAGEREF _Toc271632332 \h </w:instrText>
        </w:r>
        <w:r w:rsidRPr="003E29CF">
          <w:rPr>
            <w:noProof/>
            <w:webHidden/>
          </w:rPr>
        </w:r>
        <w:r w:rsidRPr="003E29CF">
          <w:rPr>
            <w:noProof/>
            <w:webHidden/>
          </w:rPr>
          <w:fldChar w:fldCharType="separate"/>
        </w:r>
        <w:r w:rsidR="00E5699E">
          <w:rPr>
            <w:noProof/>
            <w:webHidden/>
          </w:rPr>
          <w:t>171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3" w:history="1">
        <w:r w:rsidR="003E29CF" w:rsidRPr="003E29CF">
          <w:rPr>
            <w:rStyle w:val="Hyperlink"/>
            <w:rFonts w:cs="Times New Roman"/>
            <w:noProof/>
          </w:rPr>
          <w:t>12.1.1</w:t>
        </w:r>
        <w:r w:rsidR="003E29CF" w:rsidRPr="003E29CF">
          <w:rPr>
            <w:rStyle w:val="Hyperlink"/>
            <w:noProof/>
          </w:rPr>
          <w:t xml:space="preserve"> Connecticut</w:t>
        </w:r>
        <w:r w:rsidR="003E29CF" w:rsidRPr="003E29CF">
          <w:rPr>
            <w:noProof/>
            <w:webHidden/>
          </w:rPr>
          <w:tab/>
        </w:r>
        <w:r w:rsidRPr="003E29CF">
          <w:rPr>
            <w:noProof/>
            <w:webHidden/>
          </w:rPr>
          <w:fldChar w:fldCharType="begin"/>
        </w:r>
        <w:r w:rsidR="003E29CF" w:rsidRPr="003E29CF">
          <w:rPr>
            <w:noProof/>
            <w:webHidden/>
          </w:rPr>
          <w:instrText xml:space="preserve"> PAGEREF _Toc271632333 \h </w:instrText>
        </w:r>
        <w:r w:rsidRPr="003E29CF">
          <w:rPr>
            <w:noProof/>
            <w:webHidden/>
          </w:rPr>
        </w:r>
        <w:r w:rsidRPr="003E29CF">
          <w:rPr>
            <w:noProof/>
            <w:webHidden/>
          </w:rPr>
          <w:fldChar w:fldCharType="separate"/>
        </w:r>
        <w:r w:rsidR="00E5699E">
          <w:rPr>
            <w:noProof/>
            <w:webHidden/>
          </w:rPr>
          <w:t>171</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4" w:history="1">
        <w:r w:rsidR="003E29CF" w:rsidRPr="003E29CF">
          <w:rPr>
            <w:rStyle w:val="Hyperlink"/>
            <w:rFonts w:cs="Times New Roman"/>
            <w:noProof/>
          </w:rPr>
          <w:t>12.1.2</w:t>
        </w:r>
        <w:r w:rsidR="003E29CF" w:rsidRPr="003E29CF">
          <w:rPr>
            <w:rStyle w:val="Hyperlink"/>
            <w:noProof/>
          </w:rPr>
          <w:t xml:space="preserve"> Maine</w:t>
        </w:r>
        <w:r w:rsidR="003E29CF" w:rsidRPr="003E29CF">
          <w:rPr>
            <w:noProof/>
            <w:webHidden/>
          </w:rPr>
          <w:tab/>
        </w:r>
        <w:r w:rsidRPr="003E29CF">
          <w:rPr>
            <w:noProof/>
            <w:webHidden/>
          </w:rPr>
          <w:fldChar w:fldCharType="begin"/>
        </w:r>
        <w:r w:rsidR="003E29CF" w:rsidRPr="003E29CF">
          <w:rPr>
            <w:noProof/>
            <w:webHidden/>
          </w:rPr>
          <w:instrText xml:space="preserve"> PAGEREF _Toc271632334 \h </w:instrText>
        </w:r>
        <w:r w:rsidRPr="003E29CF">
          <w:rPr>
            <w:noProof/>
            <w:webHidden/>
          </w:rPr>
        </w:r>
        <w:r w:rsidRPr="003E29CF">
          <w:rPr>
            <w:noProof/>
            <w:webHidden/>
          </w:rPr>
          <w:fldChar w:fldCharType="separate"/>
        </w:r>
        <w:r w:rsidR="00E5699E">
          <w:rPr>
            <w:noProof/>
            <w:webHidden/>
          </w:rPr>
          <w:t>172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5" w:history="1">
        <w:r w:rsidR="003E29CF" w:rsidRPr="003E29CF">
          <w:rPr>
            <w:rStyle w:val="Hyperlink"/>
            <w:rFonts w:cs="Times New Roman"/>
            <w:noProof/>
          </w:rPr>
          <w:t>12.1.3</w:t>
        </w:r>
        <w:r w:rsidR="003E29CF" w:rsidRPr="003E29CF">
          <w:rPr>
            <w:rStyle w:val="Hyperlink"/>
            <w:noProof/>
          </w:rPr>
          <w:t xml:space="preserve"> Massachusetts</w:t>
        </w:r>
        <w:r w:rsidR="003E29CF" w:rsidRPr="003E29CF">
          <w:rPr>
            <w:noProof/>
            <w:webHidden/>
          </w:rPr>
          <w:tab/>
        </w:r>
        <w:r w:rsidRPr="003E29CF">
          <w:rPr>
            <w:noProof/>
            <w:webHidden/>
          </w:rPr>
          <w:fldChar w:fldCharType="begin"/>
        </w:r>
        <w:r w:rsidR="003E29CF" w:rsidRPr="003E29CF">
          <w:rPr>
            <w:noProof/>
            <w:webHidden/>
          </w:rPr>
          <w:instrText xml:space="preserve"> PAGEREF _Toc271632335 \h </w:instrText>
        </w:r>
        <w:r w:rsidRPr="003E29CF">
          <w:rPr>
            <w:noProof/>
            <w:webHidden/>
          </w:rPr>
        </w:r>
        <w:r w:rsidRPr="003E29CF">
          <w:rPr>
            <w:noProof/>
            <w:webHidden/>
          </w:rPr>
          <w:fldChar w:fldCharType="separate"/>
        </w:r>
        <w:r w:rsidR="00E5699E">
          <w:rPr>
            <w:noProof/>
            <w:webHidden/>
          </w:rPr>
          <w:t>172</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6" w:history="1">
        <w:r w:rsidR="003E29CF" w:rsidRPr="003E29CF">
          <w:rPr>
            <w:rStyle w:val="Hyperlink"/>
            <w:rFonts w:cs="Times New Roman"/>
            <w:noProof/>
          </w:rPr>
          <w:t>12.1.4</w:t>
        </w:r>
        <w:r w:rsidR="003E29CF" w:rsidRPr="003E29CF">
          <w:rPr>
            <w:rStyle w:val="Hyperlink"/>
            <w:noProof/>
          </w:rPr>
          <w:t xml:space="preserve"> New Hampshire</w:t>
        </w:r>
        <w:r w:rsidR="003E29CF" w:rsidRPr="003E29CF">
          <w:rPr>
            <w:noProof/>
            <w:webHidden/>
          </w:rPr>
          <w:tab/>
        </w:r>
        <w:r w:rsidRPr="003E29CF">
          <w:rPr>
            <w:noProof/>
            <w:webHidden/>
          </w:rPr>
          <w:fldChar w:fldCharType="begin"/>
        </w:r>
        <w:r w:rsidR="003E29CF" w:rsidRPr="003E29CF">
          <w:rPr>
            <w:noProof/>
            <w:webHidden/>
          </w:rPr>
          <w:instrText xml:space="preserve"> PAGEREF _Toc271632336 \h </w:instrText>
        </w:r>
        <w:r w:rsidRPr="003E29CF">
          <w:rPr>
            <w:noProof/>
            <w:webHidden/>
          </w:rPr>
        </w:r>
        <w:r w:rsidRPr="003E29CF">
          <w:rPr>
            <w:noProof/>
            <w:webHidden/>
          </w:rPr>
          <w:fldChar w:fldCharType="separate"/>
        </w:r>
        <w:r w:rsidR="00E5699E">
          <w:rPr>
            <w:noProof/>
            <w:webHidden/>
          </w:rPr>
          <w:t>174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7" w:history="1">
        <w:r w:rsidR="003E29CF" w:rsidRPr="003E29CF">
          <w:rPr>
            <w:rStyle w:val="Hyperlink"/>
            <w:rFonts w:cs="Times New Roman"/>
            <w:noProof/>
          </w:rPr>
          <w:t>12.1.5</w:t>
        </w:r>
        <w:r w:rsidR="003E29CF" w:rsidRPr="003E29CF">
          <w:rPr>
            <w:rStyle w:val="Hyperlink"/>
            <w:noProof/>
          </w:rPr>
          <w:t xml:space="preserve"> Rhode Island</w:t>
        </w:r>
        <w:r w:rsidR="003E29CF" w:rsidRPr="003E29CF">
          <w:rPr>
            <w:noProof/>
            <w:webHidden/>
          </w:rPr>
          <w:tab/>
        </w:r>
        <w:r w:rsidRPr="003E29CF">
          <w:rPr>
            <w:noProof/>
            <w:webHidden/>
          </w:rPr>
          <w:fldChar w:fldCharType="begin"/>
        </w:r>
        <w:r w:rsidR="003E29CF" w:rsidRPr="003E29CF">
          <w:rPr>
            <w:noProof/>
            <w:webHidden/>
          </w:rPr>
          <w:instrText xml:space="preserve"> PAGEREF _Toc271632337 \h </w:instrText>
        </w:r>
        <w:r w:rsidRPr="003E29CF">
          <w:rPr>
            <w:noProof/>
            <w:webHidden/>
          </w:rPr>
        </w:r>
        <w:r w:rsidRPr="003E29CF">
          <w:rPr>
            <w:noProof/>
            <w:webHidden/>
          </w:rPr>
          <w:fldChar w:fldCharType="separate"/>
        </w:r>
        <w:r w:rsidR="00E5699E">
          <w:rPr>
            <w:noProof/>
            <w:webHidden/>
          </w:rPr>
          <w:t>174</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38" w:history="1">
        <w:r w:rsidR="003E29CF" w:rsidRPr="003E29CF">
          <w:rPr>
            <w:rStyle w:val="Hyperlink"/>
            <w:rFonts w:cs="Times New Roman"/>
            <w:noProof/>
          </w:rPr>
          <w:t>12.1.6</w:t>
        </w:r>
        <w:r w:rsidR="003E29CF" w:rsidRPr="003E29CF">
          <w:rPr>
            <w:rStyle w:val="Hyperlink"/>
            <w:noProof/>
          </w:rPr>
          <w:t xml:space="preserve"> Vermont</w:t>
        </w:r>
        <w:r w:rsidR="003E29CF" w:rsidRPr="003E29CF">
          <w:rPr>
            <w:noProof/>
            <w:webHidden/>
          </w:rPr>
          <w:tab/>
        </w:r>
        <w:r w:rsidRPr="003E29CF">
          <w:rPr>
            <w:noProof/>
            <w:webHidden/>
          </w:rPr>
          <w:fldChar w:fldCharType="begin"/>
        </w:r>
        <w:r w:rsidR="003E29CF" w:rsidRPr="003E29CF">
          <w:rPr>
            <w:noProof/>
            <w:webHidden/>
          </w:rPr>
          <w:instrText xml:space="preserve"> PAGEREF _Toc271632338 \h </w:instrText>
        </w:r>
        <w:r w:rsidRPr="003E29CF">
          <w:rPr>
            <w:noProof/>
            <w:webHidden/>
          </w:rPr>
        </w:r>
        <w:r w:rsidRPr="003E29CF">
          <w:rPr>
            <w:noProof/>
            <w:webHidden/>
          </w:rPr>
          <w:fldChar w:fldCharType="separate"/>
        </w:r>
        <w:r w:rsidR="00E5699E">
          <w:rPr>
            <w:noProof/>
            <w:webHidden/>
          </w:rPr>
          <w:t>175</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39" w:history="1">
        <w:r w:rsidR="003E29CF" w:rsidRPr="003E29CF">
          <w:rPr>
            <w:rStyle w:val="Hyperlink"/>
            <w:noProof/>
          </w:rPr>
          <w:t>12.2 Regional Initiatives</w:t>
        </w:r>
        <w:r w:rsidR="003E29CF" w:rsidRPr="003E29CF">
          <w:rPr>
            <w:noProof/>
            <w:webHidden/>
          </w:rPr>
          <w:tab/>
        </w:r>
        <w:r w:rsidRPr="003E29CF">
          <w:rPr>
            <w:noProof/>
            <w:webHidden/>
          </w:rPr>
          <w:fldChar w:fldCharType="begin"/>
        </w:r>
        <w:r w:rsidR="003E29CF" w:rsidRPr="003E29CF">
          <w:rPr>
            <w:noProof/>
            <w:webHidden/>
          </w:rPr>
          <w:instrText xml:space="preserve"> PAGEREF _Toc271632339 \h </w:instrText>
        </w:r>
        <w:r w:rsidRPr="003E29CF">
          <w:rPr>
            <w:noProof/>
            <w:webHidden/>
          </w:rPr>
        </w:r>
        <w:r w:rsidRPr="003E29CF">
          <w:rPr>
            <w:noProof/>
            <w:webHidden/>
          </w:rPr>
          <w:fldChar w:fldCharType="separate"/>
        </w:r>
        <w:r w:rsidR="00E5699E">
          <w:rPr>
            <w:noProof/>
            <w:webHidden/>
          </w:rPr>
          <w:t>175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0" w:history="1">
        <w:r w:rsidR="003E29CF" w:rsidRPr="003E29CF">
          <w:rPr>
            <w:rStyle w:val="Hyperlink"/>
            <w:rFonts w:cs="Times New Roman"/>
            <w:noProof/>
          </w:rPr>
          <w:t>12.2.1</w:t>
        </w:r>
        <w:r w:rsidR="003E29CF" w:rsidRPr="003E29CF">
          <w:rPr>
            <w:rStyle w:val="Hyperlink"/>
            <w:bCs/>
            <w:iCs/>
            <w:noProof/>
          </w:rPr>
          <w:t xml:space="preserve"> Coordination among the New England States</w:t>
        </w:r>
        <w:r w:rsidR="003E29CF" w:rsidRPr="003E29CF">
          <w:rPr>
            <w:noProof/>
            <w:webHidden/>
          </w:rPr>
          <w:tab/>
        </w:r>
        <w:r w:rsidRPr="003E29CF">
          <w:rPr>
            <w:noProof/>
            <w:webHidden/>
          </w:rPr>
          <w:fldChar w:fldCharType="begin"/>
        </w:r>
        <w:r w:rsidR="003E29CF" w:rsidRPr="003E29CF">
          <w:rPr>
            <w:noProof/>
            <w:webHidden/>
          </w:rPr>
          <w:instrText xml:space="preserve"> PAGEREF _Toc271632340 \h </w:instrText>
        </w:r>
        <w:r w:rsidRPr="003E29CF">
          <w:rPr>
            <w:noProof/>
            <w:webHidden/>
          </w:rPr>
        </w:r>
        <w:r w:rsidRPr="003E29CF">
          <w:rPr>
            <w:noProof/>
            <w:webHidden/>
          </w:rPr>
          <w:fldChar w:fldCharType="separate"/>
        </w:r>
        <w:r w:rsidR="00E5699E">
          <w:rPr>
            <w:noProof/>
            <w:webHidden/>
          </w:rPr>
          <w:t>175</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1" w:history="1">
        <w:r w:rsidR="003E29CF" w:rsidRPr="003E29CF">
          <w:rPr>
            <w:rStyle w:val="Hyperlink"/>
            <w:rFonts w:cs="Times New Roman"/>
            <w:noProof/>
          </w:rPr>
          <w:t>12.2.2</w:t>
        </w:r>
        <w:r w:rsidR="003E29CF" w:rsidRPr="003E29CF">
          <w:rPr>
            <w:rStyle w:val="Hyperlink"/>
            <w:noProof/>
          </w:rPr>
          <w:t xml:space="preserve"> Regional Policy Development</w:t>
        </w:r>
        <w:r w:rsidR="003E29CF" w:rsidRPr="003E29CF">
          <w:rPr>
            <w:noProof/>
            <w:webHidden/>
          </w:rPr>
          <w:tab/>
        </w:r>
        <w:r w:rsidRPr="003E29CF">
          <w:rPr>
            <w:noProof/>
            <w:webHidden/>
          </w:rPr>
          <w:fldChar w:fldCharType="begin"/>
        </w:r>
        <w:r w:rsidR="003E29CF" w:rsidRPr="003E29CF">
          <w:rPr>
            <w:noProof/>
            <w:webHidden/>
          </w:rPr>
          <w:instrText xml:space="preserve"> PAGEREF _Toc271632341 \h </w:instrText>
        </w:r>
        <w:r w:rsidRPr="003E29CF">
          <w:rPr>
            <w:noProof/>
            <w:webHidden/>
          </w:rPr>
        </w:r>
        <w:r w:rsidRPr="003E29CF">
          <w:rPr>
            <w:noProof/>
            <w:webHidden/>
          </w:rPr>
          <w:fldChar w:fldCharType="separate"/>
        </w:r>
        <w:r w:rsidR="00E5699E">
          <w:rPr>
            <w:noProof/>
            <w:webHidden/>
          </w:rPr>
          <w:t>176</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2" w:history="1">
        <w:r w:rsidR="003E29CF" w:rsidRPr="003E29CF">
          <w:rPr>
            <w:rStyle w:val="Hyperlink"/>
            <w:rFonts w:cs="Times New Roman"/>
            <w:noProof/>
          </w:rPr>
          <w:t>12.2.3</w:t>
        </w:r>
        <w:r w:rsidR="003E29CF" w:rsidRPr="003E29CF">
          <w:rPr>
            <w:rStyle w:val="Hyperlink"/>
            <w:noProof/>
          </w:rPr>
          <w:t xml:space="preserve"> Forward Capacity Market Updates</w:t>
        </w:r>
        <w:r w:rsidR="003E29CF" w:rsidRPr="003E29CF">
          <w:rPr>
            <w:noProof/>
            <w:webHidden/>
          </w:rPr>
          <w:tab/>
        </w:r>
        <w:r w:rsidRPr="003E29CF">
          <w:rPr>
            <w:noProof/>
            <w:webHidden/>
          </w:rPr>
          <w:fldChar w:fldCharType="begin"/>
        </w:r>
        <w:r w:rsidR="003E29CF" w:rsidRPr="003E29CF">
          <w:rPr>
            <w:noProof/>
            <w:webHidden/>
          </w:rPr>
          <w:instrText xml:space="preserve"> PAGEREF _Toc271632342 \h </w:instrText>
        </w:r>
        <w:r w:rsidRPr="003E29CF">
          <w:rPr>
            <w:noProof/>
            <w:webHidden/>
          </w:rPr>
        </w:r>
        <w:r w:rsidRPr="003E29CF">
          <w:rPr>
            <w:noProof/>
            <w:webHidden/>
          </w:rPr>
          <w:fldChar w:fldCharType="separate"/>
        </w:r>
        <w:r w:rsidR="00E5699E">
          <w:rPr>
            <w:noProof/>
            <w:webHidden/>
          </w:rPr>
          <w:t>177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3" w:history="1">
        <w:r w:rsidR="003E29CF" w:rsidRPr="003E29CF">
          <w:rPr>
            <w:rStyle w:val="Hyperlink"/>
            <w:rFonts w:cs="Times New Roman"/>
            <w:noProof/>
          </w:rPr>
          <w:t>12.2.4</w:t>
        </w:r>
        <w:r w:rsidR="003E29CF" w:rsidRPr="003E29CF">
          <w:rPr>
            <w:rStyle w:val="Hyperlink"/>
            <w:noProof/>
          </w:rPr>
          <w:t xml:space="preserve"> Price-Responsive Demand</w:t>
        </w:r>
        <w:r w:rsidR="003E29CF" w:rsidRPr="003E29CF">
          <w:rPr>
            <w:noProof/>
            <w:webHidden/>
          </w:rPr>
          <w:tab/>
        </w:r>
        <w:r w:rsidRPr="003E29CF">
          <w:rPr>
            <w:noProof/>
            <w:webHidden/>
          </w:rPr>
          <w:fldChar w:fldCharType="begin"/>
        </w:r>
        <w:r w:rsidR="003E29CF" w:rsidRPr="003E29CF">
          <w:rPr>
            <w:noProof/>
            <w:webHidden/>
          </w:rPr>
          <w:instrText xml:space="preserve"> PAGEREF _Toc271632343 \h </w:instrText>
        </w:r>
        <w:r w:rsidRPr="003E29CF">
          <w:rPr>
            <w:noProof/>
            <w:webHidden/>
          </w:rPr>
        </w:r>
        <w:r w:rsidRPr="003E29CF">
          <w:rPr>
            <w:noProof/>
            <w:webHidden/>
          </w:rPr>
          <w:fldChar w:fldCharType="separate"/>
        </w:r>
        <w:r w:rsidR="00E5699E">
          <w:rPr>
            <w:noProof/>
            <w:webHidden/>
          </w:rPr>
          <w:t>177</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4" w:history="1">
        <w:r w:rsidR="003E29CF" w:rsidRPr="003E29CF">
          <w:rPr>
            <w:rStyle w:val="Hyperlink"/>
            <w:rFonts w:cs="Times New Roman"/>
            <w:noProof/>
          </w:rPr>
          <w:t>12.2.5</w:t>
        </w:r>
        <w:r w:rsidR="003E29CF" w:rsidRPr="003E29CF">
          <w:rPr>
            <w:rStyle w:val="Hyperlink"/>
            <w:noProof/>
          </w:rPr>
          <w:t xml:space="preserve"> Consumer Liaison Group</w:t>
        </w:r>
        <w:r w:rsidR="003E29CF" w:rsidRPr="003E29CF">
          <w:rPr>
            <w:noProof/>
            <w:webHidden/>
          </w:rPr>
          <w:tab/>
        </w:r>
        <w:r w:rsidRPr="003E29CF">
          <w:rPr>
            <w:noProof/>
            <w:webHidden/>
          </w:rPr>
          <w:fldChar w:fldCharType="begin"/>
        </w:r>
        <w:r w:rsidR="003E29CF" w:rsidRPr="003E29CF">
          <w:rPr>
            <w:noProof/>
            <w:webHidden/>
          </w:rPr>
          <w:instrText xml:space="preserve"> PAGEREF _Toc271632344 \h </w:instrText>
        </w:r>
        <w:r w:rsidRPr="003E29CF">
          <w:rPr>
            <w:noProof/>
            <w:webHidden/>
          </w:rPr>
        </w:r>
        <w:r w:rsidRPr="003E29CF">
          <w:rPr>
            <w:noProof/>
            <w:webHidden/>
          </w:rPr>
          <w:fldChar w:fldCharType="separate"/>
        </w:r>
        <w:r w:rsidR="00E5699E">
          <w:rPr>
            <w:noProof/>
            <w:webHidden/>
          </w:rPr>
          <w:t>178</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5" w:history="1">
        <w:r w:rsidR="003E29CF" w:rsidRPr="003E29CF">
          <w:rPr>
            <w:rStyle w:val="Hyperlink"/>
            <w:rFonts w:cs="Times New Roman"/>
            <w:noProof/>
          </w:rPr>
          <w:t>12.2.6</w:t>
        </w:r>
        <w:r w:rsidR="003E29CF" w:rsidRPr="003E29CF">
          <w:rPr>
            <w:rStyle w:val="Hyperlink"/>
            <w:noProof/>
          </w:rPr>
          <w:t xml:space="preserve"> Regional Smart Grid Projects</w:t>
        </w:r>
        <w:r w:rsidR="003E29CF" w:rsidRPr="003E29CF">
          <w:rPr>
            <w:noProof/>
            <w:webHidden/>
          </w:rPr>
          <w:tab/>
        </w:r>
        <w:r w:rsidRPr="003E29CF">
          <w:rPr>
            <w:noProof/>
            <w:webHidden/>
          </w:rPr>
          <w:fldChar w:fldCharType="begin"/>
        </w:r>
        <w:r w:rsidR="003E29CF" w:rsidRPr="003E29CF">
          <w:rPr>
            <w:noProof/>
            <w:webHidden/>
          </w:rPr>
          <w:instrText xml:space="preserve"> PAGEREF _Toc271632345 \h </w:instrText>
        </w:r>
        <w:r w:rsidRPr="003E29CF">
          <w:rPr>
            <w:noProof/>
            <w:webHidden/>
          </w:rPr>
        </w:r>
        <w:r w:rsidRPr="003E29CF">
          <w:rPr>
            <w:noProof/>
            <w:webHidden/>
          </w:rPr>
          <w:fldChar w:fldCharType="separate"/>
        </w:r>
        <w:r w:rsidR="00E5699E">
          <w:rPr>
            <w:noProof/>
            <w:webHidden/>
          </w:rPr>
          <w:t>178</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46" w:history="1">
        <w:r w:rsidR="003E29CF" w:rsidRPr="003E29CF">
          <w:rPr>
            <w:rStyle w:val="Hyperlink"/>
            <w:noProof/>
          </w:rPr>
          <w:t>12.3 ISO Initiatives</w:t>
        </w:r>
        <w:r w:rsidR="003E29CF" w:rsidRPr="003E29CF">
          <w:rPr>
            <w:noProof/>
            <w:webHidden/>
          </w:rPr>
          <w:tab/>
        </w:r>
        <w:r w:rsidRPr="003E29CF">
          <w:rPr>
            <w:noProof/>
            <w:webHidden/>
          </w:rPr>
          <w:fldChar w:fldCharType="begin"/>
        </w:r>
        <w:r w:rsidR="003E29CF" w:rsidRPr="003E29CF">
          <w:rPr>
            <w:noProof/>
            <w:webHidden/>
          </w:rPr>
          <w:instrText xml:space="preserve"> PAGEREF _Toc271632346 \h </w:instrText>
        </w:r>
        <w:r w:rsidRPr="003E29CF">
          <w:rPr>
            <w:noProof/>
            <w:webHidden/>
          </w:rPr>
        </w:r>
        <w:r w:rsidRPr="003E29CF">
          <w:rPr>
            <w:noProof/>
            <w:webHidden/>
          </w:rPr>
          <w:fldChar w:fldCharType="separate"/>
        </w:r>
        <w:r w:rsidR="00E5699E">
          <w:rPr>
            <w:noProof/>
            <w:webHidden/>
          </w:rPr>
          <w:t>179</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7" w:history="1">
        <w:r w:rsidR="003E29CF" w:rsidRPr="003E29CF">
          <w:rPr>
            <w:rStyle w:val="Hyperlink"/>
            <w:rFonts w:cs="Times New Roman"/>
            <w:noProof/>
          </w:rPr>
          <w:t>12.3.1</w:t>
        </w:r>
        <w:r w:rsidR="003E29CF" w:rsidRPr="003E29CF">
          <w:rPr>
            <w:rStyle w:val="Hyperlink"/>
            <w:noProof/>
          </w:rPr>
          <w:t xml:space="preserve"> Project Cost Estimation and Controls Working Group</w:t>
        </w:r>
        <w:r w:rsidR="003E29CF" w:rsidRPr="003E29CF">
          <w:rPr>
            <w:noProof/>
            <w:webHidden/>
          </w:rPr>
          <w:tab/>
        </w:r>
        <w:r w:rsidRPr="003E29CF">
          <w:rPr>
            <w:noProof/>
            <w:webHidden/>
          </w:rPr>
          <w:fldChar w:fldCharType="begin"/>
        </w:r>
        <w:r w:rsidR="003E29CF" w:rsidRPr="003E29CF">
          <w:rPr>
            <w:noProof/>
            <w:webHidden/>
          </w:rPr>
          <w:instrText xml:space="preserve"> PAGEREF _Toc271632347 \h </w:instrText>
        </w:r>
        <w:r w:rsidRPr="003E29CF">
          <w:rPr>
            <w:noProof/>
            <w:webHidden/>
          </w:rPr>
        </w:r>
        <w:r w:rsidRPr="003E29CF">
          <w:rPr>
            <w:noProof/>
            <w:webHidden/>
          </w:rPr>
          <w:fldChar w:fldCharType="separate"/>
        </w:r>
        <w:r w:rsidR="00E5699E">
          <w:rPr>
            <w:noProof/>
            <w:webHidden/>
          </w:rPr>
          <w:t>179</w:t>
        </w:r>
        <w:r w:rsidRPr="003E29CF">
          <w:rPr>
            <w:noProof/>
            <w:webHidden/>
          </w:rPr>
          <w:fldChar w:fldCharType="end"/>
        </w:r>
      </w:hyperlink>
    </w:p>
    <w:p w:rsidR="003E29CF" w:rsidRPr="003E29CF" w:rsidRDefault="00832C7A">
      <w:pPr>
        <w:pStyle w:val="TOC3"/>
        <w:rPr>
          <w:rFonts w:asciiTheme="minorHAnsi" w:eastAsiaTheme="minorEastAsia" w:hAnsiTheme="minorHAnsi"/>
          <w:noProof/>
        </w:rPr>
      </w:pPr>
      <w:hyperlink w:anchor="_Toc271632348" w:history="1">
        <w:r w:rsidR="003E29CF" w:rsidRPr="003E29CF">
          <w:rPr>
            <w:rStyle w:val="Hyperlink"/>
            <w:rFonts w:cs="Times New Roman"/>
            <w:noProof/>
          </w:rPr>
          <w:t>12.3.2</w:t>
        </w:r>
        <w:r w:rsidR="003E29CF" w:rsidRPr="003E29CF">
          <w:rPr>
            <w:rStyle w:val="Hyperlink"/>
            <w:noProof/>
          </w:rPr>
          <w:t xml:space="preserve"> RSP Planning Process Updates</w:t>
        </w:r>
        <w:r w:rsidR="003E29CF" w:rsidRPr="003E29CF">
          <w:rPr>
            <w:noProof/>
            <w:webHidden/>
          </w:rPr>
          <w:tab/>
        </w:r>
        <w:r w:rsidRPr="003E29CF">
          <w:rPr>
            <w:noProof/>
            <w:webHidden/>
          </w:rPr>
          <w:fldChar w:fldCharType="begin"/>
        </w:r>
        <w:r w:rsidR="003E29CF" w:rsidRPr="003E29CF">
          <w:rPr>
            <w:noProof/>
            <w:webHidden/>
          </w:rPr>
          <w:instrText xml:space="preserve"> PAGEREF _Toc271632348 \h </w:instrText>
        </w:r>
        <w:r w:rsidRPr="003E29CF">
          <w:rPr>
            <w:noProof/>
            <w:webHidden/>
          </w:rPr>
        </w:r>
        <w:r w:rsidRPr="003E29CF">
          <w:rPr>
            <w:noProof/>
            <w:webHidden/>
          </w:rPr>
          <w:fldChar w:fldCharType="separate"/>
        </w:r>
        <w:r w:rsidR="00E5699E">
          <w:rPr>
            <w:noProof/>
            <w:webHidden/>
          </w:rPr>
          <w:t>180</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49" w:history="1">
        <w:r w:rsidR="003E29CF" w:rsidRPr="003E29CF">
          <w:rPr>
            <w:rStyle w:val="Hyperlink"/>
            <w:noProof/>
          </w:rPr>
          <w:t>12.4 Federal Initiatives</w:t>
        </w:r>
        <w:r w:rsidR="003E29CF" w:rsidRPr="003E29CF">
          <w:rPr>
            <w:noProof/>
            <w:webHidden/>
          </w:rPr>
          <w:tab/>
        </w:r>
        <w:r w:rsidRPr="003E29CF">
          <w:rPr>
            <w:noProof/>
            <w:webHidden/>
          </w:rPr>
          <w:fldChar w:fldCharType="begin"/>
        </w:r>
        <w:r w:rsidR="003E29CF" w:rsidRPr="003E29CF">
          <w:rPr>
            <w:noProof/>
            <w:webHidden/>
          </w:rPr>
          <w:instrText xml:space="preserve"> PAGEREF _Toc271632349 \h </w:instrText>
        </w:r>
        <w:r w:rsidRPr="003E29CF">
          <w:rPr>
            <w:noProof/>
            <w:webHidden/>
          </w:rPr>
        </w:r>
        <w:r w:rsidRPr="003E29CF">
          <w:rPr>
            <w:noProof/>
            <w:webHidden/>
          </w:rPr>
          <w:fldChar w:fldCharType="separate"/>
        </w:r>
        <w:r w:rsidR="00E5699E">
          <w:rPr>
            <w:noProof/>
            <w:webHidden/>
          </w:rPr>
          <w:t>181</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50" w:history="1">
        <w:r w:rsidR="003E29CF" w:rsidRPr="003E29CF">
          <w:rPr>
            <w:rStyle w:val="Hyperlink"/>
            <w:noProof/>
          </w:rPr>
          <w:t>12.5 Summary of Regional Initiatives</w:t>
        </w:r>
        <w:r w:rsidR="003E29CF" w:rsidRPr="003E29CF">
          <w:rPr>
            <w:noProof/>
            <w:webHidden/>
          </w:rPr>
          <w:tab/>
        </w:r>
        <w:r w:rsidRPr="003E29CF">
          <w:rPr>
            <w:noProof/>
            <w:webHidden/>
          </w:rPr>
          <w:fldChar w:fldCharType="begin"/>
        </w:r>
        <w:r w:rsidR="003E29CF" w:rsidRPr="003E29CF">
          <w:rPr>
            <w:noProof/>
            <w:webHidden/>
          </w:rPr>
          <w:instrText xml:space="preserve"> PAGEREF _Toc271632350 \h </w:instrText>
        </w:r>
        <w:r w:rsidRPr="003E29CF">
          <w:rPr>
            <w:noProof/>
            <w:webHidden/>
          </w:rPr>
        </w:r>
        <w:r w:rsidRPr="003E29CF">
          <w:rPr>
            <w:noProof/>
            <w:webHidden/>
          </w:rPr>
          <w:fldChar w:fldCharType="separate"/>
        </w:r>
        <w:r w:rsidR="00E5699E">
          <w:rPr>
            <w:noProof/>
            <w:webHidden/>
          </w:rPr>
          <w:t>182</w:t>
        </w:r>
        <w:r w:rsidRPr="003E29CF">
          <w:rPr>
            <w:noProof/>
            <w:webHidden/>
          </w:rPr>
          <w:fldChar w:fldCharType="end"/>
        </w:r>
      </w:hyperlink>
    </w:p>
    <w:p w:rsidR="003E29CF" w:rsidRPr="003E29CF" w:rsidRDefault="00832C7A">
      <w:pPr>
        <w:pStyle w:val="TOC1"/>
        <w:rPr>
          <w:rFonts w:asciiTheme="minorHAnsi" w:eastAsiaTheme="minorEastAsia" w:hAnsiTheme="minorHAnsi"/>
          <w:b w:val="0"/>
          <w:sz w:val="22"/>
        </w:rPr>
      </w:pPr>
      <w:hyperlink w:anchor="_Toc271632351" w:history="1">
        <w:r w:rsidR="003E29CF" w:rsidRPr="003E29CF">
          <w:rPr>
            <w:rStyle w:val="Hyperlink"/>
            <w:sz w:val="22"/>
          </w:rPr>
          <w:t>Section 13</w:t>
        </w:r>
        <w:r w:rsidR="003E29CF">
          <w:rPr>
            <w:rStyle w:val="Hyperlink"/>
            <w:sz w:val="22"/>
          </w:rPr>
          <w:br/>
        </w:r>
        <w:r w:rsidR="003E29CF" w:rsidRPr="003E29CF">
          <w:rPr>
            <w:rStyle w:val="Hyperlink"/>
            <w:sz w:val="22"/>
          </w:rPr>
          <w:t>Conclusions and Key Findings</w:t>
        </w:r>
        <w:r w:rsidR="003E29CF" w:rsidRPr="003E29CF">
          <w:rPr>
            <w:webHidden/>
            <w:sz w:val="22"/>
          </w:rPr>
          <w:tab/>
        </w:r>
        <w:r w:rsidRPr="003E29CF">
          <w:rPr>
            <w:webHidden/>
            <w:sz w:val="22"/>
          </w:rPr>
          <w:fldChar w:fldCharType="begin"/>
        </w:r>
        <w:r w:rsidR="003E29CF" w:rsidRPr="003E29CF">
          <w:rPr>
            <w:webHidden/>
            <w:sz w:val="22"/>
          </w:rPr>
          <w:instrText xml:space="preserve"> PAGEREF _Toc271632351 \h </w:instrText>
        </w:r>
        <w:r w:rsidRPr="003E29CF">
          <w:rPr>
            <w:webHidden/>
            <w:sz w:val="22"/>
          </w:rPr>
        </w:r>
        <w:r w:rsidRPr="003E29CF">
          <w:rPr>
            <w:webHidden/>
            <w:sz w:val="22"/>
          </w:rPr>
          <w:fldChar w:fldCharType="separate"/>
        </w:r>
        <w:r w:rsidR="00E5699E">
          <w:rPr>
            <w:webHidden/>
            <w:sz w:val="22"/>
          </w:rPr>
          <w:t>183</w:t>
        </w:r>
        <w:r w:rsidRPr="003E29CF">
          <w:rPr>
            <w:webHidden/>
            <w:sz w:val="22"/>
          </w:rPr>
          <w:fldChar w:fldCharType="end"/>
        </w:r>
      </w:hyperlink>
    </w:p>
    <w:p w:rsidR="003E29CF" w:rsidRPr="003E29CF" w:rsidRDefault="00832C7A" w:rsidP="003E29CF">
      <w:pPr>
        <w:pStyle w:val="TOC2"/>
        <w:rPr>
          <w:rFonts w:asciiTheme="minorHAnsi" w:eastAsiaTheme="minorEastAsia" w:hAnsiTheme="minorHAnsi"/>
          <w:noProof/>
        </w:rPr>
      </w:pPr>
      <w:hyperlink w:anchor="_Toc271632352" w:history="1">
        <w:r w:rsidR="003E29CF" w:rsidRPr="003E29CF">
          <w:rPr>
            <w:rStyle w:val="Hyperlink"/>
            <w:noProof/>
          </w:rPr>
          <w:t>13.1 RSP Tariff Requirements</w:t>
        </w:r>
        <w:r w:rsidR="003E29CF" w:rsidRPr="003E29CF">
          <w:rPr>
            <w:noProof/>
            <w:webHidden/>
          </w:rPr>
          <w:tab/>
        </w:r>
        <w:r w:rsidRPr="003E29CF">
          <w:rPr>
            <w:noProof/>
            <w:webHidden/>
          </w:rPr>
          <w:fldChar w:fldCharType="begin"/>
        </w:r>
        <w:r w:rsidR="003E29CF" w:rsidRPr="003E29CF">
          <w:rPr>
            <w:noProof/>
            <w:webHidden/>
          </w:rPr>
          <w:instrText xml:space="preserve"> PAGEREF _Toc271632352 \h </w:instrText>
        </w:r>
        <w:r w:rsidRPr="003E29CF">
          <w:rPr>
            <w:noProof/>
            <w:webHidden/>
          </w:rPr>
        </w:r>
        <w:r w:rsidRPr="003E29CF">
          <w:rPr>
            <w:noProof/>
            <w:webHidden/>
          </w:rPr>
          <w:fldChar w:fldCharType="separate"/>
        </w:r>
        <w:r w:rsidR="00E5699E">
          <w:rPr>
            <w:noProof/>
            <w:webHidden/>
          </w:rPr>
          <w:t>183</w:t>
        </w:r>
        <w:r w:rsidRPr="003E29CF">
          <w:rPr>
            <w:noProof/>
            <w:webHidden/>
          </w:rPr>
          <w:fldChar w:fldCharType="end"/>
        </w:r>
      </w:hyperlink>
    </w:p>
    <w:p w:rsidR="003E29CF" w:rsidRPr="003E29CF" w:rsidRDefault="00832C7A" w:rsidP="003E29CF">
      <w:pPr>
        <w:pStyle w:val="TOC2"/>
        <w:rPr>
          <w:rFonts w:asciiTheme="minorHAnsi" w:eastAsiaTheme="minorEastAsia" w:hAnsiTheme="minorHAnsi"/>
          <w:noProof/>
        </w:rPr>
      </w:pPr>
      <w:hyperlink w:anchor="_Toc271632353" w:history="1">
        <w:r w:rsidR="003E29CF" w:rsidRPr="003E29CF">
          <w:rPr>
            <w:rStyle w:val="Hyperlink"/>
            <w:noProof/>
          </w:rPr>
          <w:t>13.2 RSP10 Outlook</w:t>
        </w:r>
        <w:r w:rsidR="003E29CF" w:rsidRPr="003E29CF">
          <w:rPr>
            <w:noProof/>
            <w:webHidden/>
          </w:rPr>
          <w:tab/>
        </w:r>
        <w:r w:rsidRPr="003E29CF">
          <w:rPr>
            <w:noProof/>
            <w:webHidden/>
          </w:rPr>
          <w:fldChar w:fldCharType="begin"/>
        </w:r>
        <w:r w:rsidR="003E29CF" w:rsidRPr="003E29CF">
          <w:rPr>
            <w:noProof/>
            <w:webHidden/>
          </w:rPr>
          <w:instrText xml:space="preserve"> PAGEREF _Toc271632353 \h </w:instrText>
        </w:r>
        <w:r w:rsidRPr="003E29CF">
          <w:rPr>
            <w:noProof/>
            <w:webHidden/>
          </w:rPr>
        </w:r>
        <w:r w:rsidRPr="003E29CF">
          <w:rPr>
            <w:noProof/>
            <w:webHidden/>
          </w:rPr>
          <w:fldChar w:fldCharType="separate"/>
        </w:r>
        <w:r w:rsidR="00E5699E">
          <w:rPr>
            <w:noProof/>
            <w:webHidden/>
          </w:rPr>
          <w:t>184</w:t>
        </w:r>
        <w:r w:rsidRPr="003E29CF">
          <w:rPr>
            <w:noProof/>
            <w:webHidden/>
          </w:rPr>
          <w:fldChar w:fldCharType="end"/>
        </w:r>
      </w:hyperlink>
    </w:p>
    <w:p w:rsidR="003E29CF" w:rsidRDefault="003E29CF">
      <w:pPr>
        <w:pStyle w:val="TOC1"/>
        <w:rPr>
          <w:rStyle w:val="Hyperlink"/>
          <w:sz w:val="22"/>
        </w:rPr>
      </w:pPr>
    </w:p>
    <w:p w:rsidR="003E29CF" w:rsidRPr="003E29CF" w:rsidRDefault="00832C7A">
      <w:pPr>
        <w:pStyle w:val="TOC1"/>
        <w:rPr>
          <w:rFonts w:asciiTheme="minorHAnsi" w:eastAsiaTheme="minorEastAsia" w:hAnsiTheme="minorHAnsi"/>
          <w:b w:val="0"/>
          <w:sz w:val="22"/>
        </w:rPr>
      </w:pPr>
      <w:hyperlink w:anchor="_Toc271632354" w:history="1">
        <w:r w:rsidR="003E29CF" w:rsidRPr="003E29CF">
          <w:rPr>
            <w:rStyle w:val="Hyperlink"/>
            <w:rFonts w:eastAsia="Calibri" w:cs="Arial"/>
            <w:sz w:val="22"/>
          </w:rPr>
          <w:t>Appendix A</w:t>
        </w:r>
        <w:r w:rsidR="003E29CF">
          <w:rPr>
            <w:rStyle w:val="Hyperlink"/>
            <w:rFonts w:eastAsia="Calibri" w:cs="Arial"/>
            <w:sz w:val="22"/>
          </w:rPr>
          <w:br/>
        </w:r>
        <w:r w:rsidR="003E29CF" w:rsidRPr="003E29CF">
          <w:rPr>
            <w:rStyle w:val="Hyperlink"/>
            <w:rFonts w:eastAsia="Calibri" w:cs="Arial"/>
            <w:i/>
            <w:sz w:val="22"/>
          </w:rPr>
          <w:t>RSP Project List</w:t>
        </w:r>
        <w:r w:rsidR="003E29CF" w:rsidRPr="003E29CF">
          <w:rPr>
            <w:webHidden/>
            <w:sz w:val="22"/>
          </w:rPr>
          <w:tab/>
        </w:r>
        <w:r w:rsidRPr="003E29CF">
          <w:rPr>
            <w:webHidden/>
            <w:sz w:val="22"/>
          </w:rPr>
          <w:fldChar w:fldCharType="begin"/>
        </w:r>
        <w:r w:rsidR="003E29CF" w:rsidRPr="003E29CF">
          <w:rPr>
            <w:webHidden/>
            <w:sz w:val="22"/>
          </w:rPr>
          <w:instrText xml:space="preserve"> PAGEREF _Toc271632354 \h </w:instrText>
        </w:r>
        <w:r w:rsidRPr="003E29CF">
          <w:rPr>
            <w:webHidden/>
            <w:sz w:val="22"/>
          </w:rPr>
        </w:r>
        <w:r w:rsidRPr="003E29CF">
          <w:rPr>
            <w:webHidden/>
            <w:sz w:val="22"/>
          </w:rPr>
          <w:fldChar w:fldCharType="separate"/>
        </w:r>
        <w:r w:rsidR="00E5699E">
          <w:rPr>
            <w:webHidden/>
            <w:sz w:val="22"/>
          </w:rPr>
          <w:t>188</w:t>
        </w:r>
        <w:r w:rsidRPr="003E29CF">
          <w:rPr>
            <w:webHidden/>
            <w:sz w:val="22"/>
          </w:rPr>
          <w:fldChar w:fldCharType="end"/>
        </w:r>
      </w:hyperlink>
    </w:p>
    <w:p w:rsidR="003E29CF" w:rsidRPr="003E29CF" w:rsidRDefault="00832C7A">
      <w:pPr>
        <w:pStyle w:val="TOC1"/>
        <w:rPr>
          <w:rFonts w:asciiTheme="minorHAnsi" w:eastAsiaTheme="minorEastAsia" w:hAnsiTheme="minorHAnsi"/>
          <w:b w:val="0"/>
          <w:sz w:val="22"/>
        </w:rPr>
      </w:pPr>
      <w:hyperlink w:anchor="_Toc271632355" w:history="1">
        <w:r w:rsidR="003E29CF" w:rsidRPr="003E29CF">
          <w:rPr>
            <w:rStyle w:val="Hyperlink"/>
            <w:rFonts w:eastAsia="Calibri" w:cs="Arial"/>
            <w:sz w:val="22"/>
          </w:rPr>
          <w:t>Appendix B</w:t>
        </w:r>
        <w:r w:rsidR="003E29CF">
          <w:rPr>
            <w:rStyle w:val="Hyperlink"/>
            <w:rFonts w:eastAsia="Calibri" w:cs="Arial"/>
            <w:sz w:val="22"/>
          </w:rPr>
          <w:br/>
        </w:r>
        <w:r w:rsidR="003E29CF" w:rsidRPr="003E29CF">
          <w:rPr>
            <w:rStyle w:val="Hyperlink"/>
            <w:rFonts w:eastAsia="Calibri" w:cs="Arial"/>
            <w:sz w:val="22"/>
          </w:rPr>
          <w:t>List of Acronyms and Abbreviations</w:t>
        </w:r>
        <w:r w:rsidR="003E29CF" w:rsidRPr="003E29CF">
          <w:rPr>
            <w:webHidden/>
            <w:sz w:val="22"/>
          </w:rPr>
          <w:tab/>
        </w:r>
        <w:r w:rsidRPr="003E29CF">
          <w:rPr>
            <w:webHidden/>
            <w:sz w:val="22"/>
          </w:rPr>
          <w:fldChar w:fldCharType="begin"/>
        </w:r>
        <w:r w:rsidR="003E29CF" w:rsidRPr="003E29CF">
          <w:rPr>
            <w:webHidden/>
            <w:sz w:val="22"/>
          </w:rPr>
          <w:instrText xml:space="preserve"> PAGEREF _Toc271632355 \h </w:instrText>
        </w:r>
        <w:r w:rsidRPr="003E29CF">
          <w:rPr>
            <w:webHidden/>
            <w:sz w:val="22"/>
          </w:rPr>
        </w:r>
        <w:r w:rsidRPr="003E29CF">
          <w:rPr>
            <w:webHidden/>
            <w:sz w:val="22"/>
          </w:rPr>
          <w:fldChar w:fldCharType="separate"/>
        </w:r>
        <w:r w:rsidR="00E5699E">
          <w:rPr>
            <w:webHidden/>
            <w:sz w:val="22"/>
          </w:rPr>
          <w:t>188</w:t>
        </w:r>
        <w:r w:rsidRPr="003E29CF">
          <w:rPr>
            <w:webHidden/>
            <w:sz w:val="22"/>
          </w:rPr>
          <w:fldChar w:fldCharType="end"/>
        </w:r>
      </w:hyperlink>
    </w:p>
    <w:p w:rsidR="00130F43" w:rsidRPr="006C25B1" w:rsidRDefault="00832C7A" w:rsidP="00073277">
      <w:pPr>
        <w:rPr>
          <w:rFonts w:ascii="Arial" w:hAnsi="Arial" w:cs="Arial"/>
          <w:b/>
          <w:sz w:val="36"/>
          <w:szCs w:val="36"/>
        </w:rPr>
        <w:sectPr w:rsidR="00130F43" w:rsidRPr="006C25B1" w:rsidSect="00015282">
          <w:pgSz w:w="12240" w:h="15840"/>
          <w:pgMar w:top="1350" w:right="1440" w:bottom="1440" w:left="1440" w:header="720" w:footer="720" w:gutter="0"/>
          <w:pgNumType w:fmt="lowerRoman"/>
          <w:cols w:space="720"/>
          <w:docGrid w:linePitch="360"/>
        </w:sectPr>
      </w:pPr>
      <w:r w:rsidRPr="003E29CF">
        <w:rPr>
          <w:rFonts w:ascii="Arial" w:hAnsi="Arial" w:cs="Arial"/>
          <w:b/>
        </w:rPr>
        <w:fldChar w:fldCharType="end"/>
      </w:r>
    </w:p>
    <w:p w:rsidR="00130F43" w:rsidRDefault="00FC4DCC" w:rsidP="00F3365B">
      <w:pPr>
        <w:outlineLvl w:val="0"/>
        <w:rPr>
          <w:rFonts w:ascii="Arial" w:hAnsi="Arial" w:cs="Arial"/>
          <w:b/>
          <w:sz w:val="36"/>
          <w:szCs w:val="36"/>
        </w:rPr>
      </w:pPr>
      <w:bookmarkStart w:id="7" w:name="_Toc271632193"/>
      <w:r w:rsidRPr="006C25B1">
        <w:rPr>
          <w:rFonts w:ascii="Arial" w:hAnsi="Arial" w:cs="Arial"/>
          <w:b/>
          <w:sz w:val="36"/>
          <w:szCs w:val="36"/>
        </w:rPr>
        <w:t>Fig</w:t>
      </w:r>
      <w:r w:rsidR="003F14FC" w:rsidRPr="006C25B1">
        <w:rPr>
          <w:rFonts w:ascii="Arial" w:hAnsi="Arial" w:cs="Arial"/>
          <w:b/>
          <w:sz w:val="36"/>
          <w:szCs w:val="36"/>
        </w:rPr>
        <w:t>ures</w:t>
      </w:r>
      <w:bookmarkEnd w:id="7"/>
    </w:p>
    <w:p w:rsidR="00C44A90" w:rsidRDefault="00832C7A">
      <w:pPr>
        <w:pStyle w:val="TableofFigures"/>
        <w:rPr>
          <w:rFonts w:asciiTheme="minorHAnsi" w:eastAsiaTheme="minorEastAsia" w:hAnsiTheme="minorHAnsi" w:cstheme="minorBidi"/>
          <w:bCs w:val="0"/>
          <w:sz w:val="22"/>
          <w:szCs w:val="22"/>
        </w:rPr>
      </w:pPr>
      <w:r w:rsidRPr="00832C7A">
        <w:fldChar w:fldCharType="begin"/>
      </w:r>
      <w:r w:rsidR="00130F43">
        <w:instrText xml:space="preserve"> TOC \h \z \c "Figure" </w:instrText>
      </w:r>
      <w:r w:rsidRPr="00832C7A">
        <w:fldChar w:fldCharType="separate"/>
      </w:r>
      <w:hyperlink w:anchor="_Toc271552366" w:history="1">
        <w:r w:rsidR="00C44A90" w:rsidRPr="00E64F5F">
          <w:rPr>
            <w:rStyle w:val="Hyperlink"/>
          </w:rPr>
          <w:t>Figure 2</w:t>
        </w:r>
        <w:r w:rsidR="00C44A90" w:rsidRPr="00E64F5F">
          <w:rPr>
            <w:rStyle w:val="Hyperlink"/>
          </w:rPr>
          <w:noBreakHyphen/>
          <w:t xml:space="preserve">1: </w:t>
        </w:r>
        <w:r w:rsidR="00C44A90">
          <w:rPr>
            <w:rStyle w:val="Hyperlink"/>
          </w:rPr>
          <w:tab/>
        </w:r>
        <w:r w:rsidR="00C44A90" w:rsidRPr="00E64F5F">
          <w:rPr>
            <w:rStyle w:val="Hyperlink"/>
          </w:rPr>
          <w:t>Key facts about New England’s electric power system and wholesale electricity market</w:t>
        </w:r>
        <w:r w:rsidR="00A674BE">
          <w:rPr>
            <w:rStyle w:val="Hyperlink"/>
          </w:rPr>
          <w:t>s</w:t>
        </w:r>
        <w:r w:rsidR="00C44A90" w:rsidRPr="00E64F5F">
          <w:rPr>
            <w:rStyle w:val="Hyperlink"/>
          </w:rPr>
          <w:t>, 2009.</w:t>
        </w:r>
        <w:r w:rsidR="00C44A90">
          <w:rPr>
            <w:webHidden/>
          </w:rPr>
          <w:tab/>
        </w:r>
        <w:r>
          <w:rPr>
            <w:webHidden/>
          </w:rPr>
          <w:fldChar w:fldCharType="begin"/>
        </w:r>
        <w:r w:rsidR="00C44A90">
          <w:rPr>
            <w:webHidden/>
          </w:rPr>
          <w:instrText xml:space="preserve"> PAGEREF _Toc271552366 \h </w:instrText>
        </w:r>
        <w:r>
          <w:rPr>
            <w:webHidden/>
          </w:rPr>
        </w:r>
        <w:r>
          <w:rPr>
            <w:webHidden/>
          </w:rPr>
          <w:fldChar w:fldCharType="separate"/>
        </w:r>
        <w:r w:rsidR="00E5699E">
          <w:rPr>
            <w:webHidden/>
          </w:rPr>
          <w:t>16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67" w:history="1">
        <w:r w:rsidR="00C44A90" w:rsidRPr="00E64F5F">
          <w:rPr>
            <w:rStyle w:val="Hyperlink"/>
          </w:rPr>
          <w:t>Figure 2</w:t>
        </w:r>
        <w:r w:rsidR="00C44A90" w:rsidRPr="00E64F5F">
          <w:rPr>
            <w:rStyle w:val="Hyperlink"/>
          </w:rPr>
          <w:noBreakHyphen/>
          <w:t xml:space="preserve">2: </w:t>
        </w:r>
        <w:r w:rsidR="00C44A90">
          <w:rPr>
            <w:rStyle w:val="Hyperlink"/>
          </w:rPr>
          <w:tab/>
        </w:r>
        <w:r w:rsidR="00C44A90" w:rsidRPr="00E64F5F">
          <w:rPr>
            <w:rStyle w:val="Hyperlink"/>
          </w:rPr>
          <w:t>RSP10 geographic scope of the New England electric power system.</w:t>
        </w:r>
        <w:r w:rsidR="00C44A90">
          <w:rPr>
            <w:webHidden/>
          </w:rPr>
          <w:tab/>
        </w:r>
        <w:r>
          <w:rPr>
            <w:webHidden/>
          </w:rPr>
          <w:fldChar w:fldCharType="begin"/>
        </w:r>
        <w:r w:rsidR="00C44A90">
          <w:rPr>
            <w:webHidden/>
          </w:rPr>
          <w:instrText xml:space="preserve"> PAGEREF _Toc271552367 \h </w:instrText>
        </w:r>
        <w:r>
          <w:rPr>
            <w:webHidden/>
          </w:rPr>
        </w:r>
        <w:r>
          <w:rPr>
            <w:webHidden/>
          </w:rPr>
          <w:fldChar w:fldCharType="separate"/>
        </w:r>
        <w:r w:rsidR="00E5699E">
          <w:rPr>
            <w:webHidden/>
          </w:rPr>
          <w:t>20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68" w:history="1">
        <w:r w:rsidR="00C44A90" w:rsidRPr="00E64F5F">
          <w:rPr>
            <w:rStyle w:val="Hyperlink"/>
          </w:rPr>
          <w:t>Figure 3</w:t>
        </w:r>
        <w:r w:rsidR="00C44A90" w:rsidRPr="00E64F5F">
          <w:rPr>
            <w:rStyle w:val="Hyperlink"/>
          </w:rPr>
          <w:noBreakHyphen/>
          <w:t xml:space="preserve">1: </w:t>
        </w:r>
        <w:r w:rsidR="00C44A90">
          <w:rPr>
            <w:rStyle w:val="Hyperlink"/>
          </w:rPr>
          <w:tab/>
        </w:r>
        <w:r w:rsidR="0065459C" w:rsidRPr="0065459C">
          <w:rPr>
            <w:rStyle w:val="Hyperlink"/>
            <w:u w:val="none"/>
          </w:rPr>
          <w:t>“</w:t>
        </w:r>
        <w:r w:rsidR="00C44A90" w:rsidRPr="0065459C">
          <w:rPr>
            <w:rStyle w:val="Hyperlink"/>
            <w:u w:val="none"/>
          </w:rPr>
          <w:t>Economy.com</w:t>
        </w:r>
        <w:r w:rsidR="0065459C" w:rsidRPr="0065459C">
          <w:rPr>
            <w:rStyle w:val="Hyperlink"/>
            <w:u w:val="none"/>
          </w:rPr>
          <w:t>”</w:t>
        </w:r>
        <w:r w:rsidR="00C44A90" w:rsidRPr="0065459C">
          <w:rPr>
            <w:rStyle w:val="Hyperlink"/>
            <w:u w:val="none"/>
          </w:rPr>
          <w:t xml:space="preserve"> </w:t>
        </w:r>
        <w:r w:rsidR="00C44A90" w:rsidRPr="00E64F5F">
          <w:rPr>
            <w:rStyle w:val="Hyperlink"/>
          </w:rPr>
          <w:t>forecasts of New England annual percentage change in real personal income</w:t>
        </w:r>
        <w:r w:rsidR="00C44A90">
          <w:rPr>
            <w:rStyle w:val="Hyperlink"/>
          </w:rPr>
          <w:br/>
        </w:r>
        <w:r w:rsidR="00C44A90" w:rsidRPr="00E64F5F">
          <w:rPr>
            <w:rStyle w:val="Hyperlink"/>
          </w:rPr>
          <w:t>from 2008 and 2009 forecasts.</w:t>
        </w:r>
        <w:r w:rsidR="00C44A90">
          <w:rPr>
            <w:webHidden/>
          </w:rPr>
          <w:tab/>
        </w:r>
        <w:r>
          <w:rPr>
            <w:webHidden/>
          </w:rPr>
          <w:fldChar w:fldCharType="begin"/>
        </w:r>
        <w:r w:rsidR="00C44A90">
          <w:rPr>
            <w:webHidden/>
          </w:rPr>
          <w:instrText xml:space="preserve"> PAGEREF _Toc271552368 \h </w:instrText>
        </w:r>
        <w:r>
          <w:rPr>
            <w:webHidden/>
          </w:rPr>
        </w:r>
        <w:r>
          <w:rPr>
            <w:webHidden/>
          </w:rPr>
          <w:fldChar w:fldCharType="separate"/>
        </w:r>
        <w:r w:rsidR="00E5699E">
          <w:rPr>
            <w:webHidden/>
          </w:rPr>
          <w:t>25</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69" w:history="1">
        <w:r w:rsidR="00C44A90" w:rsidRPr="00E64F5F">
          <w:rPr>
            <w:rStyle w:val="Hyperlink"/>
          </w:rPr>
          <w:t>Figure 3</w:t>
        </w:r>
        <w:r w:rsidR="00C44A90" w:rsidRPr="00E64F5F">
          <w:rPr>
            <w:rStyle w:val="Hyperlink"/>
          </w:rPr>
          <w:noBreakHyphen/>
          <w:t xml:space="preserve">2: </w:t>
        </w:r>
        <w:r w:rsidR="00C44A90">
          <w:rPr>
            <w:rStyle w:val="Hyperlink"/>
          </w:rPr>
          <w:tab/>
        </w:r>
        <w:r w:rsidR="00C44A90" w:rsidRPr="00E64F5F">
          <w:rPr>
            <w:rStyle w:val="Hyperlink"/>
          </w:rPr>
          <w:t>Historical and projected annual percentage change in real personal income for New England</w:t>
        </w:r>
        <w:r w:rsidR="00C44A90">
          <w:rPr>
            <w:rStyle w:val="Hyperlink"/>
          </w:rPr>
          <w:br/>
        </w:r>
        <w:r w:rsidR="00C44A90" w:rsidRPr="00E64F5F">
          <w:rPr>
            <w:rStyle w:val="Hyperlink"/>
          </w:rPr>
          <w:t>compared with the United States as a whole, 1981 to 2020.</w:t>
        </w:r>
        <w:r w:rsidR="00C44A90">
          <w:rPr>
            <w:webHidden/>
          </w:rPr>
          <w:tab/>
        </w:r>
        <w:r>
          <w:rPr>
            <w:webHidden/>
          </w:rPr>
          <w:fldChar w:fldCharType="begin"/>
        </w:r>
        <w:r w:rsidR="00C44A90">
          <w:rPr>
            <w:webHidden/>
          </w:rPr>
          <w:instrText xml:space="preserve"> PAGEREF _Toc271552369 \h </w:instrText>
        </w:r>
        <w:r>
          <w:rPr>
            <w:webHidden/>
          </w:rPr>
        </w:r>
        <w:r>
          <w:rPr>
            <w:webHidden/>
          </w:rPr>
          <w:fldChar w:fldCharType="separate"/>
        </w:r>
        <w:r w:rsidR="00E5699E">
          <w:rPr>
            <w:webHidden/>
          </w:rPr>
          <w:t>26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0" w:history="1">
        <w:r w:rsidR="00C44A90" w:rsidRPr="00E64F5F">
          <w:rPr>
            <w:rStyle w:val="Hyperlink"/>
          </w:rPr>
          <w:t>Figure 3</w:t>
        </w:r>
        <w:r w:rsidR="00C44A90" w:rsidRPr="00E64F5F">
          <w:rPr>
            <w:rStyle w:val="Hyperlink"/>
          </w:rPr>
          <w:noBreakHyphen/>
          <w:t xml:space="preserve">3: </w:t>
        </w:r>
        <w:r w:rsidR="00C44A90">
          <w:rPr>
            <w:rStyle w:val="Hyperlink"/>
          </w:rPr>
          <w:tab/>
        </w:r>
        <w:r w:rsidR="00C44A90" w:rsidRPr="00E64F5F">
          <w:rPr>
            <w:rStyle w:val="Hyperlink"/>
          </w:rPr>
          <w:t>Historical and forecast annual summer-peak loads, 1980 to 2019.</w:t>
        </w:r>
        <w:r w:rsidR="00C44A90">
          <w:rPr>
            <w:webHidden/>
          </w:rPr>
          <w:tab/>
        </w:r>
        <w:r>
          <w:rPr>
            <w:webHidden/>
          </w:rPr>
          <w:fldChar w:fldCharType="begin"/>
        </w:r>
        <w:r w:rsidR="00C44A90">
          <w:rPr>
            <w:webHidden/>
          </w:rPr>
          <w:instrText xml:space="preserve"> PAGEREF _Toc271552370 \h </w:instrText>
        </w:r>
        <w:r>
          <w:rPr>
            <w:webHidden/>
          </w:rPr>
        </w:r>
        <w:r>
          <w:rPr>
            <w:webHidden/>
          </w:rPr>
          <w:fldChar w:fldCharType="separate"/>
        </w:r>
        <w:r w:rsidR="00E5699E">
          <w:rPr>
            <w:webHidden/>
          </w:rPr>
          <w:t>30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1" w:history="1">
        <w:r w:rsidR="00C44A90" w:rsidRPr="00E64F5F">
          <w:rPr>
            <w:rStyle w:val="Hyperlink"/>
          </w:rPr>
          <w:t>Figure 3</w:t>
        </w:r>
        <w:r w:rsidR="00C44A90" w:rsidRPr="00E64F5F">
          <w:rPr>
            <w:rStyle w:val="Hyperlink"/>
          </w:rPr>
          <w:noBreakHyphen/>
          <w:t xml:space="preserve">4: </w:t>
        </w:r>
        <w:r w:rsidR="00C44A90">
          <w:rPr>
            <w:rStyle w:val="Hyperlink"/>
          </w:rPr>
          <w:tab/>
        </w:r>
        <w:r w:rsidR="00C44A90" w:rsidRPr="00E64F5F">
          <w:rPr>
            <w:rStyle w:val="Hyperlink"/>
          </w:rPr>
          <w:t>Historical and forecast annual energy</w:t>
        </w:r>
        <w:r w:rsidR="009E210E">
          <w:rPr>
            <w:rStyle w:val="Hyperlink"/>
          </w:rPr>
          <w:t xml:space="preserve"> use</w:t>
        </w:r>
        <w:r w:rsidR="00C44A90" w:rsidRPr="00E64F5F">
          <w:rPr>
            <w:rStyle w:val="Hyperlink"/>
          </w:rPr>
          <w:t>, 1980 to 2019.</w:t>
        </w:r>
        <w:r w:rsidR="00C44A90">
          <w:rPr>
            <w:webHidden/>
          </w:rPr>
          <w:tab/>
        </w:r>
        <w:r>
          <w:rPr>
            <w:webHidden/>
          </w:rPr>
          <w:fldChar w:fldCharType="begin"/>
        </w:r>
        <w:r w:rsidR="00C44A90">
          <w:rPr>
            <w:webHidden/>
          </w:rPr>
          <w:instrText xml:space="preserve"> PAGEREF _Toc271552371 \h </w:instrText>
        </w:r>
        <w:r>
          <w:rPr>
            <w:webHidden/>
          </w:rPr>
        </w:r>
        <w:r>
          <w:rPr>
            <w:webHidden/>
          </w:rPr>
          <w:fldChar w:fldCharType="separate"/>
        </w:r>
        <w:r w:rsidR="00E5699E">
          <w:rPr>
            <w:webHidden/>
          </w:rPr>
          <w:t>31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2" w:history="1">
        <w:r w:rsidR="00C44A90" w:rsidRPr="00E64F5F">
          <w:rPr>
            <w:rStyle w:val="Hyperlink"/>
          </w:rPr>
          <w:t>Figure 4</w:t>
        </w:r>
        <w:r w:rsidR="00C44A90" w:rsidRPr="00E64F5F">
          <w:rPr>
            <w:rStyle w:val="Hyperlink"/>
          </w:rPr>
          <w:noBreakHyphen/>
          <w:t xml:space="preserve">1: </w:t>
        </w:r>
        <w:r w:rsidR="00C44A90">
          <w:rPr>
            <w:rStyle w:val="Hyperlink"/>
          </w:rPr>
          <w:tab/>
        </w:r>
        <w:r w:rsidR="00C44A90" w:rsidRPr="00E64F5F">
          <w:rPr>
            <w:rStyle w:val="Hyperlink"/>
          </w:rPr>
          <w:t>New resource qualifications for participation in the FCAs.</w:t>
        </w:r>
        <w:r w:rsidR="00C44A90">
          <w:rPr>
            <w:webHidden/>
          </w:rPr>
          <w:tab/>
        </w:r>
        <w:r>
          <w:rPr>
            <w:webHidden/>
          </w:rPr>
          <w:fldChar w:fldCharType="begin"/>
        </w:r>
        <w:r w:rsidR="00C44A90">
          <w:rPr>
            <w:webHidden/>
          </w:rPr>
          <w:instrText xml:space="preserve"> PAGEREF _Toc271552372 \h </w:instrText>
        </w:r>
        <w:r>
          <w:rPr>
            <w:webHidden/>
          </w:rPr>
        </w:r>
        <w:r>
          <w:rPr>
            <w:webHidden/>
          </w:rPr>
          <w:fldChar w:fldCharType="separate"/>
        </w:r>
        <w:r w:rsidR="00E5699E">
          <w:rPr>
            <w:webHidden/>
          </w:rPr>
          <w:t>44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3" w:history="1">
        <w:r w:rsidR="00C44A90" w:rsidRPr="00E64F5F">
          <w:rPr>
            <w:rStyle w:val="Hyperlink"/>
          </w:rPr>
          <w:t>Figure 4</w:t>
        </w:r>
        <w:r w:rsidR="00C44A90" w:rsidRPr="00E64F5F">
          <w:rPr>
            <w:rStyle w:val="Hyperlink"/>
          </w:rPr>
          <w:noBreakHyphen/>
          <w:t xml:space="preserve">2: </w:t>
        </w:r>
        <w:r w:rsidR="00C44A90">
          <w:rPr>
            <w:rStyle w:val="Hyperlink"/>
          </w:rPr>
          <w:tab/>
        </w:r>
        <w:r w:rsidR="00C44A90" w:rsidRPr="00E64F5F">
          <w:rPr>
            <w:rStyle w:val="Hyperlink"/>
          </w:rPr>
          <w:t>Projected summer operable capacity analysis, 2010 to 2019.</w:t>
        </w:r>
        <w:r w:rsidR="00C44A90">
          <w:rPr>
            <w:webHidden/>
          </w:rPr>
          <w:tab/>
        </w:r>
        <w:r>
          <w:rPr>
            <w:webHidden/>
          </w:rPr>
          <w:fldChar w:fldCharType="begin"/>
        </w:r>
        <w:r w:rsidR="00C44A90">
          <w:rPr>
            <w:webHidden/>
          </w:rPr>
          <w:instrText xml:space="preserve"> PAGEREF _Toc271552373 \h </w:instrText>
        </w:r>
        <w:r>
          <w:rPr>
            <w:webHidden/>
          </w:rPr>
        </w:r>
        <w:r>
          <w:rPr>
            <w:webHidden/>
          </w:rPr>
          <w:fldChar w:fldCharType="separate"/>
        </w:r>
        <w:r w:rsidR="00E5699E">
          <w:rPr>
            <w:webHidden/>
          </w:rPr>
          <w:t>46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4" w:history="1">
        <w:r w:rsidR="00C44A90" w:rsidRPr="00E64F5F">
          <w:rPr>
            <w:rStyle w:val="Hyperlink"/>
          </w:rPr>
          <w:t>Figure 4</w:t>
        </w:r>
        <w:r w:rsidR="00C44A90" w:rsidRPr="00E64F5F">
          <w:rPr>
            <w:rStyle w:val="Hyperlink"/>
          </w:rPr>
          <w:noBreakHyphen/>
          <w:t xml:space="preserve">3: </w:t>
        </w:r>
        <w:r w:rsidR="00C44A90">
          <w:rPr>
            <w:rStyle w:val="Hyperlink"/>
          </w:rPr>
          <w:tab/>
        </w:r>
        <w:r w:rsidR="00C44A90" w:rsidRPr="00E64F5F">
          <w:rPr>
            <w:rStyle w:val="Hyperlink"/>
          </w:rPr>
          <w:t>Capacity of generation-interconnection requests by RSP subarea.</w:t>
        </w:r>
        <w:r w:rsidR="00C44A90">
          <w:rPr>
            <w:webHidden/>
          </w:rPr>
          <w:tab/>
        </w:r>
        <w:r>
          <w:rPr>
            <w:webHidden/>
          </w:rPr>
          <w:fldChar w:fldCharType="begin"/>
        </w:r>
        <w:r w:rsidR="00C44A90">
          <w:rPr>
            <w:webHidden/>
          </w:rPr>
          <w:instrText xml:space="preserve"> PAGEREF _Toc271552374 \h </w:instrText>
        </w:r>
        <w:r>
          <w:rPr>
            <w:webHidden/>
          </w:rPr>
        </w:r>
        <w:r>
          <w:rPr>
            <w:webHidden/>
          </w:rPr>
          <w:fldChar w:fldCharType="separate"/>
        </w:r>
        <w:r w:rsidR="00E5699E">
          <w:rPr>
            <w:webHidden/>
          </w:rPr>
          <w:t>48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5" w:history="1">
        <w:r w:rsidR="00C44A90" w:rsidRPr="00E64F5F">
          <w:rPr>
            <w:rStyle w:val="Hyperlink"/>
          </w:rPr>
          <w:t>Figure 4</w:t>
        </w:r>
        <w:r w:rsidR="00C44A90" w:rsidRPr="00E64F5F">
          <w:rPr>
            <w:rStyle w:val="Hyperlink"/>
          </w:rPr>
          <w:noBreakHyphen/>
          <w:t xml:space="preserve">4: </w:t>
        </w:r>
        <w:r w:rsidR="00C44A90">
          <w:rPr>
            <w:rStyle w:val="Hyperlink"/>
          </w:rPr>
          <w:tab/>
        </w:r>
        <w:r w:rsidR="00C44A90" w:rsidRPr="00E64F5F">
          <w:rPr>
            <w:rStyle w:val="Hyperlink"/>
          </w:rPr>
          <w:t>Resources in the ISO Generator Interconnection Queue, by state and fuel type, as of </w:t>
        </w:r>
        <w:r w:rsidR="00E05D2C" w:rsidRPr="00E64F5F">
          <w:rPr>
            <w:rStyle w:val="Hyperlink"/>
          </w:rPr>
          <w:t>April</w:t>
        </w:r>
        <w:r w:rsidR="00E05D2C">
          <w:rPr>
            <w:rStyle w:val="Hyperlink"/>
          </w:rPr>
          <w:t> </w:t>
        </w:r>
        <w:r w:rsidR="00C44A90" w:rsidRPr="00E64F5F">
          <w:rPr>
            <w:rStyle w:val="Hyperlink"/>
          </w:rPr>
          <w:t>1, 2010 (MW and %).</w:t>
        </w:r>
        <w:r w:rsidR="00C44A90">
          <w:rPr>
            <w:webHidden/>
          </w:rPr>
          <w:tab/>
        </w:r>
        <w:r>
          <w:rPr>
            <w:webHidden/>
          </w:rPr>
          <w:fldChar w:fldCharType="begin"/>
        </w:r>
        <w:r w:rsidR="00C44A90">
          <w:rPr>
            <w:webHidden/>
          </w:rPr>
          <w:instrText xml:space="preserve"> PAGEREF _Toc271552375 \h </w:instrText>
        </w:r>
        <w:r>
          <w:rPr>
            <w:webHidden/>
          </w:rPr>
        </w:r>
        <w:r>
          <w:rPr>
            <w:webHidden/>
          </w:rPr>
          <w:fldChar w:fldCharType="separate"/>
        </w:r>
        <w:r w:rsidR="00E5699E">
          <w:rPr>
            <w:webHidden/>
          </w:rPr>
          <w:t>49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6" w:history="1">
        <w:r w:rsidR="00C44A90" w:rsidRPr="00E64F5F">
          <w:rPr>
            <w:rStyle w:val="Hyperlink"/>
          </w:rPr>
          <w:t>Figure 6</w:t>
        </w:r>
        <w:r w:rsidR="00C44A90" w:rsidRPr="00E64F5F">
          <w:rPr>
            <w:rStyle w:val="Hyperlink"/>
          </w:rPr>
          <w:noBreakHyphen/>
          <w:t xml:space="preserve">1: </w:t>
        </w:r>
        <w:r w:rsidR="00C44A90">
          <w:rPr>
            <w:rStyle w:val="Hyperlink"/>
          </w:rPr>
          <w:tab/>
        </w:r>
        <w:r w:rsidR="00C44A90" w:rsidRPr="00E64F5F">
          <w:rPr>
            <w:rStyle w:val="Hyperlink"/>
          </w:rPr>
          <w:t>Map of constraints in southern New England.</w:t>
        </w:r>
        <w:r w:rsidR="00C44A90">
          <w:rPr>
            <w:webHidden/>
          </w:rPr>
          <w:tab/>
        </w:r>
        <w:r>
          <w:rPr>
            <w:webHidden/>
          </w:rPr>
          <w:fldChar w:fldCharType="begin"/>
        </w:r>
        <w:r w:rsidR="00C44A90">
          <w:rPr>
            <w:webHidden/>
          </w:rPr>
          <w:instrText xml:space="preserve"> PAGEREF _Toc271552376 \h </w:instrText>
        </w:r>
        <w:r>
          <w:rPr>
            <w:webHidden/>
          </w:rPr>
        </w:r>
        <w:r>
          <w:rPr>
            <w:webHidden/>
          </w:rPr>
          <w:fldChar w:fldCharType="separate"/>
        </w:r>
        <w:r w:rsidR="00E5699E">
          <w:rPr>
            <w:webHidden/>
          </w:rPr>
          <w:t>77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7" w:history="1">
        <w:r w:rsidR="00C44A90" w:rsidRPr="00E64F5F">
          <w:rPr>
            <w:rStyle w:val="Hyperlink"/>
          </w:rPr>
          <w:t>Figure 7</w:t>
        </w:r>
        <w:r w:rsidR="00C44A90" w:rsidRPr="00E64F5F">
          <w:rPr>
            <w:rStyle w:val="Hyperlink"/>
          </w:rPr>
          <w:noBreakHyphen/>
          <w:t xml:space="preserve">1: </w:t>
        </w:r>
        <w:r w:rsidR="00C44A90">
          <w:rPr>
            <w:rStyle w:val="Hyperlink"/>
          </w:rPr>
          <w:tab/>
        </w:r>
        <w:r w:rsidR="00C44A90" w:rsidRPr="00E64F5F">
          <w:rPr>
            <w:rStyle w:val="Hyperlink"/>
          </w:rPr>
          <w:t>Generation capacity mix by primary fuel type, 2010 summer ratings (MW and %).</w:t>
        </w:r>
        <w:r w:rsidR="00C44A90">
          <w:rPr>
            <w:webHidden/>
          </w:rPr>
          <w:tab/>
        </w:r>
        <w:r>
          <w:rPr>
            <w:webHidden/>
          </w:rPr>
          <w:fldChar w:fldCharType="begin"/>
        </w:r>
        <w:r w:rsidR="00C44A90">
          <w:rPr>
            <w:webHidden/>
          </w:rPr>
          <w:instrText xml:space="preserve"> PAGEREF _Toc271552377 \h </w:instrText>
        </w:r>
        <w:r>
          <w:rPr>
            <w:webHidden/>
          </w:rPr>
        </w:r>
        <w:r>
          <w:rPr>
            <w:webHidden/>
          </w:rPr>
          <w:fldChar w:fldCharType="separate"/>
        </w:r>
        <w:r w:rsidR="00E5699E">
          <w:rPr>
            <w:webHidden/>
          </w:rPr>
          <w:t>92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8" w:history="1">
        <w:r w:rsidR="00C44A90" w:rsidRPr="00E64F5F">
          <w:rPr>
            <w:rStyle w:val="Hyperlink"/>
          </w:rPr>
          <w:t>Figure 7</w:t>
        </w:r>
        <w:r w:rsidR="00C44A90" w:rsidRPr="00E64F5F">
          <w:rPr>
            <w:rStyle w:val="Hyperlink"/>
          </w:rPr>
          <w:noBreakHyphen/>
          <w:t xml:space="preserve">2: </w:t>
        </w:r>
        <w:r w:rsidR="00C44A90">
          <w:rPr>
            <w:rStyle w:val="Hyperlink"/>
          </w:rPr>
          <w:tab/>
        </w:r>
        <w:r w:rsidR="00C44A90" w:rsidRPr="00E64F5F">
          <w:rPr>
            <w:rStyle w:val="Hyperlink"/>
          </w:rPr>
          <w:t>New England electric energy production in 2009, by fuel type.</w:t>
        </w:r>
        <w:r w:rsidR="00C44A90">
          <w:rPr>
            <w:webHidden/>
          </w:rPr>
          <w:tab/>
        </w:r>
        <w:r>
          <w:rPr>
            <w:webHidden/>
          </w:rPr>
          <w:fldChar w:fldCharType="begin"/>
        </w:r>
        <w:r w:rsidR="00C44A90">
          <w:rPr>
            <w:webHidden/>
          </w:rPr>
          <w:instrText xml:space="preserve"> PAGEREF _Toc271552378 \h </w:instrText>
        </w:r>
        <w:r>
          <w:rPr>
            <w:webHidden/>
          </w:rPr>
        </w:r>
        <w:r>
          <w:rPr>
            <w:webHidden/>
          </w:rPr>
          <w:fldChar w:fldCharType="separate"/>
        </w:r>
        <w:r w:rsidR="00E5699E">
          <w:rPr>
            <w:webHidden/>
          </w:rPr>
          <w:t>93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79" w:history="1">
        <w:r w:rsidR="00C44A90" w:rsidRPr="00E64F5F">
          <w:rPr>
            <w:rStyle w:val="Hyperlink"/>
          </w:rPr>
          <w:t>Figure 7</w:t>
        </w:r>
        <w:r w:rsidR="00C44A90" w:rsidRPr="00E64F5F">
          <w:rPr>
            <w:rStyle w:val="Hyperlink"/>
          </w:rPr>
          <w:noBreakHyphen/>
          <w:t xml:space="preserve">3: </w:t>
        </w:r>
        <w:r w:rsidR="00C44A90">
          <w:rPr>
            <w:rStyle w:val="Hyperlink"/>
          </w:rPr>
          <w:tab/>
        </w:r>
        <w:r w:rsidR="00C44A90" w:rsidRPr="00E64F5F">
          <w:rPr>
            <w:rStyle w:val="Hyperlink"/>
          </w:rPr>
          <w:t>Recent generating capacity additions, 2000 to 20</w:t>
        </w:r>
        <w:r w:rsidR="007E78A9">
          <w:rPr>
            <w:rStyle w:val="Hyperlink"/>
          </w:rPr>
          <w:t>09</w:t>
        </w:r>
        <w:r w:rsidR="00C44A90" w:rsidRPr="00E64F5F">
          <w:rPr>
            <w:rStyle w:val="Hyperlink"/>
          </w:rPr>
          <w:t>.</w:t>
        </w:r>
        <w:r w:rsidR="00C44A90">
          <w:rPr>
            <w:webHidden/>
          </w:rPr>
          <w:tab/>
        </w:r>
        <w:r>
          <w:rPr>
            <w:webHidden/>
          </w:rPr>
          <w:fldChar w:fldCharType="begin"/>
        </w:r>
        <w:r w:rsidR="00C44A90">
          <w:rPr>
            <w:webHidden/>
          </w:rPr>
          <w:instrText xml:space="preserve"> PAGEREF _Toc271552379 \h </w:instrText>
        </w:r>
        <w:r>
          <w:rPr>
            <w:webHidden/>
          </w:rPr>
        </w:r>
        <w:r>
          <w:rPr>
            <w:webHidden/>
          </w:rPr>
          <w:fldChar w:fldCharType="separate"/>
        </w:r>
        <w:r w:rsidR="00E5699E">
          <w:rPr>
            <w:webHidden/>
          </w:rPr>
          <w:t>98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0" w:history="1">
        <w:r w:rsidR="00C44A90" w:rsidRPr="00E64F5F">
          <w:rPr>
            <w:rStyle w:val="Hyperlink"/>
          </w:rPr>
          <w:t>Figure 7</w:t>
        </w:r>
        <w:r w:rsidR="00C44A90" w:rsidRPr="00E64F5F">
          <w:rPr>
            <w:rStyle w:val="Hyperlink"/>
          </w:rPr>
          <w:noBreakHyphen/>
          <w:t xml:space="preserve">4: </w:t>
        </w:r>
        <w:r w:rsidR="00C44A90">
          <w:rPr>
            <w:rStyle w:val="Hyperlink"/>
          </w:rPr>
          <w:tab/>
        </w:r>
        <w:r w:rsidR="00C44A90" w:rsidRPr="00E64F5F">
          <w:rPr>
            <w:rStyle w:val="Hyperlink"/>
          </w:rPr>
          <w:t>Shift in New England’s fuel mix, from 2000 to 2009.</w:t>
        </w:r>
        <w:r w:rsidR="00C44A90">
          <w:rPr>
            <w:webHidden/>
          </w:rPr>
          <w:tab/>
        </w:r>
        <w:r>
          <w:rPr>
            <w:webHidden/>
          </w:rPr>
          <w:fldChar w:fldCharType="begin"/>
        </w:r>
        <w:r w:rsidR="00C44A90">
          <w:rPr>
            <w:webHidden/>
          </w:rPr>
          <w:instrText xml:space="preserve"> PAGEREF _Toc271552380 \h </w:instrText>
        </w:r>
        <w:r>
          <w:rPr>
            <w:webHidden/>
          </w:rPr>
        </w:r>
        <w:r>
          <w:rPr>
            <w:webHidden/>
          </w:rPr>
          <w:fldChar w:fldCharType="separate"/>
        </w:r>
        <w:r w:rsidR="00E5699E">
          <w:rPr>
            <w:webHidden/>
          </w:rPr>
          <w:t>102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1" w:history="1">
        <w:r w:rsidR="00C44A90" w:rsidRPr="00E64F5F">
          <w:rPr>
            <w:rStyle w:val="Hyperlink"/>
          </w:rPr>
          <w:t>Figure 8</w:t>
        </w:r>
        <w:r w:rsidR="00C44A90" w:rsidRPr="00E64F5F">
          <w:rPr>
            <w:rStyle w:val="Hyperlink"/>
          </w:rPr>
          <w:noBreakHyphen/>
          <w:t xml:space="preserve">1: </w:t>
        </w:r>
        <w:r w:rsidR="00C44A90">
          <w:rPr>
            <w:rStyle w:val="Hyperlink"/>
          </w:rPr>
          <w:tab/>
        </w:r>
        <w:r w:rsidR="00C44A90" w:rsidRPr="00E64F5F">
          <w:rPr>
            <w:rStyle w:val="Hyperlink"/>
          </w:rPr>
          <w:t>Average seasonal concentrations of ozone in the Northeast, 2007 to 2009 (ppb)</w:t>
        </w:r>
        <w:r w:rsidR="002C6216">
          <w:rPr>
            <w:rStyle w:val="Hyperlink"/>
          </w:rPr>
          <w:t>.</w:t>
        </w:r>
        <w:r w:rsidR="00C44A90">
          <w:rPr>
            <w:webHidden/>
          </w:rPr>
          <w:tab/>
        </w:r>
        <w:r>
          <w:rPr>
            <w:webHidden/>
          </w:rPr>
          <w:fldChar w:fldCharType="begin"/>
        </w:r>
        <w:r w:rsidR="00C44A90">
          <w:rPr>
            <w:webHidden/>
          </w:rPr>
          <w:instrText xml:space="preserve"> PAGEREF _Toc271552381 \h </w:instrText>
        </w:r>
        <w:r>
          <w:rPr>
            <w:webHidden/>
          </w:rPr>
        </w:r>
        <w:r>
          <w:rPr>
            <w:webHidden/>
          </w:rPr>
          <w:fldChar w:fldCharType="separate"/>
        </w:r>
        <w:r w:rsidR="00E5699E">
          <w:rPr>
            <w:webHidden/>
          </w:rPr>
          <w:t>106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2" w:history="1">
        <w:r w:rsidR="00C44A90" w:rsidRPr="00E64F5F">
          <w:rPr>
            <w:rStyle w:val="Hyperlink"/>
          </w:rPr>
          <w:t>Figure 8</w:t>
        </w:r>
        <w:r w:rsidR="00C44A90" w:rsidRPr="00E64F5F">
          <w:rPr>
            <w:rStyle w:val="Hyperlink"/>
          </w:rPr>
          <w:noBreakHyphen/>
          <w:t xml:space="preserve">2: </w:t>
        </w:r>
        <w:r w:rsidR="00C44A90">
          <w:rPr>
            <w:rStyle w:val="Hyperlink"/>
          </w:rPr>
          <w:tab/>
        </w:r>
        <w:r w:rsidR="00C44A90" w:rsidRPr="00E64F5F">
          <w:rPr>
            <w:rStyle w:val="Hyperlink"/>
          </w:rPr>
          <w:t>New England system generation hourly NO</w:t>
        </w:r>
        <w:r w:rsidR="00C44A90" w:rsidRPr="00E64F5F">
          <w:rPr>
            <w:rStyle w:val="Hyperlink"/>
            <w:vertAlign w:val="subscript"/>
          </w:rPr>
          <w:t>X</w:t>
        </w:r>
        <w:r w:rsidR="00C44A90" w:rsidRPr="00E64F5F">
          <w:rPr>
            <w:rStyle w:val="Hyperlink"/>
          </w:rPr>
          <w:t xml:space="preserve"> emissions on the five highest peak-load days,</w:t>
        </w:r>
        <w:r w:rsidR="00C44A90">
          <w:rPr>
            <w:rStyle w:val="Hyperlink"/>
          </w:rPr>
          <w:br/>
        </w:r>
        <w:r w:rsidR="00C44A90" w:rsidRPr="00E64F5F">
          <w:rPr>
            <w:rStyle w:val="Hyperlink"/>
          </w:rPr>
          <w:t>2005 to 2008.</w:t>
        </w:r>
        <w:r w:rsidR="00C44A90">
          <w:rPr>
            <w:webHidden/>
          </w:rPr>
          <w:tab/>
        </w:r>
        <w:r>
          <w:rPr>
            <w:webHidden/>
          </w:rPr>
          <w:fldChar w:fldCharType="begin"/>
        </w:r>
        <w:r w:rsidR="00C44A90">
          <w:rPr>
            <w:webHidden/>
          </w:rPr>
          <w:instrText xml:space="preserve"> PAGEREF _Toc271552382 \h </w:instrText>
        </w:r>
        <w:r>
          <w:rPr>
            <w:webHidden/>
          </w:rPr>
        </w:r>
        <w:r>
          <w:rPr>
            <w:webHidden/>
          </w:rPr>
          <w:fldChar w:fldCharType="separate"/>
        </w:r>
        <w:r w:rsidR="00E5699E">
          <w:rPr>
            <w:webHidden/>
          </w:rPr>
          <w:t>112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3" w:history="1">
        <w:r w:rsidR="00C44A90" w:rsidRPr="00E64F5F">
          <w:rPr>
            <w:rStyle w:val="Hyperlink"/>
          </w:rPr>
          <w:t>Figure 8</w:t>
        </w:r>
        <w:r w:rsidR="00C44A90" w:rsidRPr="00E64F5F">
          <w:rPr>
            <w:rStyle w:val="Hyperlink"/>
          </w:rPr>
          <w:noBreakHyphen/>
          <w:t xml:space="preserve">3: </w:t>
        </w:r>
        <w:r w:rsidR="00C44A90">
          <w:rPr>
            <w:rStyle w:val="Hyperlink"/>
          </w:rPr>
          <w:tab/>
        </w:r>
        <w:r w:rsidR="00C44A90" w:rsidRPr="00E64F5F">
          <w:rPr>
            <w:rStyle w:val="Hyperlink"/>
          </w:rPr>
          <w:t>Hourly NO</w:t>
        </w:r>
        <w:r w:rsidR="00C44A90" w:rsidRPr="00E64F5F">
          <w:rPr>
            <w:rStyle w:val="Hyperlink"/>
            <w:vertAlign w:val="subscript"/>
          </w:rPr>
          <w:t>X</w:t>
        </w:r>
        <w:r w:rsidR="00C44A90" w:rsidRPr="00E64F5F">
          <w:rPr>
            <w:rStyle w:val="Hyperlink"/>
          </w:rPr>
          <w:t xml:space="preserve"> emissions for the last </w:t>
        </w:r>
        <w:r w:rsidR="00B305E5">
          <w:rPr>
            <w:rStyle w:val="Hyperlink"/>
          </w:rPr>
          <w:t xml:space="preserve">dispatched </w:t>
        </w:r>
        <w:r w:rsidR="00C44A90" w:rsidRPr="00E64F5F">
          <w:rPr>
            <w:rStyle w:val="Hyperlink"/>
          </w:rPr>
          <w:t>500 MW of thermal generation</w:t>
        </w:r>
        <w:r w:rsidR="00441616">
          <w:rPr>
            <w:rStyle w:val="Hyperlink"/>
          </w:rPr>
          <w:br/>
        </w:r>
        <w:r w:rsidR="00B305E5">
          <w:rPr>
            <w:rStyle w:val="Hyperlink"/>
          </w:rPr>
          <w:t xml:space="preserve">on </w:t>
        </w:r>
        <w:r w:rsidR="00C44A90" w:rsidRPr="00E64F5F">
          <w:rPr>
            <w:rStyle w:val="Hyperlink"/>
          </w:rPr>
          <w:t>the peak</w:t>
        </w:r>
        <w:r w:rsidR="00B305E5">
          <w:rPr>
            <w:rStyle w:val="Hyperlink"/>
          </w:rPr>
          <w:t>-</w:t>
        </w:r>
        <w:r w:rsidR="00C44A90" w:rsidRPr="00E64F5F">
          <w:rPr>
            <w:rStyle w:val="Hyperlink"/>
          </w:rPr>
          <w:t>load</w:t>
        </w:r>
        <w:r w:rsidR="00B305E5">
          <w:rPr>
            <w:rStyle w:val="Hyperlink"/>
          </w:rPr>
          <w:t xml:space="preserve"> day, </w:t>
        </w:r>
        <w:r w:rsidR="00C44A90" w:rsidRPr="00E64F5F">
          <w:rPr>
            <w:rStyle w:val="Hyperlink"/>
          </w:rPr>
          <w:t>August 2, 2006.</w:t>
        </w:r>
        <w:r w:rsidR="00C44A90">
          <w:rPr>
            <w:webHidden/>
          </w:rPr>
          <w:tab/>
        </w:r>
        <w:r>
          <w:rPr>
            <w:webHidden/>
          </w:rPr>
          <w:fldChar w:fldCharType="begin"/>
        </w:r>
        <w:r w:rsidR="00C44A90">
          <w:rPr>
            <w:webHidden/>
          </w:rPr>
          <w:instrText xml:space="preserve"> PAGEREF _Toc271552383 \h </w:instrText>
        </w:r>
        <w:r>
          <w:rPr>
            <w:webHidden/>
          </w:rPr>
        </w:r>
        <w:r>
          <w:rPr>
            <w:webHidden/>
          </w:rPr>
          <w:fldChar w:fldCharType="separate"/>
        </w:r>
        <w:r w:rsidR="00E5699E">
          <w:rPr>
            <w:webHidden/>
          </w:rPr>
          <w:t>113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4" w:history="1">
        <w:r w:rsidR="00C44A90" w:rsidRPr="00E64F5F">
          <w:rPr>
            <w:rStyle w:val="Hyperlink"/>
          </w:rPr>
          <w:t>Figure 8</w:t>
        </w:r>
        <w:r w:rsidR="00C44A90" w:rsidRPr="00E64F5F">
          <w:rPr>
            <w:rStyle w:val="Hyperlink"/>
          </w:rPr>
          <w:noBreakHyphen/>
          <w:t xml:space="preserve">4: </w:t>
        </w:r>
        <w:r w:rsidR="00C44A90">
          <w:rPr>
            <w:rStyle w:val="Hyperlink"/>
          </w:rPr>
          <w:tab/>
        </w:r>
        <w:r w:rsidR="00C44A90" w:rsidRPr="00E64F5F">
          <w:rPr>
            <w:rStyle w:val="Hyperlink"/>
          </w:rPr>
          <w:t>Projected cumulative targets for renewables and energy efficiency based on RPSs</w:t>
        </w:r>
        <w:r w:rsidR="00C44A90">
          <w:rPr>
            <w:rStyle w:val="Hyperlink"/>
          </w:rPr>
          <w:br/>
        </w:r>
        <w:r w:rsidR="00C44A90" w:rsidRPr="00E64F5F">
          <w:rPr>
            <w:rStyle w:val="Hyperlink"/>
          </w:rPr>
          <w:t>and related policies, 2010 to 2020.</w:t>
        </w:r>
        <w:r w:rsidR="00C44A90">
          <w:rPr>
            <w:webHidden/>
          </w:rPr>
          <w:tab/>
        </w:r>
        <w:r>
          <w:rPr>
            <w:webHidden/>
          </w:rPr>
          <w:fldChar w:fldCharType="begin"/>
        </w:r>
        <w:r w:rsidR="00C44A90">
          <w:rPr>
            <w:webHidden/>
          </w:rPr>
          <w:instrText xml:space="preserve"> PAGEREF _Toc271552384 \h </w:instrText>
        </w:r>
        <w:r>
          <w:rPr>
            <w:webHidden/>
          </w:rPr>
        </w:r>
        <w:r>
          <w:rPr>
            <w:webHidden/>
          </w:rPr>
          <w:fldChar w:fldCharType="separate"/>
        </w:r>
        <w:r w:rsidR="00E5699E">
          <w:rPr>
            <w:webHidden/>
          </w:rPr>
          <w:t>128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5" w:history="1">
        <w:r w:rsidR="00C44A90" w:rsidRPr="00E64F5F">
          <w:rPr>
            <w:rStyle w:val="Hyperlink"/>
          </w:rPr>
          <w:t>Figure 8</w:t>
        </w:r>
        <w:r w:rsidR="00C44A90" w:rsidRPr="00E64F5F">
          <w:rPr>
            <w:rStyle w:val="Hyperlink"/>
          </w:rPr>
          <w:noBreakHyphen/>
          <w:t xml:space="preserve">5: </w:t>
        </w:r>
        <w:r w:rsidR="00C44A90">
          <w:rPr>
            <w:rStyle w:val="Hyperlink"/>
          </w:rPr>
          <w:tab/>
        </w:r>
        <w:r w:rsidR="00C44A90" w:rsidRPr="00E64F5F">
          <w:rPr>
            <w:rStyle w:val="Hyperlink"/>
          </w:rPr>
          <w:t>Cumulative RPS targets for new renewable resource classes beyond 2009, by state</w:t>
        </w:r>
        <w:r w:rsidR="00595483">
          <w:rPr>
            <w:rStyle w:val="Hyperlink"/>
          </w:rPr>
          <w:t xml:space="preserve"> (GWh)</w:t>
        </w:r>
        <w:r w:rsidR="00C44A90" w:rsidRPr="00E64F5F">
          <w:rPr>
            <w:rStyle w:val="Hyperlink"/>
          </w:rPr>
          <w:t>.</w:t>
        </w:r>
        <w:r w:rsidR="00C44A90">
          <w:rPr>
            <w:webHidden/>
          </w:rPr>
          <w:tab/>
        </w:r>
        <w:r>
          <w:rPr>
            <w:webHidden/>
          </w:rPr>
          <w:fldChar w:fldCharType="begin"/>
        </w:r>
        <w:r w:rsidR="00C44A90">
          <w:rPr>
            <w:webHidden/>
          </w:rPr>
          <w:instrText xml:space="preserve"> PAGEREF _Toc271552385 \h </w:instrText>
        </w:r>
        <w:r>
          <w:rPr>
            <w:webHidden/>
          </w:rPr>
        </w:r>
        <w:r>
          <w:rPr>
            <w:webHidden/>
          </w:rPr>
          <w:fldChar w:fldCharType="separate"/>
        </w:r>
        <w:r w:rsidR="00E5699E">
          <w:rPr>
            <w:webHidden/>
          </w:rPr>
          <w:t>130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6" w:history="1">
        <w:r w:rsidR="00C44A90" w:rsidRPr="00E64F5F">
          <w:rPr>
            <w:rStyle w:val="Hyperlink"/>
          </w:rPr>
          <w:t>Figure 8</w:t>
        </w:r>
        <w:r w:rsidR="00C44A90" w:rsidRPr="00E64F5F">
          <w:rPr>
            <w:rStyle w:val="Hyperlink"/>
          </w:rPr>
          <w:noBreakHyphen/>
          <w:t xml:space="preserve">6: </w:t>
        </w:r>
        <w:r w:rsidR="00C44A90">
          <w:rPr>
            <w:rStyle w:val="Hyperlink"/>
          </w:rPr>
          <w:tab/>
        </w:r>
        <w:r w:rsidR="00C44A90" w:rsidRPr="00E64F5F">
          <w:rPr>
            <w:rStyle w:val="Hyperlink"/>
          </w:rPr>
          <w:t>Proposed New England renewable resources in the ISO Generator Interconnection Queue</w:t>
        </w:r>
        <w:r w:rsidR="00C44A90">
          <w:rPr>
            <w:rStyle w:val="Hyperlink"/>
          </w:rPr>
          <w:br/>
        </w:r>
        <w:r w:rsidR="00C44A90" w:rsidRPr="00E64F5F">
          <w:rPr>
            <w:rStyle w:val="Hyperlink"/>
          </w:rPr>
          <w:t>as of April 1, 2010 (MW and %).</w:t>
        </w:r>
        <w:r w:rsidR="00C44A90">
          <w:rPr>
            <w:webHidden/>
          </w:rPr>
          <w:tab/>
        </w:r>
        <w:r>
          <w:rPr>
            <w:webHidden/>
          </w:rPr>
          <w:fldChar w:fldCharType="begin"/>
        </w:r>
        <w:r w:rsidR="00C44A90">
          <w:rPr>
            <w:webHidden/>
          </w:rPr>
          <w:instrText xml:space="preserve"> PAGEREF _Toc271552386 \h </w:instrText>
        </w:r>
        <w:r>
          <w:rPr>
            <w:webHidden/>
          </w:rPr>
        </w:r>
        <w:r>
          <w:rPr>
            <w:webHidden/>
          </w:rPr>
          <w:fldChar w:fldCharType="separate"/>
        </w:r>
        <w:r w:rsidR="00E5699E">
          <w:rPr>
            <w:webHidden/>
          </w:rPr>
          <w:t>130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7" w:history="1">
        <w:r w:rsidR="00C44A90" w:rsidRPr="00E64F5F">
          <w:rPr>
            <w:rStyle w:val="Hyperlink"/>
          </w:rPr>
          <w:t>Figure 8</w:t>
        </w:r>
        <w:r w:rsidR="00C44A90" w:rsidRPr="00E64F5F">
          <w:rPr>
            <w:rStyle w:val="Hyperlink"/>
          </w:rPr>
          <w:noBreakHyphen/>
          <w:t xml:space="preserve">7: </w:t>
        </w:r>
        <w:r w:rsidR="00C44A90">
          <w:rPr>
            <w:rStyle w:val="Hyperlink"/>
          </w:rPr>
          <w:tab/>
        </w:r>
        <w:r w:rsidR="00C44A90" w:rsidRPr="00E64F5F">
          <w:rPr>
            <w:rStyle w:val="Hyperlink"/>
          </w:rPr>
          <w:t>Estimated energy from proposed New England renewable resources in the ISO’s Generator Interconnection Queue (including affected non-FERC queue projects) as of April 1, 2010</w:t>
        </w:r>
        <w:r w:rsidR="00C44A90">
          <w:rPr>
            <w:rStyle w:val="Hyperlink"/>
          </w:rPr>
          <w:br/>
        </w:r>
        <w:r w:rsidR="00C44A90" w:rsidRPr="00E64F5F">
          <w:rPr>
            <w:rStyle w:val="Hyperlink"/>
          </w:rPr>
          <w:t>(GWh and %).</w:t>
        </w:r>
        <w:r w:rsidR="00C44A90">
          <w:rPr>
            <w:webHidden/>
          </w:rPr>
          <w:tab/>
        </w:r>
        <w:r>
          <w:rPr>
            <w:webHidden/>
          </w:rPr>
          <w:fldChar w:fldCharType="begin"/>
        </w:r>
        <w:r w:rsidR="00C44A90">
          <w:rPr>
            <w:webHidden/>
          </w:rPr>
          <w:instrText xml:space="preserve"> PAGEREF _Toc271552387 \h </w:instrText>
        </w:r>
        <w:r>
          <w:rPr>
            <w:webHidden/>
          </w:rPr>
        </w:r>
        <w:r>
          <w:rPr>
            <w:webHidden/>
          </w:rPr>
          <w:fldChar w:fldCharType="separate"/>
        </w:r>
        <w:r w:rsidR="00E5699E">
          <w:rPr>
            <w:webHidden/>
          </w:rPr>
          <w:t>132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8" w:history="1">
        <w:r w:rsidR="00C44A90" w:rsidRPr="00E64F5F">
          <w:rPr>
            <w:rStyle w:val="Hyperlink"/>
          </w:rPr>
          <w:t>Figure 8</w:t>
        </w:r>
        <w:r w:rsidR="00C44A90" w:rsidRPr="00E64F5F">
          <w:rPr>
            <w:rStyle w:val="Hyperlink"/>
          </w:rPr>
          <w:noBreakHyphen/>
          <w:t xml:space="preserve">8: </w:t>
        </w:r>
        <w:r w:rsidR="00C44A90">
          <w:rPr>
            <w:rStyle w:val="Hyperlink"/>
          </w:rPr>
          <w:tab/>
        </w:r>
        <w:r w:rsidR="00C44A90" w:rsidRPr="00E64F5F">
          <w:rPr>
            <w:rStyle w:val="Hyperlink"/>
          </w:rPr>
          <w:t>Various levels of estimated cumulative electric energy from new renewable projects</w:t>
        </w:r>
        <w:r w:rsidR="00C44A90">
          <w:rPr>
            <w:rStyle w:val="Hyperlink"/>
          </w:rPr>
          <w:br/>
        </w:r>
        <w:r w:rsidR="00C44A90" w:rsidRPr="00E64F5F">
          <w:rPr>
            <w:rStyle w:val="Hyperlink"/>
          </w:rPr>
          <w:t>in the ISO queue, as of April 1, 2010 (including affected non-FERC queue projects)</w:t>
        </w:r>
        <w:r w:rsidR="00C44A90">
          <w:rPr>
            <w:rStyle w:val="Hyperlink"/>
          </w:rPr>
          <w:br/>
        </w:r>
        <w:r w:rsidR="00C44A90" w:rsidRPr="00E64F5F">
          <w:rPr>
            <w:rStyle w:val="Hyperlink"/>
          </w:rPr>
          <w:t>compared with RPS demand by year.</w:t>
        </w:r>
        <w:r w:rsidR="00C44A90">
          <w:rPr>
            <w:webHidden/>
          </w:rPr>
          <w:tab/>
        </w:r>
        <w:r>
          <w:rPr>
            <w:webHidden/>
          </w:rPr>
          <w:fldChar w:fldCharType="begin"/>
        </w:r>
        <w:r w:rsidR="00C44A90">
          <w:rPr>
            <w:webHidden/>
          </w:rPr>
          <w:instrText xml:space="preserve"> PAGEREF _Toc271552388 \h </w:instrText>
        </w:r>
        <w:r>
          <w:rPr>
            <w:webHidden/>
          </w:rPr>
        </w:r>
        <w:r>
          <w:rPr>
            <w:webHidden/>
          </w:rPr>
          <w:fldChar w:fldCharType="separate"/>
        </w:r>
        <w:r w:rsidR="00E5699E">
          <w:rPr>
            <w:webHidden/>
          </w:rPr>
          <w:t>134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89" w:history="1">
        <w:r w:rsidR="00C44A90" w:rsidRPr="00E64F5F">
          <w:rPr>
            <w:rStyle w:val="Hyperlink"/>
          </w:rPr>
          <w:t>Figure 9</w:t>
        </w:r>
        <w:r w:rsidR="00C44A90" w:rsidRPr="00E64F5F">
          <w:rPr>
            <w:rStyle w:val="Hyperlink"/>
          </w:rPr>
          <w:noBreakHyphen/>
          <w:t xml:space="preserve">1: </w:t>
        </w:r>
        <w:r w:rsidR="00C44A90">
          <w:rPr>
            <w:rStyle w:val="Hyperlink"/>
          </w:rPr>
          <w:tab/>
        </w:r>
        <w:r w:rsidR="00C44A90" w:rsidRPr="00E64F5F">
          <w:rPr>
            <w:rStyle w:val="Hyperlink"/>
          </w:rPr>
          <w:t>Active-demand-resource dispatch zones in the ISO New England system.</w:t>
        </w:r>
        <w:r w:rsidR="00C44A90">
          <w:rPr>
            <w:webHidden/>
          </w:rPr>
          <w:tab/>
        </w:r>
        <w:r>
          <w:rPr>
            <w:webHidden/>
          </w:rPr>
          <w:fldChar w:fldCharType="begin"/>
        </w:r>
        <w:r w:rsidR="00C44A90">
          <w:rPr>
            <w:webHidden/>
          </w:rPr>
          <w:instrText xml:space="preserve"> PAGEREF _Toc271552389 \h </w:instrText>
        </w:r>
        <w:r>
          <w:rPr>
            <w:webHidden/>
          </w:rPr>
        </w:r>
        <w:r>
          <w:rPr>
            <w:webHidden/>
          </w:rPr>
          <w:fldChar w:fldCharType="separate"/>
        </w:r>
        <w:r w:rsidR="00E5699E">
          <w:rPr>
            <w:webHidden/>
          </w:rPr>
          <w:t>142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0" w:history="1">
        <w:r w:rsidR="00C44A90" w:rsidRPr="00E64F5F">
          <w:rPr>
            <w:rStyle w:val="Hyperlink"/>
          </w:rPr>
          <w:t>Figure 9</w:t>
        </w:r>
        <w:r w:rsidR="00C44A90" w:rsidRPr="00E64F5F">
          <w:rPr>
            <w:rStyle w:val="Hyperlink"/>
          </w:rPr>
          <w:noBreakHyphen/>
          <w:t xml:space="preserve">2: </w:t>
        </w:r>
        <w:r w:rsidR="00C44A90">
          <w:rPr>
            <w:rStyle w:val="Hyperlink"/>
          </w:rPr>
          <w:tab/>
        </w:r>
        <w:r w:rsidR="00C44A90" w:rsidRPr="00E64F5F">
          <w:rPr>
            <w:rStyle w:val="Hyperlink"/>
          </w:rPr>
          <w:t>Planned and active wind projects in New England, 2010.</w:t>
        </w:r>
        <w:r w:rsidR="00C44A90">
          <w:rPr>
            <w:webHidden/>
          </w:rPr>
          <w:tab/>
        </w:r>
        <w:r>
          <w:rPr>
            <w:webHidden/>
          </w:rPr>
          <w:fldChar w:fldCharType="begin"/>
        </w:r>
        <w:r w:rsidR="00C44A90">
          <w:rPr>
            <w:webHidden/>
          </w:rPr>
          <w:instrText xml:space="preserve"> PAGEREF _Toc271552390 \h </w:instrText>
        </w:r>
        <w:r>
          <w:rPr>
            <w:webHidden/>
          </w:rPr>
        </w:r>
        <w:r>
          <w:rPr>
            <w:webHidden/>
          </w:rPr>
          <w:fldChar w:fldCharType="separate"/>
        </w:r>
        <w:r w:rsidR="00E5699E">
          <w:rPr>
            <w:webHidden/>
          </w:rPr>
          <w:t>145</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1" w:history="1">
        <w:r w:rsidR="00C44A90" w:rsidRPr="00E64F5F">
          <w:rPr>
            <w:rStyle w:val="Hyperlink"/>
          </w:rPr>
          <w:t>Figure 9</w:t>
        </w:r>
        <w:r w:rsidR="00C44A90" w:rsidRPr="00E64F5F">
          <w:rPr>
            <w:rStyle w:val="Hyperlink"/>
          </w:rPr>
          <w:noBreakHyphen/>
          <w:t xml:space="preserve">3: </w:t>
        </w:r>
        <w:r w:rsidR="00C44A90">
          <w:rPr>
            <w:rStyle w:val="Hyperlink"/>
          </w:rPr>
          <w:tab/>
        </w:r>
        <w:r w:rsidR="007E0354" w:rsidRPr="007E0354">
          <w:rPr>
            <w:rStyle w:val="Hyperlink"/>
          </w:rPr>
          <w:t>Annual average solar radiation in the United States, 1998 to 2005</w:t>
        </w:r>
        <w:r w:rsidR="00C44A90" w:rsidRPr="00E64F5F">
          <w:rPr>
            <w:rStyle w:val="Hyperlink"/>
          </w:rPr>
          <w:t>.</w:t>
        </w:r>
        <w:r w:rsidR="00C44A90">
          <w:rPr>
            <w:webHidden/>
          </w:rPr>
          <w:tab/>
        </w:r>
        <w:r>
          <w:rPr>
            <w:webHidden/>
          </w:rPr>
          <w:fldChar w:fldCharType="begin"/>
        </w:r>
        <w:r w:rsidR="00C44A90">
          <w:rPr>
            <w:webHidden/>
          </w:rPr>
          <w:instrText xml:space="preserve"> PAGEREF _Toc271552391 \h </w:instrText>
        </w:r>
        <w:r>
          <w:rPr>
            <w:webHidden/>
          </w:rPr>
        </w:r>
        <w:r>
          <w:rPr>
            <w:webHidden/>
          </w:rPr>
          <w:fldChar w:fldCharType="separate"/>
        </w:r>
        <w:r w:rsidR="00E5699E">
          <w:rPr>
            <w:webHidden/>
          </w:rPr>
          <w:t>148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2" w:history="1">
        <w:r w:rsidR="00C44A90" w:rsidRPr="00E64F5F">
          <w:rPr>
            <w:rStyle w:val="Hyperlink"/>
          </w:rPr>
          <w:t>Figure 9</w:t>
        </w:r>
        <w:r w:rsidR="00C44A90" w:rsidRPr="00E64F5F">
          <w:rPr>
            <w:rStyle w:val="Hyperlink"/>
          </w:rPr>
          <w:noBreakHyphen/>
          <w:t xml:space="preserve">4: </w:t>
        </w:r>
        <w:r w:rsidR="00C44A90">
          <w:rPr>
            <w:rStyle w:val="Hyperlink"/>
          </w:rPr>
          <w:tab/>
        </w:r>
        <w:r w:rsidR="00C44A90" w:rsidRPr="00E64F5F">
          <w:rPr>
            <w:rStyle w:val="Hyperlink"/>
          </w:rPr>
          <w:t>Estimated monthly output of a PV system based on a composite of solar data</w:t>
        </w:r>
        <w:r w:rsidR="008C5ECA">
          <w:rPr>
            <w:rStyle w:val="Hyperlink"/>
          </w:rPr>
          <w:br/>
        </w:r>
        <w:r w:rsidR="00C44A90" w:rsidRPr="00E64F5F">
          <w:rPr>
            <w:rStyle w:val="Hyperlink"/>
          </w:rPr>
          <w:t>for Boston and Hartford.</w:t>
        </w:r>
        <w:r w:rsidR="00C44A90">
          <w:rPr>
            <w:webHidden/>
          </w:rPr>
          <w:tab/>
        </w:r>
        <w:r>
          <w:rPr>
            <w:webHidden/>
          </w:rPr>
          <w:fldChar w:fldCharType="begin"/>
        </w:r>
        <w:r w:rsidR="00C44A90">
          <w:rPr>
            <w:webHidden/>
          </w:rPr>
          <w:instrText xml:space="preserve"> PAGEREF _Toc271552392 \h </w:instrText>
        </w:r>
        <w:r>
          <w:rPr>
            <w:webHidden/>
          </w:rPr>
        </w:r>
        <w:r>
          <w:rPr>
            <w:webHidden/>
          </w:rPr>
          <w:fldChar w:fldCharType="separate"/>
        </w:r>
        <w:r w:rsidR="00E5699E">
          <w:rPr>
            <w:webHidden/>
          </w:rPr>
          <w:t>149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3" w:history="1">
        <w:r w:rsidR="00C44A90" w:rsidRPr="00E64F5F">
          <w:rPr>
            <w:rStyle w:val="Hyperlink"/>
          </w:rPr>
          <w:t>Figure 10</w:t>
        </w:r>
        <w:r w:rsidR="00C44A90" w:rsidRPr="00E64F5F">
          <w:rPr>
            <w:rStyle w:val="Hyperlink"/>
          </w:rPr>
          <w:noBreakHyphen/>
          <w:t xml:space="preserve">1: </w:t>
        </w:r>
        <w:r w:rsidR="00C44A90">
          <w:rPr>
            <w:rStyle w:val="Hyperlink"/>
          </w:rPr>
          <w:tab/>
        </w:r>
        <w:r w:rsidR="00C44A90" w:rsidRPr="00E64F5F">
          <w:rPr>
            <w:rStyle w:val="Hyperlink"/>
          </w:rPr>
          <w:t>Transmission interfaces and RSP areas.</w:t>
        </w:r>
        <w:r w:rsidR="00C44A90">
          <w:rPr>
            <w:webHidden/>
          </w:rPr>
          <w:tab/>
        </w:r>
        <w:r>
          <w:rPr>
            <w:webHidden/>
          </w:rPr>
          <w:fldChar w:fldCharType="begin"/>
        </w:r>
        <w:r w:rsidR="00C44A90">
          <w:rPr>
            <w:webHidden/>
          </w:rPr>
          <w:instrText xml:space="preserve"> PAGEREF _Toc271552393 \h </w:instrText>
        </w:r>
        <w:r>
          <w:rPr>
            <w:webHidden/>
          </w:rPr>
        </w:r>
        <w:r>
          <w:rPr>
            <w:webHidden/>
          </w:rPr>
          <w:fldChar w:fldCharType="separate"/>
        </w:r>
        <w:r w:rsidR="00E5699E">
          <w:rPr>
            <w:webHidden/>
          </w:rPr>
          <w:t>156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4" w:history="1">
        <w:r w:rsidR="00C44A90" w:rsidRPr="00E64F5F">
          <w:rPr>
            <w:rStyle w:val="Hyperlink"/>
          </w:rPr>
          <w:t>Figure 10</w:t>
        </w:r>
        <w:r w:rsidR="00C44A90" w:rsidRPr="00E64F5F">
          <w:rPr>
            <w:rStyle w:val="Hyperlink"/>
          </w:rPr>
          <w:noBreakHyphen/>
          <w:t xml:space="preserve">2: </w:t>
        </w:r>
        <w:r w:rsidR="00C44A90">
          <w:rPr>
            <w:rStyle w:val="Hyperlink"/>
          </w:rPr>
          <w:tab/>
        </w:r>
        <w:r w:rsidR="00C44A90" w:rsidRPr="00E64F5F">
          <w:rPr>
            <w:rStyle w:val="Hyperlink"/>
          </w:rPr>
          <w:t>Transmission interfaces Group 1.</w:t>
        </w:r>
        <w:r w:rsidR="00C44A90">
          <w:rPr>
            <w:webHidden/>
          </w:rPr>
          <w:tab/>
        </w:r>
        <w:r>
          <w:rPr>
            <w:webHidden/>
          </w:rPr>
          <w:fldChar w:fldCharType="begin"/>
        </w:r>
        <w:r w:rsidR="00C44A90">
          <w:rPr>
            <w:webHidden/>
          </w:rPr>
          <w:instrText xml:space="preserve"> PAGEREF _Toc271552394 \h </w:instrText>
        </w:r>
        <w:r>
          <w:rPr>
            <w:webHidden/>
          </w:rPr>
        </w:r>
        <w:r>
          <w:rPr>
            <w:webHidden/>
          </w:rPr>
          <w:fldChar w:fldCharType="separate"/>
        </w:r>
        <w:r w:rsidR="00E5699E">
          <w:rPr>
            <w:webHidden/>
          </w:rPr>
          <w:t>158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5" w:history="1">
        <w:r w:rsidR="00C44A90" w:rsidRPr="00E64F5F">
          <w:rPr>
            <w:rStyle w:val="Hyperlink"/>
          </w:rPr>
          <w:t>Figure 10</w:t>
        </w:r>
        <w:r w:rsidR="00C44A90" w:rsidRPr="00E64F5F">
          <w:rPr>
            <w:rStyle w:val="Hyperlink"/>
          </w:rPr>
          <w:noBreakHyphen/>
          <w:t xml:space="preserve">3: </w:t>
        </w:r>
        <w:r w:rsidR="00C44A90">
          <w:rPr>
            <w:rStyle w:val="Hyperlink"/>
          </w:rPr>
          <w:tab/>
        </w:r>
        <w:r w:rsidR="00C44A90" w:rsidRPr="00E64F5F">
          <w:rPr>
            <w:rStyle w:val="Hyperlink"/>
          </w:rPr>
          <w:t>Transmission interfaces Group 2.</w:t>
        </w:r>
        <w:r w:rsidR="00C44A90">
          <w:rPr>
            <w:webHidden/>
          </w:rPr>
          <w:tab/>
        </w:r>
        <w:r>
          <w:rPr>
            <w:webHidden/>
          </w:rPr>
          <w:fldChar w:fldCharType="begin"/>
        </w:r>
        <w:r w:rsidR="00C44A90">
          <w:rPr>
            <w:webHidden/>
          </w:rPr>
          <w:instrText xml:space="preserve"> PAGEREF _Toc271552395 \h </w:instrText>
        </w:r>
        <w:r>
          <w:rPr>
            <w:webHidden/>
          </w:rPr>
        </w:r>
        <w:r>
          <w:rPr>
            <w:webHidden/>
          </w:rPr>
          <w:fldChar w:fldCharType="separate"/>
        </w:r>
        <w:r w:rsidR="00E5699E">
          <w:rPr>
            <w:webHidden/>
          </w:rPr>
          <w:t>158</w:t>
        </w:r>
        <w:r>
          <w:rPr>
            <w:webHidden/>
          </w:rPr>
          <w:fldChar w:fldCharType="end"/>
        </w:r>
      </w:hyperlink>
    </w:p>
    <w:p w:rsidR="00130F43" w:rsidRDefault="00832C7A" w:rsidP="00770EB0">
      <w:pPr>
        <w:spacing w:after="120"/>
        <w:sectPr w:rsidR="00130F43" w:rsidSect="00015282">
          <w:pgSz w:w="12240" w:h="15840"/>
          <w:pgMar w:top="1350" w:right="1440" w:bottom="1440" w:left="1440" w:header="720" w:footer="720" w:gutter="0"/>
          <w:pgNumType w:fmt="lowerRoman"/>
          <w:cols w:space="720"/>
          <w:docGrid w:linePitch="360"/>
        </w:sectPr>
      </w:pPr>
      <w:r>
        <w:fldChar w:fldCharType="end"/>
      </w:r>
    </w:p>
    <w:p w:rsidR="00FC4DCC" w:rsidRDefault="00FC4DCC" w:rsidP="00E41E3A">
      <w:pPr>
        <w:outlineLvl w:val="0"/>
        <w:rPr>
          <w:rFonts w:ascii="Arial" w:hAnsi="Arial" w:cs="Arial"/>
          <w:b/>
          <w:sz w:val="36"/>
          <w:szCs w:val="36"/>
        </w:rPr>
      </w:pPr>
      <w:bookmarkStart w:id="8" w:name="_Toc271632194"/>
      <w:r w:rsidRPr="006C25B1">
        <w:rPr>
          <w:rFonts w:ascii="Arial" w:hAnsi="Arial" w:cs="Arial"/>
          <w:b/>
          <w:sz w:val="36"/>
          <w:szCs w:val="36"/>
        </w:rPr>
        <w:t>Tables</w:t>
      </w:r>
      <w:bookmarkEnd w:id="8"/>
    </w:p>
    <w:p w:rsidR="00C44A90" w:rsidRDefault="00832C7A">
      <w:pPr>
        <w:pStyle w:val="TableofFigures"/>
        <w:rPr>
          <w:rFonts w:asciiTheme="minorHAnsi" w:eastAsiaTheme="minorEastAsia" w:hAnsiTheme="minorHAnsi" w:cstheme="minorBidi"/>
          <w:bCs w:val="0"/>
          <w:sz w:val="22"/>
          <w:szCs w:val="22"/>
        </w:rPr>
      </w:pPr>
      <w:r w:rsidRPr="00832C7A">
        <w:fldChar w:fldCharType="begin"/>
      </w:r>
      <w:r w:rsidR="00130F43">
        <w:instrText xml:space="preserve"> TOC \h \z \c "Table" </w:instrText>
      </w:r>
      <w:r w:rsidRPr="00832C7A">
        <w:fldChar w:fldCharType="separate"/>
      </w:r>
      <w:hyperlink w:anchor="_Toc271552396" w:history="1">
        <w:r w:rsidR="00C44A90" w:rsidRPr="00970548">
          <w:rPr>
            <w:rStyle w:val="Hyperlink"/>
          </w:rPr>
          <w:t>Table 3</w:t>
        </w:r>
        <w:r w:rsidR="00C44A90" w:rsidRPr="00970548">
          <w:rPr>
            <w:rStyle w:val="Hyperlink"/>
          </w:rPr>
          <w:noBreakHyphen/>
          <w:t xml:space="preserve">1 </w:t>
        </w:r>
        <w:r w:rsidR="00C44A90">
          <w:rPr>
            <w:rStyle w:val="Hyperlink"/>
          </w:rPr>
          <w:tab/>
        </w:r>
        <w:r w:rsidR="00C44A90" w:rsidRPr="00970548">
          <w:rPr>
            <w:rStyle w:val="Hyperlink"/>
          </w:rPr>
          <w:t>Summary of the Short-Run Forecasts of New England’s Annual Use of Electric Energy and 50/50 Peak Loads</w:t>
        </w:r>
        <w:r w:rsidR="00C44A90">
          <w:rPr>
            <w:webHidden/>
          </w:rPr>
          <w:tab/>
        </w:r>
        <w:r>
          <w:rPr>
            <w:webHidden/>
          </w:rPr>
          <w:fldChar w:fldCharType="begin"/>
        </w:r>
        <w:r w:rsidR="00C44A90">
          <w:rPr>
            <w:webHidden/>
          </w:rPr>
          <w:instrText xml:space="preserve"> PAGEREF _Toc271552396 \h </w:instrText>
        </w:r>
        <w:r>
          <w:rPr>
            <w:webHidden/>
          </w:rPr>
        </w:r>
        <w:r>
          <w:rPr>
            <w:webHidden/>
          </w:rPr>
          <w:fldChar w:fldCharType="separate"/>
        </w:r>
        <w:r w:rsidR="00E5699E">
          <w:rPr>
            <w:webHidden/>
          </w:rPr>
          <w:t>22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7" w:history="1">
        <w:r w:rsidR="00C44A90" w:rsidRPr="00970548">
          <w:rPr>
            <w:rStyle w:val="Hyperlink"/>
          </w:rPr>
          <w:t>Table 3</w:t>
        </w:r>
        <w:r w:rsidR="00C44A90" w:rsidRPr="00970548">
          <w:rPr>
            <w:rStyle w:val="Hyperlink"/>
          </w:rPr>
          <w:noBreakHyphen/>
          <w:t xml:space="preserve">2 </w:t>
        </w:r>
        <w:r w:rsidR="00C44A90">
          <w:rPr>
            <w:rStyle w:val="Hyperlink"/>
          </w:rPr>
          <w:tab/>
        </w:r>
        <w:r w:rsidR="00C44A90" w:rsidRPr="00970548">
          <w:rPr>
            <w:rStyle w:val="Hyperlink"/>
          </w:rPr>
          <w:t>Summary of Annual and Peak Use of Electric Energy for New England and the States</w:t>
        </w:r>
        <w:r w:rsidR="00C44A90">
          <w:rPr>
            <w:webHidden/>
          </w:rPr>
          <w:tab/>
        </w:r>
        <w:r>
          <w:rPr>
            <w:webHidden/>
          </w:rPr>
          <w:fldChar w:fldCharType="begin"/>
        </w:r>
        <w:r w:rsidR="00C44A90">
          <w:rPr>
            <w:webHidden/>
          </w:rPr>
          <w:instrText xml:space="preserve"> PAGEREF _Toc271552397 \h </w:instrText>
        </w:r>
        <w:r>
          <w:rPr>
            <w:webHidden/>
          </w:rPr>
        </w:r>
        <w:r>
          <w:rPr>
            <w:webHidden/>
          </w:rPr>
          <w:fldChar w:fldCharType="separate"/>
        </w:r>
        <w:r w:rsidR="00E5699E">
          <w:rPr>
            <w:webHidden/>
          </w:rPr>
          <w:t>23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8" w:history="1">
        <w:r w:rsidR="00C44A90" w:rsidRPr="00970548">
          <w:rPr>
            <w:rStyle w:val="Hyperlink"/>
          </w:rPr>
          <w:t>Table 3</w:t>
        </w:r>
        <w:r w:rsidR="00C44A90" w:rsidRPr="00970548">
          <w:rPr>
            <w:rStyle w:val="Hyperlink"/>
          </w:rPr>
          <w:noBreakHyphen/>
          <w:t xml:space="preserve">3 </w:t>
        </w:r>
        <w:r w:rsidR="00C44A90">
          <w:rPr>
            <w:rStyle w:val="Hyperlink"/>
          </w:rPr>
          <w:tab/>
        </w:r>
        <w:r w:rsidR="00C44A90" w:rsidRPr="00970548">
          <w:rPr>
            <w:rStyle w:val="Hyperlink"/>
          </w:rPr>
          <w:t>New England Economic and Demographic Forecast Summary</w:t>
        </w:r>
        <w:r w:rsidR="00C44A90">
          <w:rPr>
            <w:webHidden/>
          </w:rPr>
          <w:tab/>
        </w:r>
        <w:r>
          <w:rPr>
            <w:webHidden/>
          </w:rPr>
          <w:fldChar w:fldCharType="begin"/>
        </w:r>
        <w:r w:rsidR="00C44A90">
          <w:rPr>
            <w:webHidden/>
          </w:rPr>
          <w:instrText xml:space="preserve"> PAGEREF _Toc271552398 \h </w:instrText>
        </w:r>
        <w:r>
          <w:rPr>
            <w:webHidden/>
          </w:rPr>
        </w:r>
        <w:r>
          <w:rPr>
            <w:webHidden/>
          </w:rPr>
          <w:fldChar w:fldCharType="separate"/>
        </w:r>
        <w:r w:rsidR="00E5699E">
          <w:rPr>
            <w:webHidden/>
          </w:rPr>
          <w:t>24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399" w:history="1">
        <w:r w:rsidR="00C44A90" w:rsidRPr="00970548">
          <w:rPr>
            <w:rStyle w:val="Hyperlink"/>
          </w:rPr>
          <w:t>Table 3</w:t>
        </w:r>
        <w:r w:rsidR="00C44A90" w:rsidRPr="00970548">
          <w:rPr>
            <w:rStyle w:val="Hyperlink"/>
          </w:rPr>
          <w:noBreakHyphen/>
          <w:t xml:space="preserve">4 </w:t>
        </w:r>
        <w:r w:rsidR="00C44A90">
          <w:rPr>
            <w:rStyle w:val="Hyperlink"/>
          </w:rPr>
          <w:tab/>
        </w:r>
        <w:r w:rsidR="00C44A90" w:rsidRPr="00970548">
          <w:rPr>
            <w:rStyle w:val="Hyperlink"/>
          </w:rPr>
          <w:t>Forecasts of Annual and Peak Use of Electric Energy in RSP Subareas, 2010 and 2019</w:t>
        </w:r>
        <w:r w:rsidR="00C44A90">
          <w:rPr>
            <w:webHidden/>
          </w:rPr>
          <w:tab/>
        </w:r>
        <w:r>
          <w:rPr>
            <w:webHidden/>
          </w:rPr>
          <w:fldChar w:fldCharType="begin"/>
        </w:r>
        <w:r w:rsidR="00C44A90">
          <w:rPr>
            <w:webHidden/>
          </w:rPr>
          <w:instrText xml:space="preserve"> PAGEREF _Toc271552399 \h </w:instrText>
        </w:r>
        <w:r>
          <w:rPr>
            <w:webHidden/>
          </w:rPr>
        </w:r>
        <w:r>
          <w:rPr>
            <w:webHidden/>
          </w:rPr>
          <w:fldChar w:fldCharType="separate"/>
        </w:r>
        <w:r w:rsidR="00E5699E">
          <w:rPr>
            <w:webHidden/>
          </w:rPr>
          <w:t>27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0" w:history="1">
        <w:r w:rsidR="00C44A90" w:rsidRPr="00970548">
          <w:rPr>
            <w:rStyle w:val="Hyperlink"/>
          </w:rPr>
          <w:t>Table 3</w:t>
        </w:r>
        <w:r w:rsidR="00C44A90" w:rsidRPr="00970548">
          <w:rPr>
            <w:rStyle w:val="Hyperlink"/>
          </w:rPr>
          <w:noBreakHyphen/>
          <w:t xml:space="preserve">5 </w:t>
        </w:r>
        <w:r w:rsidR="00C44A90">
          <w:rPr>
            <w:rStyle w:val="Hyperlink"/>
          </w:rPr>
          <w:tab/>
        </w:r>
        <w:r w:rsidR="00C44A90" w:rsidRPr="00970548">
          <w:rPr>
            <w:rStyle w:val="Hyperlink"/>
          </w:rPr>
          <w:t>Forecasts of Peak Use of Electric Energy for Load Zones and the New England States, 2010</w:t>
        </w:r>
        <w:r w:rsidR="00C44A90">
          <w:rPr>
            <w:webHidden/>
          </w:rPr>
          <w:tab/>
        </w:r>
        <w:r>
          <w:rPr>
            <w:webHidden/>
          </w:rPr>
          <w:fldChar w:fldCharType="begin"/>
        </w:r>
        <w:r w:rsidR="00C44A90">
          <w:rPr>
            <w:webHidden/>
          </w:rPr>
          <w:instrText xml:space="preserve"> PAGEREF _Toc271552400 \h </w:instrText>
        </w:r>
        <w:r>
          <w:rPr>
            <w:webHidden/>
          </w:rPr>
        </w:r>
        <w:r>
          <w:rPr>
            <w:webHidden/>
          </w:rPr>
          <w:fldChar w:fldCharType="separate"/>
        </w:r>
        <w:r w:rsidR="00E5699E">
          <w:rPr>
            <w:webHidden/>
          </w:rPr>
          <w:t>28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1" w:history="1">
        <w:r w:rsidR="00C44A90" w:rsidRPr="00970548">
          <w:rPr>
            <w:rStyle w:val="Hyperlink"/>
          </w:rPr>
          <w:t>Table 3</w:t>
        </w:r>
        <w:r w:rsidR="00C44A90" w:rsidRPr="00970548">
          <w:rPr>
            <w:rStyle w:val="Hyperlink"/>
          </w:rPr>
          <w:noBreakHyphen/>
          <w:t xml:space="preserve">6 </w:t>
        </w:r>
        <w:r w:rsidR="00C44A90">
          <w:rPr>
            <w:rStyle w:val="Hyperlink"/>
          </w:rPr>
          <w:tab/>
        </w:r>
        <w:r w:rsidR="00C44A90" w:rsidRPr="00970548">
          <w:rPr>
            <w:rStyle w:val="Hyperlink"/>
          </w:rPr>
          <w:t>Forecasts of Peak Use of Electric Energy for RSP Subareas, 2010</w:t>
        </w:r>
        <w:r w:rsidR="00C44A90">
          <w:rPr>
            <w:webHidden/>
          </w:rPr>
          <w:tab/>
        </w:r>
        <w:r>
          <w:rPr>
            <w:webHidden/>
          </w:rPr>
          <w:fldChar w:fldCharType="begin"/>
        </w:r>
        <w:r w:rsidR="00C44A90">
          <w:rPr>
            <w:webHidden/>
          </w:rPr>
          <w:instrText xml:space="preserve"> PAGEREF _Toc271552401 \h </w:instrText>
        </w:r>
        <w:r>
          <w:rPr>
            <w:webHidden/>
          </w:rPr>
        </w:r>
        <w:r>
          <w:rPr>
            <w:webHidden/>
          </w:rPr>
          <w:fldChar w:fldCharType="separate"/>
        </w:r>
        <w:r w:rsidR="00E5699E">
          <w:rPr>
            <w:webHidden/>
          </w:rPr>
          <w:t>29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2" w:history="1">
        <w:r w:rsidR="00C44A90" w:rsidRPr="00970548">
          <w:rPr>
            <w:rStyle w:val="Hyperlink"/>
          </w:rPr>
          <w:t>Table 4</w:t>
        </w:r>
        <w:r w:rsidR="00C44A90" w:rsidRPr="00970548">
          <w:rPr>
            <w:rStyle w:val="Hyperlink"/>
          </w:rPr>
          <w:noBreakHyphen/>
          <w:t xml:space="preserve">1 </w:t>
        </w:r>
        <w:r w:rsidR="00C44A90">
          <w:rPr>
            <w:rStyle w:val="Hyperlink"/>
          </w:rPr>
          <w:tab/>
        </w:r>
        <w:r w:rsidR="00C44A90" w:rsidRPr="00970548">
          <w:rPr>
            <w:rStyle w:val="Hyperlink"/>
          </w:rPr>
          <w:t>Actual and Representative Future New England Net Installed Capacity Requirements</w:t>
        </w:r>
        <w:r w:rsidR="008C5ECA">
          <w:rPr>
            <w:rStyle w:val="Hyperlink"/>
          </w:rPr>
          <w:br/>
        </w:r>
        <w:r w:rsidR="00C44A90" w:rsidRPr="00970548">
          <w:rPr>
            <w:rStyle w:val="Hyperlink"/>
          </w:rPr>
          <w:t>for 2010–2019 and Resulting Reserves</w:t>
        </w:r>
        <w:r w:rsidR="00C44A90">
          <w:rPr>
            <w:webHidden/>
          </w:rPr>
          <w:tab/>
        </w:r>
        <w:r>
          <w:rPr>
            <w:webHidden/>
          </w:rPr>
          <w:fldChar w:fldCharType="begin"/>
        </w:r>
        <w:r w:rsidR="00C44A90">
          <w:rPr>
            <w:webHidden/>
          </w:rPr>
          <w:instrText xml:space="preserve"> PAGEREF _Toc271552402 \h </w:instrText>
        </w:r>
        <w:r>
          <w:rPr>
            <w:webHidden/>
          </w:rPr>
        </w:r>
        <w:r>
          <w:rPr>
            <w:webHidden/>
          </w:rPr>
          <w:fldChar w:fldCharType="separate"/>
        </w:r>
        <w:r w:rsidR="00E5699E">
          <w:rPr>
            <w:webHidden/>
          </w:rPr>
          <w:t>35</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3" w:history="1">
        <w:r w:rsidR="00C44A90" w:rsidRPr="00970548">
          <w:rPr>
            <w:rStyle w:val="Hyperlink"/>
          </w:rPr>
          <w:t>Table 4</w:t>
        </w:r>
        <w:r w:rsidR="00C44A90" w:rsidRPr="00970548">
          <w:rPr>
            <w:rStyle w:val="Hyperlink"/>
          </w:rPr>
          <w:noBreakHyphen/>
          <w:t xml:space="preserve">2 </w:t>
        </w:r>
        <w:r w:rsidR="00C44A90">
          <w:rPr>
            <w:rStyle w:val="Hyperlink"/>
          </w:rPr>
          <w:tab/>
        </w:r>
        <w:r w:rsidR="00C44A90" w:rsidRPr="00970548">
          <w:rPr>
            <w:rStyle w:val="Hyperlink"/>
          </w:rPr>
          <w:t>LSRs and MCLs for the First Four FCAs</w:t>
        </w:r>
        <w:r w:rsidR="00C44A90">
          <w:rPr>
            <w:webHidden/>
          </w:rPr>
          <w:tab/>
        </w:r>
        <w:r>
          <w:rPr>
            <w:webHidden/>
          </w:rPr>
          <w:fldChar w:fldCharType="begin"/>
        </w:r>
        <w:r w:rsidR="00C44A90">
          <w:rPr>
            <w:webHidden/>
          </w:rPr>
          <w:instrText xml:space="preserve"> PAGEREF _Toc271552403 \h </w:instrText>
        </w:r>
        <w:r>
          <w:rPr>
            <w:webHidden/>
          </w:rPr>
        </w:r>
        <w:r>
          <w:rPr>
            <w:webHidden/>
          </w:rPr>
          <w:fldChar w:fldCharType="separate"/>
        </w:r>
        <w:r w:rsidR="00E5699E">
          <w:rPr>
            <w:webHidden/>
          </w:rPr>
          <w:t>37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4" w:history="1">
        <w:r w:rsidR="00C44A90" w:rsidRPr="00970548">
          <w:rPr>
            <w:rStyle w:val="Hyperlink"/>
          </w:rPr>
          <w:t>Table 4</w:t>
        </w:r>
        <w:r w:rsidR="00C44A90" w:rsidRPr="00970548">
          <w:rPr>
            <w:rStyle w:val="Hyperlink"/>
          </w:rPr>
          <w:noBreakHyphen/>
          <w:t xml:space="preserve">3 </w:t>
        </w:r>
        <w:r w:rsidR="00C44A90">
          <w:rPr>
            <w:rStyle w:val="Hyperlink"/>
          </w:rPr>
          <w:tab/>
        </w:r>
        <w:r w:rsidR="00C44A90" w:rsidRPr="00970548">
          <w:rPr>
            <w:rStyle w:val="Hyperlink"/>
            <w:rFonts w:cs="Arial"/>
          </w:rPr>
          <w:t>Total New Resources that Cleared in FCA #1, FCA #2, and FCA #3 by State (MW and %)</w:t>
        </w:r>
        <w:r w:rsidR="00C44A90">
          <w:rPr>
            <w:webHidden/>
          </w:rPr>
          <w:tab/>
        </w:r>
        <w:r>
          <w:rPr>
            <w:webHidden/>
          </w:rPr>
          <w:fldChar w:fldCharType="begin"/>
        </w:r>
        <w:r w:rsidR="00C44A90">
          <w:rPr>
            <w:webHidden/>
          </w:rPr>
          <w:instrText xml:space="preserve"> PAGEREF _Toc271552404 \h </w:instrText>
        </w:r>
        <w:r>
          <w:rPr>
            <w:webHidden/>
          </w:rPr>
        </w:r>
        <w:r>
          <w:rPr>
            <w:webHidden/>
          </w:rPr>
          <w:fldChar w:fldCharType="separate"/>
        </w:r>
        <w:r w:rsidR="00E5699E">
          <w:rPr>
            <w:webHidden/>
          </w:rPr>
          <w:t>39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5" w:history="1">
        <w:r w:rsidR="00C44A90" w:rsidRPr="00970548">
          <w:rPr>
            <w:rStyle w:val="Hyperlink"/>
          </w:rPr>
          <w:t>Table 4</w:t>
        </w:r>
        <w:r w:rsidR="00C44A90" w:rsidRPr="00970548">
          <w:rPr>
            <w:rStyle w:val="Hyperlink"/>
          </w:rPr>
          <w:noBreakHyphen/>
          <w:t xml:space="preserve">4 </w:t>
        </w:r>
        <w:r w:rsidR="00C44A90">
          <w:rPr>
            <w:rStyle w:val="Hyperlink"/>
          </w:rPr>
          <w:tab/>
        </w:r>
        <w:r w:rsidR="00C44A90" w:rsidRPr="00970548">
          <w:rPr>
            <w:rStyle w:val="Hyperlink"/>
            <w:rFonts w:cs="Arial"/>
          </w:rPr>
          <w:t>Summary of the First, Second, and Third FCA Obligations (MW)</w:t>
        </w:r>
        <w:r w:rsidR="00C44A90">
          <w:rPr>
            <w:webHidden/>
          </w:rPr>
          <w:tab/>
        </w:r>
        <w:r>
          <w:rPr>
            <w:webHidden/>
          </w:rPr>
          <w:fldChar w:fldCharType="begin"/>
        </w:r>
        <w:r w:rsidR="00C44A90">
          <w:rPr>
            <w:webHidden/>
          </w:rPr>
          <w:instrText xml:space="preserve"> PAGEREF _Toc271552405 \h </w:instrText>
        </w:r>
        <w:r>
          <w:rPr>
            <w:webHidden/>
          </w:rPr>
        </w:r>
        <w:r>
          <w:rPr>
            <w:webHidden/>
          </w:rPr>
          <w:fldChar w:fldCharType="separate"/>
        </w:r>
        <w:r w:rsidR="00E5699E">
          <w:rPr>
            <w:webHidden/>
          </w:rPr>
          <w:t>40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6" w:history="1">
        <w:r w:rsidR="00C44A90" w:rsidRPr="00970548">
          <w:rPr>
            <w:rStyle w:val="Hyperlink"/>
          </w:rPr>
          <w:t>Table 4</w:t>
        </w:r>
        <w:r w:rsidR="00C44A90" w:rsidRPr="00970548">
          <w:rPr>
            <w:rStyle w:val="Hyperlink"/>
          </w:rPr>
          <w:noBreakHyphen/>
          <w:t xml:space="preserve">5 </w:t>
        </w:r>
        <w:r w:rsidR="00C44A90">
          <w:rPr>
            <w:rStyle w:val="Hyperlink"/>
          </w:rPr>
          <w:tab/>
        </w:r>
        <w:r w:rsidR="00C44A90" w:rsidRPr="00970548">
          <w:rPr>
            <w:rStyle w:val="Hyperlink"/>
            <w:rFonts w:cs="Arial"/>
          </w:rPr>
          <w:t>Results of FCA #1, FCA #2, and FCA #3 by Capacity Zone (MW, </w:t>
        </w:r>
        <w:r w:rsidR="00C44A90" w:rsidRPr="00970548">
          <w:rPr>
            <w:rStyle w:val="Hyperlink"/>
          </w:rPr>
          <w:t>$/kW</w:t>
        </w:r>
        <w:r w:rsidR="00C44A90" w:rsidRPr="00970548">
          <w:rPr>
            <w:rStyle w:val="Hyperlink"/>
          </w:rPr>
          <w:noBreakHyphen/>
          <w:t>month</w:t>
        </w:r>
        <w:r w:rsidR="00C44A90" w:rsidRPr="00970548">
          <w:rPr>
            <w:rStyle w:val="Hyperlink"/>
            <w:rFonts w:cs="Arial"/>
          </w:rPr>
          <w:t>)</w:t>
        </w:r>
        <w:r w:rsidR="00C44A90">
          <w:rPr>
            <w:webHidden/>
          </w:rPr>
          <w:tab/>
        </w:r>
        <w:r>
          <w:rPr>
            <w:webHidden/>
          </w:rPr>
          <w:fldChar w:fldCharType="begin"/>
        </w:r>
        <w:r w:rsidR="00C44A90">
          <w:rPr>
            <w:webHidden/>
          </w:rPr>
          <w:instrText xml:space="preserve"> PAGEREF _Toc271552406 \h </w:instrText>
        </w:r>
        <w:r>
          <w:rPr>
            <w:webHidden/>
          </w:rPr>
        </w:r>
        <w:r>
          <w:rPr>
            <w:webHidden/>
          </w:rPr>
          <w:fldChar w:fldCharType="separate"/>
        </w:r>
        <w:r w:rsidR="00E5699E">
          <w:rPr>
            <w:webHidden/>
          </w:rPr>
          <w:t>40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7" w:history="1">
        <w:r w:rsidR="00C44A90" w:rsidRPr="00970548">
          <w:rPr>
            <w:rStyle w:val="Hyperlink"/>
          </w:rPr>
          <w:t>Table 4</w:t>
        </w:r>
        <w:r w:rsidR="00C44A90" w:rsidRPr="00970548">
          <w:rPr>
            <w:rStyle w:val="Hyperlink"/>
          </w:rPr>
          <w:noBreakHyphen/>
          <w:t xml:space="preserve">6 </w:t>
        </w:r>
        <w:r w:rsidR="00C44A90">
          <w:rPr>
            <w:rStyle w:val="Hyperlink"/>
          </w:rPr>
          <w:tab/>
        </w:r>
        <w:r w:rsidR="00C44A90" w:rsidRPr="00970548">
          <w:rPr>
            <w:rStyle w:val="Hyperlink"/>
          </w:rPr>
          <w:t>States’ Capacity Supply Obligations for the 2012/2013 Capacity Commitment Period</w:t>
        </w:r>
        <w:r w:rsidR="00C44A90">
          <w:rPr>
            <w:webHidden/>
          </w:rPr>
          <w:tab/>
        </w:r>
        <w:r>
          <w:rPr>
            <w:webHidden/>
          </w:rPr>
          <w:fldChar w:fldCharType="begin"/>
        </w:r>
        <w:r w:rsidR="00C44A90">
          <w:rPr>
            <w:webHidden/>
          </w:rPr>
          <w:instrText xml:space="preserve"> PAGEREF _Toc271552407 \h </w:instrText>
        </w:r>
        <w:r>
          <w:rPr>
            <w:webHidden/>
          </w:rPr>
        </w:r>
        <w:r>
          <w:rPr>
            <w:webHidden/>
          </w:rPr>
          <w:fldChar w:fldCharType="separate"/>
        </w:r>
        <w:r w:rsidR="00E5699E">
          <w:rPr>
            <w:webHidden/>
          </w:rPr>
          <w:t>41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8" w:history="1">
        <w:r w:rsidR="00C44A90" w:rsidRPr="00970548">
          <w:rPr>
            <w:rStyle w:val="Hyperlink"/>
          </w:rPr>
          <w:t>Table 4</w:t>
        </w:r>
        <w:r w:rsidR="00C44A90" w:rsidRPr="00970548">
          <w:rPr>
            <w:rStyle w:val="Hyperlink"/>
          </w:rPr>
          <w:noBreakHyphen/>
          <w:t xml:space="preserve">7 </w:t>
        </w:r>
        <w:r w:rsidR="00C44A90">
          <w:rPr>
            <w:rStyle w:val="Hyperlink"/>
          </w:rPr>
          <w:tab/>
        </w:r>
        <w:r w:rsidR="00C44A90" w:rsidRPr="00970548">
          <w:rPr>
            <w:rStyle w:val="Hyperlink"/>
            <w:rFonts w:cs="Arial"/>
          </w:rPr>
          <w:t>Demand-Resource Capacity that Cleared in FCA #3 (MW)</w:t>
        </w:r>
        <w:r w:rsidR="00C44A90">
          <w:rPr>
            <w:webHidden/>
          </w:rPr>
          <w:tab/>
        </w:r>
        <w:r>
          <w:rPr>
            <w:webHidden/>
          </w:rPr>
          <w:fldChar w:fldCharType="begin"/>
        </w:r>
        <w:r w:rsidR="00C44A90">
          <w:rPr>
            <w:webHidden/>
          </w:rPr>
          <w:instrText xml:space="preserve"> PAGEREF _Toc271552408 \h </w:instrText>
        </w:r>
        <w:r>
          <w:rPr>
            <w:webHidden/>
          </w:rPr>
        </w:r>
        <w:r>
          <w:rPr>
            <w:webHidden/>
          </w:rPr>
          <w:fldChar w:fldCharType="separate"/>
        </w:r>
        <w:r w:rsidR="00E5699E">
          <w:rPr>
            <w:webHidden/>
          </w:rPr>
          <w:t>42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09" w:history="1">
        <w:r w:rsidR="00C44A90" w:rsidRPr="00970548">
          <w:rPr>
            <w:rStyle w:val="Hyperlink"/>
          </w:rPr>
          <w:t>Table 4</w:t>
        </w:r>
        <w:r w:rsidR="00C44A90" w:rsidRPr="00970548">
          <w:rPr>
            <w:rStyle w:val="Hyperlink"/>
          </w:rPr>
          <w:noBreakHyphen/>
          <w:t xml:space="preserve">8 </w:t>
        </w:r>
        <w:r w:rsidR="00C44A90">
          <w:rPr>
            <w:rStyle w:val="Hyperlink"/>
          </w:rPr>
          <w:tab/>
        </w:r>
        <w:r w:rsidR="00C44A90" w:rsidRPr="00970548">
          <w:rPr>
            <w:rStyle w:val="Hyperlink"/>
          </w:rPr>
          <w:t>Actual and Representative Future New England Net Installed Capacity Requirements</w:t>
        </w:r>
        <w:r w:rsidR="008C5ECA">
          <w:rPr>
            <w:rStyle w:val="Hyperlink"/>
          </w:rPr>
          <w:br/>
        </w:r>
        <w:r w:rsidR="00C44A90" w:rsidRPr="00970548">
          <w:rPr>
            <w:rStyle w:val="Hyperlink"/>
          </w:rPr>
          <w:t>for 2010–2019 and Potential Surplus ICAP</w:t>
        </w:r>
        <w:r w:rsidR="00C44A90">
          <w:rPr>
            <w:webHidden/>
          </w:rPr>
          <w:tab/>
        </w:r>
        <w:r>
          <w:rPr>
            <w:webHidden/>
          </w:rPr>
          <w:fldChar w:fldCharType="begin"/>
        </w:r>
        <w:r w:rsidR="00C44A90">
          <w:rPr>
            <w:webHidden/>
          </w:rPr>
          <w:instrText xml:space="preserve"> PAGEREF _Toc271552409 \h </w:instrText>
        </w:r>
        <w:r>
          <w:rPr>
            <w:webHidden/>
          </w:rPr>
        </w:r>
        <w:r>
          <w:rPr>
            <w:webHidden/>
          </w:rPr>
          <w:fldChar w:fldCharType="separate"/>
        </w:r>
        <w:r w:rsidR="00E5699E">
          <w:rPr>
            <w:webHidden/>
          </w:rPr>
          <w:t>43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0" w:history="1">
        <w:r w:rsidR="00C44A90" w:rsidRPr="00970548">
          <w:rPr>
            <w:rStyle w:val="Hyperlink"/>
          </w:rPr>
          <w:t>Table 4</w:t>
        </w:r>
        <w:r w:rsidR="00C44A90" w:rsidRPr="00970548">
          <w:rPr>
            <w:rStyle w:val="Hyperlink"/>
          </w:rPr>
          <w:noBreakHyphen/>
          <w:t xml:space="preserve">9 </w:t>
        </w:r>
        <w:r w:rsidR="00C44A90">
          <w:rPr>
            <w:rStyle w:val="Hyperlink"/>
          </w:rPr>
          <w:tab/>
        </w:r>
        <w:r w:rsidR="00C44A90" w:rsidRPr="00970548">
          <w:rPr>
            <w:rStyle w:val="Hyperlink"/>
            <w:rFonts w:cs="Arial"/>
          </w:rPr>
          <w:t>New Capacity Qualified for FCA #4</w:t>
        </w:r>
        <w:r w:rsidR="00C44A90">
          <w:rPr>
            <w:webHidden/>
          </w:rPr>
          <w:tab/>
        </w:r>
        <w:r>
          <w:rPr>
            <w:webHidden/>
          </w:rPr>
          <w:fldChar w:fldCharType="begin"/>
        </w:r>
        <w:r w:rsidR="00C44A90">
          <w:rPr>
            <w:webHidden/>
          </w:rPr>
          <w:instrText xml:space="preserve"> PAGEREF _Toc271552410 \h </w:instrText>
        </w:r>
        <w:r>
          <w:rPr>
            <w:webHidden/>
          </w:rPr>
        </w:r>
        <w:r>
          <w:rPr>
            <w:webHidden/>
          </w:rPr>
          <w:fldChar w:fldCharType="separate"/>
        </w:r>
        <w:r w:rsidR="00E5699E">
          <w:rPr>
            <w:webHidden/>
          </w:rPr>
          <w:t>44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1" w:history="1">
        <w:r w:rsidR="00C44A90" w:rsidRPr="00970548">
          <w:rPr>
            <w:rStyle w:val="Hyperlink"/>
          </w:rPr>
          <w:t>Table 4</w:t>
        </w:r>
        <w:r w:rsidR="00C44A90" w:rsidRPr="00970548">
          <w:rPr>
            <w:rStyle w:val="Hyperlink"/>
          </w:rPr>
          <w:noBreakHyphen/>
          <w:t xml:space="preserve">10 </w:t>
        </w:r>
        <w:r w:rsidR="00C44A90">
          <w:rPr>
            <w:rStyle w:val="Hyperlink"/>
          </w:rPr>
          <w:tab/>
        </w:r>
        <w:r w:rsidR="00C44A90" w:rsidRPr="00970548">
          <w:rPr>
            <w:rStyle w:val="Hyperlink"/>
          </w:rPr>
          <w:t>New Generation and Demand Resources that Qualified in FCA #4, by State (MW)</w:t>
        </w:r>
        <w:r w:rsidR="00C44A90">
          <w:rPr>
            <w:webHidden/>
          </w:rPr>
          <w:tab/>
        </w:r>
        <w:r>
          <w:rPr>
            <w:webHidden/>
          </w:rPr>
          <w:fldChar w:fldCharType="begin"/>
        </w:r>
        <w:r w:rsidR="00C44A90">
          <w:rPr>
            <w:webHidden/>
          </w:rPr>
          <w:instrText xml:space="preserve"> PAGEREF _Toc271552411 \h </w:instrText>
        </w:r>
        <w:r>
          <w:rPr>
            <w:webHidden/>
          </w:rPr>
        </w:r>
        <w:r>
          <w:rPr>
            <w:webHidden/>
          </w:rPr>
          <w:fldChar w:fldCharType="separate"/>
        </w:r>
        <w:r w:rsidR="00E5699E">
          <w:rPr>
            <w:webHidden/>
          </w:rPr>
          <w:t>45</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2" w:history="1">
        <w:r w:rsidR="00C44A90" w:rsidRPr="00970548">
          <w:rPr>
            <w:rStyle w:val="Hyperlink"/>
          </w:rPr>
          <w:t>Table 4</w:t>
        </w:r>
        <w:r w:rsidR="00C44A90" w:rsidRPr="00970548">
          <w:rPr>
            <w:rStyle w:val="Hyperlink"/>
          </w:rPr>
          <w:noBreakHyphen/>
          <w:t xml:space="preserve">11 </w:t>
        </w:r>
        <w:r w:rsidR="00C44A90">
          <w:rPr>
            <w:rStyle w:val="Hyperlink"/>
          </w:rPr>
          <w:tab/>
        </w:r>
        <w:r w:rsidR="00C44A90" w:rsidRPr="00970548">
          <w:rPr>
            <w:rStyle w:val="Hyperlink"/>
          </w:rPr>
          <w:t xml:space="preserve">Projected New England Operable Capacity Analysis for Summer 2010 </w:t>
        </w:r>
        <w:r w:rsidR="00C44A90" w:rsidRPr="00970548">
          <w:rPr>
            <w:rStyle w:val="Hyperlink"/>
            <w:rFonts w:cs="Arial"/>
          </w:rPr>
          <w:t xml:space="preserve">to </w:t>
        </w:r>
        <w:r w:rsidR="00C44A90" w:rsidRPr="00970548">
          <w:rPr>
            <w:rStyle w:val="Hyperlink"/>
          </w:rPr>
          <w:t>2019,</w:t>
        </w:r>
        <w:r w:rsidR="008C5ECA">
          <w:rPr>
            <w:rStyle w:val="Hyperlink"/>
          </w:rPr>
          <w:br/>
        </w:r>
        <w:r w:rsidR="00C44A90" w:rsidRPr="00970548">
          <w:rPr>
            <w:rStyle w:val="Hyperlink"/>
          </w:rPr>
          <w:t>Assuming 50/50 loads (MW)</w:t>
        </w:r>
        <w:r w:rsidR="00C44A90">
          <w:rPr>
            <w:webHidden/>
          </w:rPr>
          <w:tab/>
        </w:r>
        <w:r>
          <w:rPr>
            <w:webHidden/>
          </w:rPr>
          <w:fldChar w:fldCharType="begin"/>
        </w:r>
        <w:r w:rsidR="00C44A90">
          <w:rPr>
            <w:webHidden/>
          </w:rPr>
          <w:instrText xml:space="preserve"> PAGEREF _Toc271552412 \h </w:instrText>
        </w:r>
        <w:r>
          <w:rPr>
            <w:webHidden/>
          </w:rPr>
        </w:r>
        <w:r>
          <w:rPr>
            <w:webHidden/>
          </w:rPr>
          <w:fldChar w:fldCharType="separate"/>
        </w:r>
        <w:r w:rsidR="00E5699E">
          <w:rPr>
            <w:webHidden/>
          </w:rPr>
          <w:t>47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3" w:history="1">
        <w:r w:rsidR="00C44A90" w:rsidRPr="00970548">
          <w:rPr>
            <w:rStyle w:val="Hyperlink"/>
          </w:rPr>
          <w:t>Table 4</w:t>
        </w:r>
        <w:r w:rsidR="00C44A90" w:rsidRPr="00970548">
          <w:rPr>
            <w:rStyle w:val="Hyperlink"/>
          </w:rPr>
          <w:noBreakHyphen/>
          <w:t xml:space="preserve">12 </w:t>
        </w:r>
        <w:r w:rsidR="00C44A90">
          <w:rPr>
            <w:rStyle w:val="Hyperlink"/>
          </w:rPr>
          <w:tab/>
        </w:r>
        <w:r w:rsidR="00C44A90" w:rsidRPr="00970548">
          <w:rPr>
            <w:rStyle w:val="Hyperlink"/>
            <w:rFonts w:cs="Arial"/>
          </w:rPr>
          <w:t>Projected New England Operable Capacity Analysis for Summer 2010 to 2019,</w:t>
        </w:r>
        <w:r w:rsidR="008C5ECA">
          <w:rPr>
            <w:rStyle w:val="Hyperlink"/>
            <w:rFonts w:cs="Arial"/>
          </w:rPr>
          <w:br/>
        </w:r>
        <w:r w:rsidR="00C44A90" w:rsidRPr="00970548">
          <w:rPr>
            <w:rStyle w:val="Hyperlink"/>
            <w:rFonts w:cs="Arial"/>
          </w:rPr>
          <w:t>Assuming 90/10 Loads (MW)</w:t>
        </w:r>
        <w:r w:rsidR="00C44A90">
          <w:rPr>
            <w:webHidden/>
          </w:rPr>
          <w:tab/>
        </w:r>
        <w:r>
          <w:rPr>
            <w:webHidden/>
          </w:rPr>
          <w:fldChar w:fldCharType="begin"/>
        </w:r>
        <w:r w:rsidR="00C44A90">
          <w:rPr>
            <w:webHidden/>
          </w:rPr>
          <w:instrText xml:space="preserve"> PAGEREF _Toc271552413 \h </w:instrText>
        </w:r>
        <w:r>
          <w:rPr>
            <w:webHidden/>
          </w:rPr>
        </w:r>
        <w:r>
          <w:rPr>
            <w:webHidden/>
          </w:rPr>
          <w:fldChar w:fldCharType="separate"/>
        </w:r>
        <w:r w:rsidR="00E5699E">
          <w:rPr>
            <w:webHidden/>
          </w:rPr>
          <w:t>47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4" w:history="1">
        <w:r w:rsidR="00C44A90" w:rsidRPr="00970548">
          <w:rPr>
            <w:rStyle w:val="Hyperlink"/>
          </w:rPr>
          <w:t>Table 4</w:t>
        </w:r>
        <w:r w:rsidR="00C44A90" w:rsidRPr="00970548">
          <w:rPr>
            <w:rStyle w:val="Hyperlink"/>
          </w:rPr>
          <w:noBreakHyphen/>
          <w:t xml:space="preserve">13 </w:t>
        </w:r>
        <w:r w:rsidR="00C44A90">
          <w:rPr>
            <w:rStyle w:val="Hyperlink"/>
          </w:rPr>
          <w:tab/>
        </w:r>
        <w:r w:rsidR="00C44A90" w:rsidRPr="00970548">
          <w:rPr>
            <w:rStyle w:val="Hyperlink"/>
          </w:rPr>
          <w:t>Summary of Queue Projects as of April 1, 2010</w:t>
        </w:r>
        <w:r w:rsidR="00C44A90">
          <w:rPr>
            <w:webHidden/>
          </w:rPr>
          <w:tab/>
        </w:r>
        <w:r>
          <w:rPr>
            <w:webHidden/>
          </w:rPr>
          <w:fldChar w:fldCharType="begin"/>
        </w:r>
        <w:r w:rsidR="00C44A90">
          <w:rPr>
            <w:webHidden/>
          </w:rPr>
          <w:instrText xml:space="preserve"> PAGEREF _Toc271552414 \h </w:instrText>
        </w:r>
        <w:r>
          <w:rPr>
            <w:webHidden/>
          </w:rPr>
        </w:r>
        <w:r>
          <w:rPr>
            <w:webHidden/>
          </w:rPr>
          <w:fldChar w:fldCharType="separate"/>
        </w:r>
        <w:r w:rsidR="00E5699E">
          <w:rPr>
            <w:webHidden/>
          </w:rPr>
          <w:t>49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5" w:history="1">
        <w:r w:rsidR="00C44A90" w:rsidRPr="00970548">
          <w:rPr>
            <w:rStyle w:val="Hyperlink"/>
          </w:rPr>
          <w:t>Table 5</w:t>
        </w:r>
        <w:r w:rsidR="00C44A90" w:rsidRPr="00970548">
          <w:rPr>
            <w:rStyle w:val="Hyperlink"/>
          </w:rPr>
          <w:noBreakHyphen/>
          <w:t xml:space="preserve">1  </w:t>
        </w:r>
        <w:r w:rsidR="00C44A90">
          <w:rPr>
            <w:rStyle w:val="Hyperlink"/>
          </w:rPr>
          <w:tab/>
        </w:r>
        <w:r w:rsidR="00C44A90" w:rsidRPr="00970548">
          <w:rPr>
            <w:rStyle w:val="Hyperlink"/>
          </w:rPr>
          <w:t>Representative Future Operating-Reserve Requirements in Major New England</w:t>
        </w:r>
        <w:r w:rsidR="008C5ECA">
          <w:rPr>
            <w:rStyle w:val="Hyperlink"/>
          </w:rPr>
          <w:br/>
        </w:r>
        <w:r w:rsidR="00C44A90" w:rsidRPr="00970548">
          <w:rPr>
            <w:rStyle w:val="Hyperlink"/>
          </w:rPr>
          <w:t>Import Areas (MW)</w:t>
        </w:r>
        <w:r w:rsidR="00C44A90">
          <w:rPr>
            <w:webHidden/>
          </w:rPr>
          <w:tab/>
        </w:r>
        <w:r>
          <w:rPr>
            <w:webHidden/>
          </w:rPr>
          <w:fldChar w:fldCharType="begin"/>
        </w:r>
        <w:r w:rsidR="00C44A90">
          <w:rPr>
            <w:webHidden/>
          </w:rPr>
          <w:instrText xml:space="preserve"> PAGEREF _Toc271552415 \h </w:instrText>
        </w:r>
        <w:r>
          <w:rPr>
            <w:webHidden/>
          </w:rPr>
        </w:r>
        <w:r>
          <w:rPr>
            <w:webHidden/>
          </w:rPr>
          <w:fldChar w:fldCharType="separate"/>
        </w:r>
        <w:r w:rsidR="00E5699E">
          <w:rPr>
            <w:webHidden/>
          </w:rPr>
          <w:t>54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6" w:history="1">
        <w:r w:rsidR="00C44A90" w:rsidRPr="00970548">
          <w:rPr>
            <w:rStyle w:val="Hyperlink"/>
          </w:rPr>
          <w:t>Table 5</w:t>
        </w:r>
        <w:r w:rsidR="00C44A90" w:rsidRPr="00970548">
          <w:rPr>
            <w:rStyle w:val="Hyperlink"/>
          </w:rPr>
          <w:noBreakHyphen/>
          <w:t xml:space="preserve">2 </w:t>
        </w:r>
        <w:r w:rsidR="00C44A90">
          <w:rPr>
            <w:rStyle w:val="Hyperlink"/>
          </w:rPr>
          <w:tab/>
        </w:r>
        <w:r w:rsidR="00C44A90" w:rsidRPr="00970548">
          <w:rPr>
            <w:rStyle w:val="Hyperlink"/>
            <w:rFonts w:cs="Arial"/>
          </w:rPr>
          <w:t>DRR Pilot Summary Statistics</w:t>
        </w:r>
        <w:r w:rsidR="00C44A90">
          <w:rPr>
            <w:webHidden/>
          </w:rPr>
          <w:tab/>
        </w:r>
        <w:r>
          <w:rPr>
            <w:webHidden/>
          </w:rPr>
          <w:fldChar w:fldCharType="begin"/>
        </w:r>
        <w:r w:rsidR="00C44A90">
          <w:rPr>
            <w:webHidden/>
          </w:rPr>
          <w:instrText xml:space="preserve"> PAGEREF _Toc271552416 \h </w:instrText>
        </w:r>
        <w:r>
          <w:rPr>
            <w:webHidden/>
          </w:rPr>
        </w:r>
        <w:r>
          <w:rPr>
            <w:webHidden/>
          </w:rPr>
          <w:fldChar w:fldCharType="separate"/>
        </w:r>
        <w:r w:rsidR="00E5699E">
          <w:rPr>
            <w:webHidden/>
          </w:rPr>
          <w:t>57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7" w:history="1">
        <w:r w:rsidR="00C44A90" w:rsidRPr="00970548">
          <w:rPr>
            <w:rStyle w:val="Hyperlink"/>
          </w:rPr>
          <w:t>Table 6</w:t>
        </w:r>
        <w:r w:rsidR="00C44A90" w:rsidRPr="00970548">
          <w:rPr>
            <w:rStyle w:val="Hyperlink"/>
          </w:rPr>
          <w:noBreakHyphen/>
          <w:t xml:space="preserve">1 </w:t>
        </w:r>
        <w:r w:rsidR="00C44A90">
          <w:rPr>
            <w:rStyle w:val="Hyperlink"/>
          </w:rPr>
          <w:tab/>
        </w:r>
        <w:r w:rsidR="00C44A90" w:rsidRPr="00970548">
          <w:rPr>
            <w:rStyle w:val="Hyperlink"/>
          </w:rPr>
          <w:t>Regional Network Service Rate Forecast, 2011 to 2014</w:t>
        </w:r>
        <w:r w:rsidR="00C44A90">
          <w:rPr>
            <w:webHidden/>
          </w:rPr>
          <w:tab/>
        </w:r>
        <w:r>
          <w:rPr>
            <w:webHidden/>
          </w:rPr>
          <w:fldChar w:fldCharType="begin"/>
        </w:r>
        <w:r w:rsidR="00C44A90">
          <w:rPr>
            <w:webHidden/>
          </w:rPr>
          <w:instrText xml:space="preserve"> PAGEREF _Toc271552417 \h </w:instrText>
        </w:r>
        <w:r>
          <w:rPr>
            <w:webHidden/>
          </w:rPr>
        </w:r>
        <w:r>
          <w:rPr>
            <w:webHidden/>
          </w:rPr>
          <w:fldChar w:fldCharType="separate"/>
        </w:r>
        <w:r w:rsidR="00E5699E">
          <w:rPr>
            <w:webHidden/>
          </w:rPr>
          <w:t>66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8" w:history="1">
        <w:r w:rsidR="00C44A90" w:rsidRPr="00970548">
          <w:rPr>
            <w:rStyle w:val="Hyperlink"/>
          </w:rPr>
          <w:t>Table 6</w:t>
        </w:r>
        <w:r w:rsidR="00C44A90" w:rsidRPr="00970548">
          <w:rPr>
            <w:rStyle w:val="Hyperlink"/>
          </w:rPr>
          <w:noBreakHyphen/>
          <w:t xml:space="preserve">2 </w:t>
        </w:r>
        <w:r w:rsidR="00C44A90">
          <w:rPr>
            <w:rStyle w:val="Hyperlink"/>
          </w:rPr>
          <w:tab/>
        </w:r>
        <w:r w:rsidR="00AC7087">
          <w:rPr>
            <w:rStyle w:val="Hyperlink"/>
          </w:rPr>
          <w:t>Net Commitment-</w:t>
        </w:r>
        <w:r w:rsidR="00C44A90" w:rsidRPr="00970548">
          <w:rPr>
            <w:rStyle w:val="Hyperlink"/>
          </w:rPr>
          <w:t>Period Compensation by Type and Year (million $)</w:t>
        </w:r>
        <w:r w:rsidR="00C44A90">
          <w:rPr>
            <w:webHidden/>
          </w:rPr>
          <w:tab/>
        </w:r>
        <w:r>
          <w:rPr>
            <w:webHidden/>
          </w:rPr>
          <w:fldChar w:fldCharType="begin"/>
        </w:r>
        <w:r w:rsidR="00C44A90">
          <w:rPr>
            <w:webHidden/>
          </w:rPr>
          <w:instrText xml:space="preserve"> PAGEREF _Toc271552418 \h </w:instrText>
        </w:r>
        <w:r>
          <w:rPr>
            <w:webHidden/>
          </w:rPr>
        </w:r>
        <w:r>
          <w:rPr>
            <w:webHidden/>
          </w:rPr>
          <w:fldChar w:fldCharType="separate"/>
        </w:r>
        <w:r w:rsidR="00E5699E">
          <w:rPr>
            <w:webHidden/>
          </w:rPr>
          <w:t>88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19" w:history="1">
        <w:r w:rsidR="00C44A90" w:rsidRPr="00970548">
          <w:rPr>
            <w:rStyle w:val="Hyperlink"/>
          </w:rPr>
          <w:t>Table 7</w:t>
        </w:r>
        <w:r w:rsidR="00C44A90" w:rsidRPr="00970548">
          <w:rPr>
            <w:rStyle w:val="Hyperlink"/>
          </w:rPr>
          <w:noBreakHyphen/>
          <w:t xml:space="preserve">1 </w:t>
        </w:r>
        <w:r w:rsidR="00C44A90">
          <w:rPr>
            <w:rStyle w:val="Hyperlink"/>
          </w:rPr>
          <w:tab/>
        </w:r>
        <w:r w:rsidR="00C44A90" w:rsidRPr="00970548">
          <w:rPr>
            <w:rStyle w:val="Hyperlink"/>
          </w:rPr>
          <w:t>New England’s Generation Capacity Mix by Fuel Type Compared with the Nationwide</w:t>
        </w:r>
        <w:r w:rsidR="008C5ECA">
          <w:rPr>
            <w:rStyle w:val="Hyperlink"/>
          </w:rPr>
          <w:br/>
        </w:r>
        <w:r w:rsidR="00C44A90" w:rsidRPr="00970548">
          <w:rPr>
            <w:rStyle w:val="Hyperlink"/>
          </w:rPr>
          <w:t>Capacity Mix (%)</w:t>
        </w:r>
        <w:r w:rsidR="00C44A90">
          <w:rPr>
            <w:webHidden/>
          </w:rPr>
          <w:tab/>
        </w:r>
        <w:r>
          <w:rPr>
            <w:webHidden/>
          </w:rPr>
          <w:fldChar w:fldCharType="begin"/>
        </w:r>
        <w:r w:rsidR="00C44A90">
          <w:rPr>
            <w:webHidden/>
          </w:rPr>
          <w:instrText xml:space="preserve"> PAGEREF _Toc271552419 \h </w:instrText>
        </w:r>
        <w:r>
          <w:rPr>
            <w:webHidden/>
          </w:rPr>
        </w:r>
        <w:r>
          <w:rPr>
            <w:webHidden/>
          </w:rPr>
          <w:fldChar w:fldCharType="separate"/>
        </w:r>
        <w:r w:rsidR="00E5699E">
          <w:rPr>
            <w:webHidden/>
          </w:rPr>
          <w:t>92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0" w:history="1">
        <w:r w:rsidR="00C44A90" w:rsidRPr="00970548">
          <w:rPr>
            <w:rStyle w:val="Hyperlink"/>
          </w:rPr>
          <w:t>Table 7</w:t>
        </w:r>
        <w:r w:rsidR="00C44A90" w:rsidRPr="00970548">
          <w:rPr>
            <w:rStyle w:val="Hyperlink"/>
          </w:rPr>
          <w:noBreakHyphen/>
          <w:t xml:space="preserve">2 </w:t>
        </w:r>
        <w:r w:rsidR="00C44A90">
          <w:rPr>
            <w:rStyle w:val="Hyperlink"/>
          </w:rPr>
          <w:tab/>
        </w:r>
        <w:r w:rsidR="00C44A90" w:rsidRPr="00970548">
          <w:rPr>
            <w:rStyle w:val="Hyperlink"/>
          </w:rPr>
          <w:t>New England’s 2010 Summer Generation Capacity Mix by Fuel Type and In-Service Dates</w:t>
        </w:r>
        <w:r w:rsidR="00C44A90">
          <w:rPr>
            <w:webHidden/>
          </w:rPr>
          <w:tab/>
        </w:r>
        <w:r>
          <w:rPr>
            <w:webHidden/>
          </w:rPr>
          <w:fldChar w:fldCharType="begin"/>
        </w:r>
        <w:r w:rsidR="00C44A90">
          <w:rPr>
            <w:webHidden/>
          </w:rPr>
          <w:instrText xml:space="preserve"> PAGEREF _Toc271552420 \h </w:instrText>
        </w:r>
        <w:r>
          <w:rPr>
            <w:webHidden/>
          </w:rPr>
        </w:r>
        <w:r>
          <w:rPr>
            <w:webHidden/>
          </w:rPr>
          <w:fldChar w:fldCharType="separate"/>
        </w:r>
        <w:r w:rsidR="00E5699E">
          <w:rPr>
            <w:webHidden/>
          </w:rPr>
          <w:t>102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1" w:history="1">
        <w:r w:rsidR="00C44A90" w:rsidRPr="00970548">
          <w:rPr>
            <w:rStyle w:val="Hyperlink"/>
          </w:rPr>
          <w:t>Table 8</w:t>
        </w:r>
        <w:r w:rsidR="00C44A90" w:rsidRPr="00970548">
          <w:rPr>
            <w:rStyle w:val="Hyperlink"/>
          </w:rPr>
          <w:noBreakHyphen/>
          <w:t xml:space="preserve">1  </w:t>
        </w:r>
        <w:r w:rsidR="00C44A90">
          <w:rPr>
            <w:rStyle w:val="Hyperlink"/>
          </w:rPr>
          <w:tab/>
        </w:r>
        <w:r w:rsidR="00C44A90" w:rsidRPr="00970548">
          <w:rPr>
            <w:rStyle w:val="Hyperlink"/>
          </w:rPr>
          <w:t>Total New England Generator Emissions (1,000 tons)</w:t>
        </w:r>
        <w:r w:rsidR="00C44A90">
          <w:rPr>
            <w:webHidden/>
          </w:rPr>
          <w:tab/>
        </w:r>
        <w:r>
          <w:rPr>
            <w:webHidden/>
          </w:rPr>
          <w:fldChar w:fldCharType="begin"/>
        </w:r>
        <w:r w:rsidR="00C44A90">
          <w:rPr>
            <w:webHidden/>
          </w:rPr>
          <w:instrText xml:space="preserve"> PAGEREF _Toc271552421 \h </w:instrText>
        </w:r>
        <w:r>
          <w:rPr>
            <w:webHidden/>
          </w:rPr>
        </w:r>
        <w:r>
          <w:rPr>
            <w:webHidden/>
          </w:rPr>
          <w:fldChar w:fldCharType="separate"/>
        </w:r>
        <w:r w:rsidR="00E5699E">
          <w:rPr>
            <w:webHidden/>
          </w:rPr>
          <w:t>110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2" w:history="1">
        <w:r w:rsidR="00C44A90" w:rsidRPr="00970548">
          <w:rPr>
            <w:rStyle w:val="Hyperlink"/>
          </w:rPr>
          <w:t>Table 8</w:t>
        </w:r>
        <w:r w:rsidR="00C44A90" w:rsidRPr="00970548">
          <w:rPr>
            <w:rStyle w:val="Hyperlink"/>
          </w:rPr>
          <w:noBreakHyphen/>
          <w:t xml:space="preserve">2 </w:t>
        </w:r>
        <w:r w:rsidR="00C44A90">
          <w:rPr>
            <w:rStyle w:val="Hyperlink"/>
          </w:rPr>
          <w:tab/>
        </w:r>
        <w:r w:rsidR="00C44A90" w:rsidRPr="00970548">
          <w:rPr>
            <w:rStyle w:val="Hyperlink"/>
          </w:rPr>
          <w:t>New England Generator Average Emissions Rates, 1999 to 2008 (lbs/MWh)</w:t>
        </w:r>
        <w:r w:rsidR="00C44A90">
          <w:rPr>
            <w:webHidden/>
          </w:rPr>
          <w:tab/>
        </w:r>
        <w:r>
          <w:rPr>
            <w:webHidden/>
          </w:rPr>
          <w:fldChar w:fldCharType="begin"/>
        </w:r>
        <w:r w:rsidR="00C44A90">
          <w:rPr>
            <w:webHidden/>
          </w:rPr>
          <w:instrText xml:space="preserve"> PAGEREF _Toc271552422 \h </w:instrText>
        </w:r>
        <w:r>
          <w:rPr>
            <w:webHidden/>
          </w:rPr>
        </w:r>
        <w:r>
          <w:rPr>
            <w:webHidden/>
          </w:rPr>
          <w:fldChar w:fldCharType="separate"/>
        </w:r>
        <w:r w:rsidR="00E5699E">
          <w:rPr>
            <w:webHidden/>
          </w:rPr>
          <w:t>110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3" w:history="1">
        <w:r w:rsidR="00C44A90" w:rsidRPr="00970548">
          <w:rPr>
            <w:rStyle w:val="Hyperlink"/>
          </w:rPr>
          <w:t>Table 8</w:t>
        </w:r>
        <w:r w:rsidR="00C44A90" w:rsidRPr="00970548">
          <w:rPr>
            <w:rStyle w:val="Hyperlink"/>
          </w:rPr>
          <w:noBreakHyphen/>
          <w:t xml:space="preserve">3 </w:t>
        </w:r>
        <w:r w:rsidR="00C44A90">
          <w:rPr>
            <w:rStyle w:val="Hyperlink"/>
          </w:rPr>
          <w:tab/>
        </w:r>
        <w:r w:rsidR="00C44A90" w:rsidRPr="00970548">
          <w:rPr>
            <w:rStyle w:val="Hyperlink"/>
          </w:rPr>
          <w:t>New England Generation Annual Marginal Emission Rates (lbs/MWh)</w:t>
        </w:r>
        <w:r w:rsidR="00C44A90">
          <w:rPr>
            <w:webHidden/>
          </w:rPr>
          <w:tab/>
        </w:r>
        <w:r>
          <w:rPr>
            <w:webHidden/>
          </w:rPr>
          <w:fldChar w:fldCharType="begin"/>
        </w:r>
        <w:r w:rsidR="00C44A90">
          <w:rPr>
            <w:webHidden/>
          </w:rPr>
          <w:instrText xml:space="preserve"> PAGEREF _Toc271552423 \h </w:instrText>
        </w:r>
        <w:r>
          <w:rPr>
            <w:webHidden/>
          </w:rPr>
        </w:r>
        <w:r>
          <w:rPr>
            <w:webHidden/>
          </w:rPr>
          <w:fldChar w:fldCharType="separate"/>
        </w:r>
        <w:r w:rsidR="00E5699E">
          <w:rPr>
            <w:webHidden/>
          </w:rPr>
          <w:t>111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4" w:history="1">
        <w:r w:rsidR="00C44A90" w:rsidRPr="00970548">
          <w:rPr>
            <w:rStyle w:val="Hyperlink"/>
          </w:rPr>
          <w:t>Table 8</w:t>
        </w:r>
        <w:r w:rsidR="00C44A90" w:rsidRPr="00970548">
          <w:rPr>
            <w:rStyle w:val="Hyperlink"/>
          </w:rPr>
          <w:noBreakHyphen/>
          <w:t xml:space="preserve">4 </w:t>
        </w:r>
        <w:r w:rsidR="00C44A90">
          <w:rPr>
            <w:rStyle w:val="Hyperlink"/>
          </w:rPr>
          <w:tab/>
        </w:r>
        <w:r w:rsidR="00C44A90" w:rsidRPr="00970548">
          <w:rPr>
            <w:rStyle w:val="Hyperlink"/>
          </w:rPr>
          <w:t>Comparison of Emission Rates of Three RTO/ISOs (lbs/MWh)</w:t>
        </w:r>
        <w:r w:rsidR="00C44A90">
          <w:rPr>
            <w:webHidden/>
          </w:rPr>
          <w:tab/>
        </w:r>
        <w:r>
          <w:rPr>
            <w:webHidden/>
          </w:rPr>
          <w:fldChar w:fldCharType="begin"/>
        </w:r>
        <w:r w:rsidR="00C44A90">
          <w:rPr>
            <w:webHidden/>
          </w:rPr>
          <w:instrText xml:space="preserve"> PAGEREF _Toc271552424 \h </w:instrText>
        </w:r>
        <w:r>
          <w:rPr>
            <w:webHidden/>
          </w:rPr>
        </w:r>
        <w:r>
          <w:rPr>
            <w:webHidden/>
          </w:rPr>
          <w:fldChar w:fldCharType="separate"/>
        </w:r>
        <w:r w:rsidR="00E5699E">
          <w:rPr>
            <w:webHidden/>
          </w:rPr>
          <w:t>111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5" w:history="1">
        <w:r w:rsidR="00C44A90" w:rsidRPr="00970548">
          <w:rPr>
            <w:rStyle w:val="Hyperlink"/>
          </w:rPr>
          <w:t>Table 8</w:t>
        </w:r>
        <w:r w:rsidR="00C44A90" w:rsidRPr="00970548">
          <w:rPr>
            <w:rStyle w:val="Hyperlink"/>
          </w:rPr>
          <w:noBreakHyphen/>
          <w:t xml:space="preserve">5 </w:t>
        </w:r>
        <w:r w:rsidR="00C44A90">
          <w:rPr>
            <w:rStyle w:val="Hyperlink"/>
          </w:rPr>
          <w:tab/>
        </w:r>
        <w:r w:rsidR="00C44A90" w:rsidRPr="00970548">
          <w:rPr>
            <w:rStyle w:val="Hyperlink"/>
            <w:rFonts w:cs="Arial"/>
          </w:rPr>
          <w:t>Energy-Efficiency Resources Clearing the Primary FCM Auctions</w:t>
        </w:r>
        <w:r w:rsidR="00C44A90">
          <w:rPr>
            <w:webHidden/>
          </w:rPr>
          <w:tab/>
        </w:r>
        <w:r>
          <w:rPr>
            <w:webHidden/>
          </w:rPr>
          <w:fldChar w:fldCharType="begin"/>
        </w:r>
        <w:r w:rsidR="00C44A90">
          <w:rPr>
            <w:webHidden/>
          </w:rPr>
          <w:instrText xml:space="preserve"> PAGEREF _Toc271552425 \h </w:instrText>
        </w:r>
        <w:r>
          <w:rPr>
            <w:webHidden/>
          </w:rPr>
        </w:r>
        <w:r>
          <w:rPr>
            <w:webHidden/>
          </w:rPr>
          <w:fldChar w:fldCharType="separate"/>
        </w:r>
        <w:r w:rsidR="00E5699E">
          <w:rPr>
            <w:webHidden/>
          </w:rPr>
          <w:t>114</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6" w:history="1">
        <w:r w:rsidR="00C44A90" w:rsidRPr="00970548">
          <w:rPr>
            <w:rStyle w:val="Hyperlink"/>
          </w:rPr>
          <w:t>Table 8</w:t>
        </w:r>
        <w:r w:rsidR="00C44A90" w:rsidRPr="00970548">
          <w:rPr>
            <w:rStyle w:val="Hyperlink"/>
          </w:rPr>
          <w:noBreakHyphen/>
          <w:t xml:space="preserve">6 </w:t>
        </w:r>
        <w:r w:rsidR="00C44A90">
          <w:rPr>
            <w:rStyle w:val="Hyperlink"/>
          </w:rPr>
          <w:tab/>
        </w:r>
        <w:r w:rsidR="00C44A90" w:rsidRPr="00970548">
          <w:rPr>
            <w:rStyle w:val="Hyperlink"/>
          </w:rPr>
          <w:t>Connecticut’s Sources of Funding for Energy-Efficiency Programs, 2009</w:t>
        </w:r>
        <w:r w:rsidR="00C44A90">
          <w:rPr>
            <w:webHidden/>
          </w:rPr>
          <w:tab/>
        </w:r>
        <w:r>
          <w:rPr>
            <w:webHidden/>
          </w:rPr>
          <w:fldChar w:fldCharType="begin"/>
        </w:r>
        <w:r w:rsidR="00C44A90">
          <w:rPr>
            <w:webHidden/>
          </w:rPr>
          <w:instrText xml:space="preserve"> PAGEREF _Toc271552426 \h </w:instrText>
        </w:r>
        <w:r>
          <w:rPr>
            <w:webHidden/>
          </w:rPr>
        </w:r>
        <w:r>
          <w:rPr>
            <w:webHidden/>
          </w:rPr>
          <w:fldChar w:fldCharType="separate"/>
        </w:r>
        <w:r w:rsidR="00E5699E">
          <w:rPr>
            <w:webHidden/>
          </w:rPr>
          <w:t>115</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7" w:history="1">
        <w:r w:rsidR="00C44A90" w:rsidRPr="00970548">
          <w:rPr>
            <w:rStyle w:val="Hyperlink"/>
          </w:rPr>
          <w:t>Table 8</w:t>
        </w:r>
        <w:r w:rsidR="00C44A90" w:rsidRPr="00970548">
          <w:rPr>
            <w:rStyle w:val="Hyperlink"/>
          </w:rPr>
          <w:noBreakHyphen/>
          <w:t xml:space="preserve">7 </w:t>
        </w:r>
        <w:r w:rsidR="00C44A90">
          <w:rPr>
            <w:rStyle w:val="Hyperlink"/>
          </w:rPr>
          <w:tab/>
        </w:r>
        <w:r w:rsidR="00C44A90" w:rsidRPr="00970548">
          <w:rPr>
            <w:rStyle w:val="Hyperlink"/>
          </w:rPr>
          <w:t>Massachusetts’s Approved Spending for Energy-Efficiency Programs, 2010 to 2012</w:t>
        </w:r>
        <w:r w:rsidR="00C44A90">
          <w:rPr>
            <w:webHidden/>
          </w:rPr>
          <w:tab/>
        </w:r>
        <w:r>
          <w:rPr>
            <w:webHidden/>
          </w:rPr>
          <w:fldChar w:fldCharType="begin"/>
        </w:r>
        <w:r w:rsidR="00C44A90">
          <w:rPr>
            <w:webHidden/>
          </w:rPr>
          <w:instrText xml:space="preserve"> PAGEREF _Toc271552427 \h </w:instrText>
        </w:r>
        <w:r>
          <w:rPr>
            <w:webHidden/>
          </w:rPr>
        </w:r>
        <w:r>
          <w:rPr>
            <w:webHidden/>
          </w:rPr>
          <w:fldChar w:fldCharType="separate"/>
        </w:r>
        <w:r w:rsidR="00E5699E">
          <w:rPr>
            <w:webHidden/>
          </w:rPr>
          <w:t>116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8" w:history="1">
        <w:r w:rsidR="00C44A90" w:rsidRPr="00970548">
          <w:rPr>
            <w:rStyle w:val="Hyperlink"/>
          </w:rPr>
          <w:t>Table 8</w:t>
        </w:r>
        <w:r w:rsidR="00C44A90" w:rsidRPr="00970548">
          <w:rPr>
            <w:rStyle w:val="Hyperlink"/>
          </w:rPr>
          <w:noBreakHyphen/>
          <w:t xml:space="preserve">8 </w:t>
        </w:r>
        <w:r w:rsidR="00C44A90">
          <w:rPr>
            <w:rStyle w:val="Hyperlink"/>
          </w:rPr>
          <w:tab/>
        </w:r>
        <w:r w:rsidR="00C44A90" w:rsidRPr="00970548">
          <w:rPr>
            <w:rStyle w:val="Hyperlink"/>
          </w:rPr>
          <w:t>Rhode Island’s Approved Spending for Energy-Efficiency Programs, 2009</w:t>
        </w:r>
        <w:r w:rsidR="00C44A90">
          <w:rPr>
            <w:webHidden/>
          </w:rPr>
          <w:tab/>
        </w:r>
        <w:r>
          <w:rPr>
            <w:webHidden/>
          </w:rPr>
          <w:fldChar w:fldCharType="begin"/>
        </w:r>
        <w:r w:rsidR="00C44A90">
          <w:rPr>
            <w:webHidden/>
          </w:rPr>
          <w:instrText xml:space="preserve"> PAGEREF _Toc271552428 \h </w:instrText>
        </w:r>
        <w:r>
          <w:rPr>
            <w:webHidden/>
          </w:rPr>
        </w:r>
        <w:r>
          <w:rPr>
            <w:webHidden/>
          </w:rPr>
          <w:fldChar w:fldCharType="separate"/>
        </w:r>
        <w:r w:rsidR="00E5699E">
          <w:rPr>
            <w:webHidden/>
          </w:rPr>
          <w:t>116</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29" w:history="1">
        <w:r w:rsidR="00C44A90" w:rsidRPr="00970548">
          <w:rPr>
            <w:rStyle w:val="Hyperlink"/>
          </w:rPr>
          <w:t>Table 8</w:t>
        </w:r>
        <w:r w:rsidR="00C44A90" w:rsidRPr="00970548">
          <w:rPr>
            <w:rStyle w:val="Hyperlink"/>
          </w:rPr>
          <w:noBreakHyphen/>
          <w:t xml:space="preserve">9 </w:t>
        </w:r>
        <w:r w:rsidR="00C44A90">
          <w:rPr>
            <w:rStyle w:val="Hyperlink"/>
          </w:rPr>
          <w:tab/>
        </w:r>
        <w:r w:rsidR="00C44A90" w:rsidRPr="00970548">
          <w:rPr>
            <w:rStyle w:val="Hyperlink"/>
          </w:rPr>
          <w:t>Vermont’s Funding Sources for Energy-Efficiency Programs, 2009</w:t>
        </w:r>
        <w:r w:rsidR="00C44A90">
          <w:rPr>
            <w:webHidden/>
          </w:rPr>
          <w:tab/>
        </w:r>
        <w:r>
          <w:rPr>
            <w:webHidden/>
          </w:rPr>
          <w:fldChar w:fldCharType="begin"/>
        </w:r>
        <w:r w:rsidR="00C44A90">
          <w:rPr>
            <w:webHidden/>
          </w:rPr>
          <w:instrText xml:space="preserve"> PAGEREF _Toc271552429 \h </w:instrText>
        </w:r>
        <w:r>
          <w:rPr>
            <w:webHidden/>
          </w:rPr>
        </w:r>
        <w:r>
          <w:rPr>
            <w:webHidden/>
          </w:rPr>
          <w:fldChar w:fldCharType="separate"/>
        </w:r>
        <w:r w:rsidR="00E5699E">
          <w:rPr>
            <w:webHidden/>
          </w:rPr>
          <w:t>117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0" w:history="1">
        <w:r w:rsidR="00C44A90" w:rsidRPr="00970548">
          <w:rPr>
            <w:rStyle w:val="Hyperlink"/>
          </w:rPr>
          <w:t>Table 8</w:t>
        </w:r>
        <w:r w:rsidR="00C44A90" w:rsidRPr="00970548">
          <w:rPr>
            <w:rStyle w:val="Hyperlink"/>
          </w:rPr>
          <w:noBreakHyphen/>
          <w:t xml:space="preserve">10 </w:t>
        </w:r>
        <w:r w:rsidR="00C44A90">
          <w:rPr>
            <w:rStyle w:val="Hyperlink"/>
          </w:rPr>
          <w:tab/>
        </w:r>
        <w:r w:rsidR="00C44A90" w:rsidRPr="00970548">
          <w:rPr>
            <w:rStyle w:val="Hyperlink"/>
          </w:rPr>
          <w:t>New Hampshire’s Proposed Funding Levels for the CORE Energy-Efficiency Programs, 2010</w:t>
        </w:r>
        <w:r w:rsidR="00C44A90">
          <w:rPr>
            <w:webHidden/>
          </w:rPr>
          <w:tab/>
        </w:r>
        <w:r>
          <w:rPr>
            <w:webHidden/>
          </w:rPr>
          <w:fldChar w:fldCharType="begin"/>
        </w:r>
        <w:r w:rsidR="00C44A90">
          <w:rPr>
            <w:webHidden/>
          </w:rPr>
          <w:instrText xml:space="preserve"> PAGEREF _Toc271552430 \h </w:instrText>
        </w:r>
        <w:r>
          <w:rPr>
            <w:webHidden/>
          </w:rPr>
        </w:r>
        <w:r>
          <w:rPr>
            <w:webHidden/>
          </w:rPr>
          <w:fldChar w:fldCharType="separate"/>
        </w:r>
        <w:r w:rsidR="00E5699E">
          <w:rPr>
            <w:webHidden/>
          </w:rPr>
          <w:t>118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1" w:history="1">
        <w:r w:rsidR="00C44A90" w:rsidRPr="00970548">
          <w:rPr>
            <w:rStyle w:val="Hyperlink"/>
          </w:rPr>
          <w:t>Table 8</w:t>
        </w:r>
        <w:r w:rsidR="00C44A90" w:rsidRPr="00970548">
          <w:rPr>
            <w:rStyle w:val="Hyperlink"/>
          </w:rPr>
          <w:noBreakHyphen/>
          <w:t xml:space="preserve">11 </w:t>
        </w:r>
        <w:r w:rsidR="00C44A90">
          <w:rPr>
            <w:rStyle w:val="Hyperlink"/>
          </w:rPr>
          <w:tab/>
        </w:r>
        <w:r w:rsidR="00C44A90" w:rsidRPr="00970548">
          <w:rPr>
            <w:rStyle w:val="Hyperlink"/>
          </w:rPr>
          <w:t>Maine’s Proposed Funding Levels and Sources for Energy-Efficiency Programs, 2011 to 2013</w:t>
        </w:r>
        <w:r w:rsidR="00C44A90">
          <w:rPr>
            <w:webHidden/>
          </w:rPr>
          <w:tab/>
        </w:r>
        <w:r>
          <w:rPr>
            <w:webHidden/>
          </w:rPr>
          <w:fldChar w:fldCharType="begin"/>
        </w:r>
        <w:r w:rsidR="00C44A90">
          <w:rPr>
            <w:webHidden/>
          </w:rPr>
          <w:instrText xml:space="preserve"> PAGEREF _Toc271552431 \h </w:instrText>
        </w:r>
        <w:r>
          <w:rPr>
            <w:webHidden/>
          </w:rPr>
        </w:r>
        <w:r>
          <w:rPr>
            <w:webHidden/>
          </w:rPr>
          <w:fldChar w:fldCharType="separate"/>
        </w:r>
        <w:r w:rsidR="00E5699E">
          <w:rPr>
            <w:webHidden/>
          </w:rPr>
          <w:t>118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2" w:history="1">
        <w:r w:rsidR="00C44A90" w:rsidRPr="00970548">
          <w:rPr>
            <w:rStyle w:val="Hyperlink"/>
          </w:rPr>
          <w:t>Table 8</w:t>
        </w:r>
        <w:r w:rsidR="00C44A90" w:rsidRPr="00970548">
          <w:rPr>
            <w:rStyle w:val="Hyperlink"/>
          </w:rPr>
          <w:noBreakHyphen/>
          <w:t xml:space="preserve">12 </w:t>
        </w:r>
        <w:r w:rsidR="00C44A90">
          <w:rPr>
            <w:rStyle w:val="Hyperlink"/>
          </w:rPr>
          <w:tab/>
        </w:r>
        <w:r w:rsidR="00C44A90" w:rsidRPr="00970548">
          <w:rPr>
            <w:rStyle w:val="Hyperlink"/>
          </w:rPr>
          <w:t>Projected Reductions in Electric Energy Use Based on the RSP Forecast</w:t>
        </w:r>
        <w:r w:rsidR="008C5ECA">
          <w:rPr>
            <w:rStyle w:val="Hyperlink"/>
          </w:rPr>
          <w:br/>
        </w:r>
        <w:r w:rsidR="00C44A90" w:rsidRPr="00970548">
          <w:rPr>
            <w:rStyle w:val="Hyperlink"/>
          </w:rPr>
          <w:t>of 2020 State Loads (GWh)</w:t>
        </w:r>
        <w:r w:rsidR="00C44A90">
          <w:rPr>
            <w:webHidden/>
          </w:rPr>
          <w:tab/>
        </w:r>
        <w:r>
          <w:rPr>
            <w:webHidden/>
          </w:rPr>
          <w:fldChar w:fldCharType="begin"/>
        </w:r>
        <w:r w:rsidR="00C44A90">
          <w:rPr>
            <w:webHidden/>
          </w:rPr>
          <w:instrText xml:space="preserve"> PAGEREF _Toc271552432 \h </w:instrText>
        </w:r>
        <w:r>
          <w:rPr>
            <w:webHidden/>
          </w:rPr>
        </w:r>
        <w:r>
          <w:rPr>
            <w:webHidden/>
          </w:rPr>
          <w:fldChar w:fldCharType="separate"/>
        </w:r>
        <w:r w:rsidR="00E5699E">
          <w:rPr>
            <w:webHidden/>
          </w:rPr>
          <w:t>119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3" w:history="1">
        <w:r w:rsidR="00C44A90" w:rsidRPr="00970548">
          <w:rPr>
            <w:rStyle w:val="Hyperlink"/>
          </w:rPr>
          <w:t>Table 8</w:t>
        </w:r>
        <w:r w:rsidR="00C44A90" w:rsidRPr="00970548">
          <w:rPr>
            <w:rStyle w:val="Hyperlink"/>
          </w:rPr>
          <w:noBreakHyphen/>
          <w:t xml:space="preserve">13 </w:t>
        </w:r>
        <w:r w:rsidR="00C44A90">
          <w:rPr>
            <w:rStyle w:val="Hyperlink"/>
          </w:rPr>
          <w:tab/>
        </w:r>
        <w:r w:rsidR="00C44A90" w:rsidRPr="00970548">
          <w:rPr>
            <w:rStyle w:val="Hyperlink"/>
          </w:rPr>
          <w:t>Key Facts on the New England States’ Energy-Efficiency Programs and Goals</w:t>
        </w:r>
        <w:r w:rsidR="00C44A90">
          <w:rPr>
            <w:webHidden/>
          </w:rPr>
          <w:tab/>
        </w:r>
        <w:r>
          <w:rPr>
            <w:webHidden/>
          </w:rPr>
          <w:fldChar w:fldCharType="begin"/>
        </w:r>
        <w:r w:rsidR="00C44A90">
          <w:rPr>
            <w:webHidden/>
          </w:rPr>
          <w:instrText xml:space="preserve"> PAGEREF _Toc271552433 \h </w:instrText>
        </w:r>
        <w:r>
          <w:rPr>
            <w:webHidden/>
          </w:rPr>
        </w:r>
        <w:r>
          <w:rPr>
            <w:webHidden/>
          </w:rPr>
          <w:fldChar w:fldCharType="separate"/>
        </w:r>
        <w:r w:rsidR="00E5699E">
          <w:rPr>
            <w:webHidden/>
          </w:rPr>
          <w:t>120</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4" w:history="1">
        <w:r w:rsidR="00C44A90" w:rsidRPr="00970548">
          <w:rPr>
            <w:rStyle w:val="Hyperlink"/>
          </w:rPr>
          <w:t>Table 8</w:t>
        </w:r>
        <w:r w:rsidR="00C44A90" w:rsidRPr="00970548">
          <w:rPr>
            <w:rStyle w:val="Hyperlink"/>
          </w:rPr>
          <w:noBreakHyphen/>
          <w:t xml:space="preserve">14 </w:t>
        </w:r>
        <w:r w:rsidR="00C44A90">
          <w:rPr>
            <w:rStyle w:val="Hyperlink"/>
          </w:rPr>
          <w:tab/>
        </w:r>
        <w:r w:rsidR="00C44A90" w:rsidRPr="00970548">
          <w:rPr>
            <w:rStyle w:val="Hyperlink"/>
          </w:rPr>
          <w:t>Summary of Technologies Designated in Renewable Portfolio Standards in New England</w:t>
        </w:r>
        <w:r w:rsidR="00C44A90">
          <w:rPr>
            <w:webHidden/>
          </w:rPr>
          <w:tab/>
        </w:r>
        <w:r>
          <w:rPr>
            <w:webHidden/>
          </w:rPr>
          <w:fldChar w:fldCharType="begin"/>
        </w:r>
        <w:r w:rsidR="00C44A90">
          <w:rPr>
            <w:webHidden/>
          </w:rPr>
          <w:instrText xml:space="preserve"> PAGEREF _Toc271552434 \h </w:instrText>
        </w:r>
        <w:r>
          <w:rPr>
            <w:webHidden/>
          </w:rPr>
        </w:r>
        <w:r>
          <w:rPr>
            <w:webHidden/>
          </w:rPr>
          <w:fldChar w:fldCharType="separate"/>
        </w:r>
        <w:r w:rsidR="00E5699E">
          <w:rPr>
            <w:webHidden/>
          </w:rPr>
          <w:t>122</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5" w:history="1">
        <w:r w:rsidR="00C44A90" w:rsidRPr="00970548">
          <w:rPr>
            <w:rStyle w:val="Hyperlink"/>
          </w:rPr>
          <w:t>Table 8</w:t>
        </w:r>
        <w:r w:rsidR="00C44A90" w:rsidRPr="00970548">
          <w:rPr>
            <w:rStyle w:val="Hyperlink"/>
          </w:rPr>
          <w:noBreakHyphen/>
          <w:t xml:space="preserve">15 </w:t>
        </w:r>
        <w:r w:rsidR="00C44A90">
          <w:rPr>
            <w:rStyle w:val="Hyperlink"/>
          </w:rPr>
          <w:tab/>
        </w:r>
        <w:r w:rsidR="00C44A90" w:rsidRPr="00970548">
          <w:rPr>
            <w:rStyle w:val="Hyperlink"/>
          </w:rPr>
          <w:t xml:space="preserve">Annual Percentages of Electric Energy </w:t>
        </w:r>
        <w:r w:rsidR="007550BD">
          <w:rPr>
            <w:rStyle w:val="Hyperlink"/>
          </w:rPr>
          <w:t>Use</w:t>
        </w:r>
        <w:r w:rsidR="00C44A90" w:rsidRPr="00970548">
          <w:rPr>
            <w:rStyle w:val="Hyperlink"/>
          </w:rPr>
          <w:t xml:space="preserve"> by Affected Load-Serving Entities</w:t>
        </w:r>
        <w:r w:rsidR="008C5ECA">
          <w:rPr>
            <w:rStyle w:val="Hyperlink"/>
          </w:rPr>
          <w:br/>
        </w:r>
        <w:r w:rsidR="00C44A90" w:rsidRPr="00970548">
          <w:rPr>
            <w:rStyle w:val="Hyperlink"/>
          </w:rPr>
          <w:t>for Meeting the States’ RPS Classes, 2010 to 2020</w:t>
        </w:r>
        <w:r w:rsidR="00C44A90">
          <w:rPr>
            <w:webHidden/>
          </w:rPr>
          <w:tab/>
        </w:r>
        <w:r>
          <w:rPr>
            <w:webHidden/>
          </w:rPr>
          <w:fldChar w:fldCharType="begin"/>
        </w:r>
        <w:r w:rsidR="00C44A90">
          <w:rPr>
            <w:webHidden/>
          </w:rPr>
          <w:instrText xml:space="preserve"> PAGEREF _Toc271552435 \h </w:instrText>
        </w:r>
        <w:r>
          <w:rPr>
            <w:webHidden/>
          </w:rPr>
        </w:r>
        <w:r>
          <w:rPr>
            <w:webHidden/>
          </w:rPr>
          <w:fldChar w:fldCharType="separate"/>
        </w:r>
        <w:r w:rsidR="00E5699E">
          <w:rPr>
            <w:webHidden/>
          </w:rPr>
          <w:t>123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6" w:history="1">
        <w:r w:rsidR="00C44A90" w:rsidRPr="00970548">
          <w:rPr>
            <w:rStyle w:val="Hyperlink"/>
          </w:rPr>
          <w:t>Table 8</w:t>
        </w:r>
        <w:r w:rsidR="00C44A90" w:rsidRPr="00970548">
          <w:rPr>
            <w:rStyle w:val="Hyperlink"/>
          </w:rPr>
          <w:noBreakHyphen/>
          <w:t xml:space="preserve">16 </w:t>
        </w:r>
        <w:r w:rsidR="00C44A90">
          <w:rPr>
            <w:rStyle w:val="Hyperlink"/>
          </w:rPr>
          <w:tab/>
        </w:r>
        <w:r w:rsidR="00C44A90" w:rsidRPr="00970548">
          <w:rPr>
            <w:rStyle w:val="Hyperlink"/>
          </w:rPr>
          <w:t>Estimated New England RPS and Related Targets for Renewables and Energy Efficiency</w:t>
        </w:r>
        <w:r w:rsidR="008C5ECA">
          <w:rPr>
            <w:rStyle w:val="Hyperlink"/>
          </w:rPr>
          <w:br/>
        </w:r>
        <w:r w:rsidR="00C44A90" w:rsidRPr="00970548">
          <w:rPr>
            <w:rStyle w:val="Hyperlink"/>
          </w:rPr>
          <w:t>(GWh and %)</w:t>
        </w:r>
        <w:r w:rsidR="00C44A90">
          <w:rPr>
            <w:webHidden/>
          </w:rPr>
          <w:tab/>
        </w:r>
        <w:r>
          <w:rPr>
            <w:webHidden/>
          </w:rPr>
          <w:fldChar w:fldCharType="begin"/>
        </w:r>
        <w:r w:rsidR="00C44A90">
          <w:rPr>
            <w:webHidden/>
          </w:rPr>
          <w:instrText xml:space="preserve"> PAGEREF _Toc271552436 \h </w:instrText>
        </w:r>
        <w:r>
          <w:rPr>
            <w:webHidden/>
          </w:rPr>
        </w:r>
        <w:r>
          <w:rPr>
            <w:webHidden/>
          </w:rPr>
          <w:fldChar w:fldCharType="separate"/>
        </w:r>
        <w:r w:rsidR="00E5699E">
          <w:rPr>
            <w:webHidden/>
          </w:rPr>
          <w:t>127</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7" w:history="1">
        <w:r w:rsidR="00C44A90" w:rsidRPr="00970548">
          <w:rPr>
            <w:rStyle w:val="Hyperlink"/>
          </w:rPr>
          <w:t>Table 8</w:t>
        </w:r>
        <w:r w:rsidR="00C44A90" w:rsidRPr="00970548">
          <w:rPr>
            <w:rStyle w:val="Hyperlink"/>
          </w:rPr>
          <w:noBreakHyphen/>
          <w:t xml:space="preserve">17 </w:t>
        </w:r>
        <w:r w:rsidR="00C44A90">
          <w:rPr>
            <w:rStyle w:val="Hyperlink"/>
          </w:rPr>
          <w:tab/>
        </w:r>
        <w:r w:rsidR="00C44A90" w:rsidRPr="00970548">
          <w:rPr>
            <w:rStyle w:val="Hyperlink"/>
          </w:rPr>
          <w:t>New England RPS and Related Targets for Renewables and Energy Efficiency, by Category (%)</w:t>
        </w:r>
        <w:r w:rsidR="00C44A90">
          <w:rPr>
            <w:webHidden/>
          </w:rPr>
          <w:tab/>
        </w:r>
        <w:r>
          <w:rPr>
            <w:webHidden/>
          </w:rPr>
          <w:fldChar w:fldCharType="begin"/>
        </w:r>
        <w:r w:rsidR="00C44A90">
          <w:rPr>
            <w:webHidden/>
          </w:rPr>
          <w:instrText xml:space="preserve"> PAGEREF _Toc271552437 \h </w:instrText>
        </w:r>
        <w:r>
          <w:rPr>
            <w:webHidden/>
          </w:rPr>
        </w:r>
        <w:r>
          <w:rPr>
            <w:webHidden/>
          </w:rPr>
          <w:fldChar w:fldCharType="separate"/>
        </w:r>
        <w:r w:rsidR="00E5699E">
          <w:rPr>
            <w:webHidden/>
          </w:rPr>
          <w:t>128</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8" w:history="1">
        <w:r w:rsidR="00C44A90" w:rsidRPr="00970548">
          <w:rPr>
            <w:rStyle w:val="Hyperlink"/>
          </w:rPr>
          <w:t>Table 8</w:t>
        </w:r>
        <w:r w:rsidR="00C44A90" w:rsidRPr="00970548">
          <w:rPr>
            <w:rStyle w:val="Hyperlink"/>
          </w:rPr>
          <w:noBreakHyphen/>
          <w:t xml:space="preserve">18 </w:t>
        </w:r>
        <w:r w:rsidR="00C44A90">
          <w:rPr>
            <w:rStyle w:val="Hyperlink"/>
          </w:rPr>
          <w:tab/>
        </w:r>
        <w:r w:rsidR="00C44A90" w:rsidRPr="00970548">
          <w:rPr>
            <w:rStyle w:val="Hyperlink"/>
          </w:rPr>
          <w:t>Projected New England RPSs for “New” Renewables Beyond 2009 (GWh)</w:t>
        </w:r>
        <w:r w:rsidR="00C44A90">
          <w:rPr>
            <w:webHidden/>
          </w:rPr>
          <w:tab/>
        </w:r>
        <w:r>
          <w:rPr>
            <w:webHidden/>
          </w:rPr>
          <w:fldChar w:fldCharType="begin"/>
        </w:r>
        <w:r w:rsidR="00C44A90">
          <w:rPr>
            <w:webHidden/>
          </w:rPr>
          <w:instrText xml:space="preserve"> PAGEREF _Toc271552438 \h </w:instrText>
        </w:r>
        <w:r>
          <w:rPr>
            <w:webHidden/>
          </w:rPr>
        </w:r>
        <w:r>
          <w:rPr>
            <w:webHidden/>
          </w:rPr>
          <w:fldChar w:fldCharType="separate"/>
        </w:r>
        <w:r w:rsidR="00E5699E">
          <w:rPr>
            <w:webHidden/>
          </w:rPr>
          <w:t>129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39" w:history="1">
        <w:r w:rsidR="00C44A90" w:rsidRPr="00970548">
          <w:rPr>
            <w:rStyle w:val="Hyperlink"/>
          </w:rPr>
          <w:t>Table 8</w:t>
        </w:r>
        <w:r w:rsidR="00C44A90" w:rsidRPr="00970548">
          <w:rPr>
            <w:rStyle w:val="Hyperlink"/>
          </w:rPr>
          <w:noBreakHyphen/>
          <w:t xml:space="preserve">19 </w:t>
        </w:r>
        <w:r w:rsidR="00C44A90">
          <w:rPr>
            <w:rStyle w:val="Hyperlink"/>
          </w:rPr>
          <w:tab/>
        </w:r>
        <w:r w:rsidR="00C44A90" w:rsidRPr="00970548">
          <w:rPr>
            <w:rStyle w:val="Hyperlink"/>
          </w:rPr>
          <w:t>Estimated Energy from New England Renewable Energy Projects in the ISO Queue</w:t>
        </w:r>
        <w:r w:rsidR="008C5ECA">
          <w:rPr>
            <w:rStyle w:val="Hyperlink"/>
          </w:rPr>
          <w:br/>
        </w:r>
        <w:r w:rsidR="00C44A90" w:rsidRPr="00970548">
          <w:rPr>
            <w:rStyle w:val="Hyperlink"/>
          </w:rPr>
          <w:t>as of April 1, 2010</w:t>
        </w:r>
        <w:r w:rsidR="00C44A90">
          <w:rPr>
            <w:webHidden/>
          </w:rPr>
          <w:tab/>
        </w:r>
        <w:r>
          <w:rPr>
            <w:webHidden/>
          </w:rPr>
          <w:fldChar w:fldCharType="begin"/>
        </w:r>
        <w:r w:rsidR="00C44A90">
          <w:rPr>
            <w:webHidden/>
          </w:rPr>
          <w:instrText xml:space="preserve"> PAGEREF _Toc271552439 \h </w:instrText>
        </w:r>
        <w:r>
          <w:rPr>
            <w:webHidden/>
          </w:rPr>
        </w:r>
        <w:r>
          <w:rPr>
            <w:webHidden/>
          </w:rPr>
          <w:fldChar w:fldCharType="separate"/>
        </w:r>
        <w:r w:rsidR="00E5699E">
          <w:rPr>
            <w:webHidden/>
          </w:rPr>
          <w:t>131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40" w:history="1">
        <w:r w:rsidR="00C44A90" w:rsidRPr="00970548">
          <w:rPr>
            <w:rStyle w:val="Hyperlink"/>
          </w:rPr>
          <w:t>Table 8</w:t>
        </w:r>
        <w:r w:rsidR="00C44A90" w:rsidRPr="00970548">
          <w:rPr>
            <w:rStyle w:val="Hyperlink"/>
          </w:rPr>
          <w:noBreakHyphen/>
          <w:t xml:space="preserve">20  </w:t>
        </w:r>
        <w:r w:rsidR="00C44A90">
          <w:rPr>
            <w:rStyle w:val="Hyperlink"/>
          </w:rPr>
          <w:tab/>
        </w:r>
        <w:r w:rsidR="00C44A90" w:rsidRPr="00970548">
          <w:rPr>
            <w:rStyle w:val="Hyperlink"/>
          </w:rPr>
          <w:t>Summary of All Projects and Wind Projects in ISO Queue as of April 1, 2010</w:t>
        </w:r>
        <w:r w:rsidR="00C44A90">
          <w:rPr>
            <w:webHidden/>
          </w:rPr>
          <w:tab/>
        </w:r>
        <w:r>
          <w:rPr>
            <w:webHidden/>
          </w:rPr>
          <w:fldChar w:fldCharType="begin"/>
        </w:r>
        <w:r w:rsidR="00C44A90">
          <w:rPr>
            <w:webHidden/>
          </w:rPr>
          <w:instrText xml:space="preserve"> PAGEREF _Toc271552440 \h </w:instrText>
        </w:r>
        <w:r>
          <w:rPr>
            <w:webHidden/>
          </w:rPr>
        </w:r>
        <w:r>
          <w:rPr>
            <w:webHidden/>
          </w:rPr>
          <w:fldChar w:fldCharType="separate"/>
        </w:r>
        <w:r w:rsidR="00E5699E">
          <w:rPr>
            <w:webHidden/>
          </w:rPr>
          <w:t>133</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41" w:history="1">
        <w:r w:rsidR="00C44A90" w:rsidRPr="00970548">
          <w:rPr>
            <w:rStyle w:val="Hyperlink"/>
          </w:rPr>
          <w:t>Table 9</w:t>
        </w:r>
        <w:r w:rsidR="00C44A90" w:rsidRPr="00970548">
          <w:rPr>
            <w:rStyle w:val="Hyperlink"/>
          </w:rPr>
          <w:noBreakHyphen/>
          <w:t xml:space="preserve">1 </w:t>
        </w:r>
        <w:r w:rsidR="00C44A90">
          <w:rPr>
            <w:rStyle w:val="Hyperlink"/>
          </w:rPr>
          <w:tab/>
        </w:r>
        <w:r w:rsidR="00C44A90" w:rsidRPr="00970548">
          <w:rPr>
            <w:rStyle w:val="Hyperlink"/>
          </w:rPr>
          <w:t>Solar Policies in New England and Neighboring Areas</w:t>
        </w:r>
        <w:r w:rsidR="00C44A90">
          <w:rPr>
            <w:webHidden/>
          </w:rPr>
          <w:tab/>
        </w:r>
        <w:r>
          <w:rPr>
            <w:webHidden/>
          </w:rPr>
          <w:fldChar w:fldCharType="begin"/>
        </w:r>
        <w:r w:rsidR="00C44A90">
          <w:rPr>
            <w:webHidden/>
          </w:rPr>
          <w:instrText xml:space="preserve"> PAGEREF _Toc271552441 \h </w:instrText>
        </w:r>
        <w:r>
          <w:rPr>
            <w:webHidden/>
          </w:rPr>
        </w:r>
        <w:r>
          <w:rPr>
            <w:webHidden/>
          </w:rPr>
          <w:fldChar w:fldCharType="separate"/>
        </w:r>
        <w:r w:rsidR="00E5699E">
          <w:rPr>
            <w:webHidden/>
          </w:rPr>
          <w:t>151</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42" w:history="1">
        <w:r w:rsidR="00C44A90" w:rsidRPr="00970548">
          <w:rPr>
            <w:rStyle w:val="Hyperlink"/>
          </w:rPr>
          <w:t>Table 10</w:t>
        </w:r>
        <w:r w:rsidR="00C44A90" w:rsidRPr="00970548">
          <w:rPr>
            <w:rStyle w:val="Hyperlink"/>
          </w:rPr>
          <w:noBreakHyphen/>
          <w:t xml:space="preserve">1 </w:t>
        </w:r>
        <w:r w:rsidR="00C44A90">
          <w:rPr>
            <w:rStyle w:val="Hyperlink"/>
          </w:rPr>
          <w:tab/>
        </w:r>
        <w:r w:rsidR="00C44A90" w:rsidRPr="00970548">
          <w:rPr>
            <w:rStyle w:val="Hyperlink"/>
          </w:rPr>
          <w:t>Interfaces Modeled</w:t>
        </w:r>
        <w:r w:rsidR="00C44A90">
          <w:rPr>
            <w:webHidden/>
          </w:rPr>
          <w:tab/>
        </w:r>
        <w:r>
          <w:rPr>
            <w:webHidden/>
          </w:rPr>
          <w:fldChar w:fldCharType="begin"/>
        </w:r>
        <w:r w:rsidR="00C44A90">
          <w:rPr>
            <w:webHidden/>
          </w:rPr>
          <w:instrText xml:space="preserve"> PAGEREF _Toc271552442 \h </w:instrText>
        </w:r>
        <w:r>
          <w:rPr>
            <w:webHidden/>
          </w:rPr>
        </w:r>
        <w:r>
          <w:rPr>
            <w:webHidden/>
          </w:rPr>
          <w:fldChar w:fldCharType="separate"/>
        </w:r>
        <w:r w:rsidR="00E5699E">
          <w:rPr>
            <w:webHidden/>
          </w:rPr>
          <w:t>159</w:t>
        </w:r>
        <w:r>
          <w:rPr>
            <w:webHidden/>
          </w:rPr>
          <w:fldChar w:fldCharType="end"/>
        </w:r>
      </w:hyperlink>
    </w:p>
    <w:p w:rsidR="00C44A90" w:rsidRDefault="00832C7A">
      <w:pPr>
        <w:pStyle w:val="TableofFigures"/>
        <w:rPr>
          <w:rFonts w:asciiTheme="minorHAnsi" w:eastAsiaTheme="minorEastAsia" w:hAnsiTheme="minorHAnsi" w:cstheme="minorBidi"/>
          <w:bCs w:val="0"/>
          <w:sz w:val="22"/>
          <w:szCs w:val="22"/>
        </w:rPr>
      </w:pPr>
      <w:hyperlink w:anchor="_Toc271552443" w:history="1">
        <w:r w:rsidR="00C44A90" w:rsidRPr="00970548">
          <w:rPr>
            <w:rStyle w:val="Hyperlink"/>
          </w:rPr>
          <w:t>Table 10</w:t>
        </w:r>
        <w:r w:rsidR="00C44A90" w:rsidRPr="00970548">
          <w:rPr>
            <w:rStyle w:val="Hyperlink"/>
          </w:rPr>
          <w:noBreakHyphen/>
          <w:t xml:space="preserve">2 </w:t>
        </w:r>
        <w:r w:rsidR="00C44A90">
          <w:rPr>
            <w:rStyle w:val="Hyperlink"/>
          </w:rPr>
          <w:tab/>
        </w:r>
        <w:r w:rsidR="00C44A90" w:rsidRPr="00970548">
          <w:rPr>
            <w:rStyle w:val="Hyperlink"/>
          </w:rPr>
          <w:t>Generic Capital Cost Estimates for Generation and Demand Resources</w:t>
        </w:r>
        <w:r w:rsidR="00C44A90">
          <w:rPr>
            <w:webHidden/>
          </w:rPr>
          <w:tab/>
        </w:r>
        <w:r>
          <w:rPr>
            <w:webHidden/>
          </w:rPr>
          <w:fldChar w:fldCharType="begin"/>
        </w:r>
        <w:r w:rsidR="00C44A90">
          <w:rPr>
            <w:webHidden/>
          </w:rPr>
          <w:instrText xml:space="preserve"> PAGEREF _Toc271552443 \h </w:instrText>
        </w:r>
        <w:r>
          <w:rPr>
            <w:webHidden/>
          </w:rPr>
        </w:r>
        <w:r>
          <w:rPr>
            <w:webHidden/>
          </w:rPr>
          <w:fldChar w:fldCharType="separate"/>
        </w:r>
        <w:r w:rsidR="00E5699E">
          <w:rPr>
            <w:webHidden/>
          </w:rPr>
          <w:t>164</w:t>
        </w:r>
        <w:r>
          <w:rPr>
            <w:webHidden/>
          </w:rPr>
          <w:fldChar w:fldCharType="end"/>
        </w:r>
      </w:hyperlink>
    </w:p>
    <w:p w:rsidR="008D19E7" w:rsidRDefault="00832C7A" w:rsidP="00073277">
      <w:pPr>
        <w:sectPr w:rsidR="008D19E7" w:rsidSect="00015282">
          <w:pgSz w:w="12240" w:h="15840"/>
          <w:pgMar w:top="1350" w:right="1440" w:bottom="1440" w:left="1440" w:header="720" w:footer="720" w:gutter="0"/>
          <w:pgNumType w:fmt="lowerRoman"/>
          <w:cols w:space="720"/>
          <w:docGrid w:linePitch="360"/>
        </w:sectPr>
      </w:pPr>
      <w:r>
        <w:fldChar w:fldCharType="end"/>
      </w:r>
    </w:p>
    <w:p w:rsidR="00130F43" w:rsidRDefault="00130F43" w:rsidP="00073277">
      <w:pPr>
        <w:sectPr w:rsidR="00130F43" w:rsidSect="00015282">
          <w:headerReference w:type="default" r:id="rId16"/>
          <w:footerReference w:type="default" r:id="rId17"/>
          <w:pgSz w:w="12240" w:h="15840"/>
          <w:pgMar w:top="1350" w:right="1440" w:bottom="1440" w:left="1440" w:header="720" w:footer="720" w:gutter="0"/>
          <w:pgNumType w:fmt="lowerRoman"/>
          <w:cols w:space="720"/>
          <w:docGrid w:linePitch="360"/>
        </w:sectPr>
      </w:pPr>
    </w:p>
    <w:p w:rsidR="00E41E3A" w:rsidRPr="00724E21" w:rsidRDefault="00E41E3A" w:rsidP="00DF39BB">
      <w:pPr>
        <w:pStyle w:val="Heading1"/>
      </w:pPr>
      <w:r>
        <w:br/>
      </w:r>
      <w:bookmarkStart w:id="9" w:name="_Toc262455825"/>
      <w:bookmarkStart w:id="10" w:name="_Toc271632195"/>
      <w:r w:rsidRPr="00724E21">
        <w:t>Executive Summary</w:t>
      </w:r>
      <w:bookmarkEnd w:id="9"/>
      <w:bookmarkEnd w:id="10"/>
    </w:p>
    <w:p w:rsidR="00CD46CA" w:rsidRDefault="00CD46CA" w:rsidP="00CD46CA">
      <w:r>
        <w:t xml:space="preserve">The ISO New England (ISO) </w:t>
      </w:r>
      <w:r>
        <w:rPr>
          <w:i/>
        </w:rPr>
        <w:t>2010 Regional System Plan</w:t>
      </w:r>
      <w:r>
        <w:t xml:space="preserve"> (RSP10) presents the results of load, resource, and transmission analyses of New England’s electric power system for the 10-year planning period through 2019</w:t>
      </w:r>
      <w:r w:rsidRPr="000170AD">
        <w:t xml:space="preserve">. </w:t>
      </w:r>
      <w:r w:rsidRPr="002D4ED5">
        <w:t xml:space="preserve">The report describes the major factors influencing the development of the electric power system for </w:t>
      </w:r>
      <w:r w:rsidRPr="000764E4">
        <w:t>these future years and how the region can provide a reliable and economic system in compliance</w:t>
      </w:r>
      <w:r w:rsidRPr="002D4ED5">
        <w:t xml:space="preserve"> with federal </w:t>
      </w:r>
      <w:r>
        <w:t xml:space="preserve">and state </w:t>
      </w:r>
      <w:r w:rsidRPr="002D4ED5">
        <w:t xml:space="preserve">regulations and guidelines. </w:t>
      </w:r>
      <w:r>
        <w:t xml:space="preserve">In addition to complying with the </w:t>
      </w:r>
      <w:r w:rsidRPr="008C2A38">
        <w:t xml:space="preserve">ISO’s </w:t>
      </w:r>
      <w:r w:rsidRPr="008C2A38">
        <w:rPr>
          <w:i/>
        </w:rPr>
        <w:t>Transmission, Markets, and Services Tariff</w:t>
      </w:r>
      <w:r>
        <w:t>, approved by the Federal Energy Regulatory Commission (FERC),</w:t>
      </w:r>
      <w:r w:rsidRPr="00654387">
        <w:t xml:space="preserve"> </w:t>
      </w:r>
      <w:r>
        <w:t xml:space="preserve">RSP10 </w:t>
      </w:r>
      <w:r w:rsidRPr="008C2A38">
        <w:t>meet</w:t>
      </w:r>
      <w:r>
        <w:t>s</w:t>
      </w:r>
      <w:r w:rsidRPr="008C2A38">
        <w:t xml:space="preserve"> the criteria and requirements established by the North American Electric Reliability Corporation (NERC)</w:t>
      </w:r>
      <w:r>
        <w:t>, the Northeast Power Coordinating Council (NPCC), and the region</w:t>
      </w:r>
      <w:r w:rsidRPr="008C2A38">
        <w:t>.</w:t>
      </w:r>
      <w:r w:rsidRPr="008C2A38">
        <w:rPr>
          <w:rStyle w:val="FootnoteReference"/>
          <w:sz w:val="22"/>
        </w:rPr>
        <w:footnoteReference w:id="9"/>
      </w:r>
      <w:r>
        <w:t xml:space="preserve"> The ISO conducts the planning process in full compliance with Attachment K of its </w:t>
      </w:r>
      <w:r>
        <w:rPr>
          <w:i/>
        </w:rPr>
        <w:t xml:space="preserve">Open Access Transmission Tariff, </w:t>
      </w:r>
      <w:r>
        <w:t>which is part of the ISO tariff.</w:t>
      </w:r>
      <w:r w:rsidRPr="00BC33F3">
        <w:rPr>
          <w:rStyle w:val="FootnoteReference"/>
          <w:sz w:val="22"/>
        </w:rPr>
        <w:footnoteReference w:id="10"/>
      </w:r>
    </w:p>
    <w:p w:rsidR="001B3090" w:rsidRDefault="00CD46CA" w:rsidP="00DF39BB">
      <w:pPr>
        <w:pStyle w:val="Heading2"/>
      </w:pPr>
      <w:bookmarkStart w:id="11" w:name="_Toc267069123"/>
      <w:bookmarkStart w:id="12" w:name="_Toc271632196"/>
      <w:r w:rsidRPr="00315544">
        <w:t xml:space="preserve">Major </w:t>
      </w:r>
      <w:r w:rsidRPr="00DF39BB">
        <w:t>Findings</w:t>
      </w:r>
      <w:r w:rsidRPr="00315544">
        <w:t xml:space="preserve"> and Observations</w:t>
      </w:r>
      <w:bookmarkEnd w:id="11"/>
      <w:bookmarkEnd w:id="12"/>
      <w:r w:rsidRPr="00315544">
        <w:t xml:space="preserve"> </w:t>
      </w:r>
    </w:p>
    <w:p w:rsidR="00CD46CA" w:rsidRDefault="00CD46CA" w:rsidP="00CD46CA">
      <w:r>
        <w:t xml:space="preserve">This section presents an overview of the major findings of </w:t>
      </w:r>
      <w:r w:rsidRPr="002F763F">
        <w:t>RSP</w:t>
      </w:r>
      <w:r>
        <w:t>1</w:t>
      </w:r>
      <w:r w:rsidRPr="002F763F">
        <w:t>0 load forecasts</w:t>
      </w:r>
      <w:r w:rsidR="00D4331C" w:rsidRPr="00D4331C">
        <w:t>; supply and demand resource and transmission planning; market outcomes; economic studies; and other programs, projects, and initiatives that are part of the system planning process.</w:t>
      </w:r>
      <w:r w:rsidR="00D4331C" w:rsidRPr="00080B14">
        <w:rPr>
          <w:rStyle w:val="FootnoteReference"/>
          <w:sz w:val="22"/>
        </w:rPr>
        <w:footnoteReference w:id="11"/>
      </w:r>
      <w:r w:rsidR="00D4331C" w:rsidRPr="00D4331C">
        <w:t xml:space="preserve"> The sections of the</w:t>
      </w:r>
      <w:r w:rsidRPr="007700F3">
        <w:t xml:space="preserve"> report that contain more details </w:t>
      </w:r>
      <w:r>
        <w:t xml:space="preserve">of these findings and observations </w:t>
      </w:r>
      <w:r w:rsidRPr="007700F3">
        <w:t xml:space="preserve">are </w:t>
      </w:r>
      <w:r>
        <w:t xml:space="preserve">indicated. </w:t>
      </w:r>
    </w:p>
    <w:p w:rsidR="00CD46CA" w:rsidRPr="00C323B0" w:rsidRDefault="00CD46CA" w:rsidP="00CD46CA">
      <w:r>
        <w:t xml:space="preserve">For all </w:t>
      </w:r>
      <w:r w:rsidRPr="00FE609F">
        <w:t>RSP10 analyses</w:t>
      </w:r>
      <w:r>
        <w:t>, the ISO</w:t>
      </w:r>
      <w:r w:rsidRPr="00FE609F">
        <w:t xml:space="preserve"> applied a number of assumptions</w:t>
      </w:r>
      <w:r>
        <w:t xml:space="preserve">, which </w:t>
      </w:r>
      <w:r w:rsidRPr="00FE609F">
        <w:t>are subject to uncertainty over the course of the planning period.</w:t>
      </w:r>
      <w:r>
        <w:t xml:space="preserve"> </w:t>
      </w:r>
      <w:r w:rsidRPr="00FE609F">
        <w:t>Some factors subject to change</w:t>
      </w:r>
      <w:r>
        <w:t>, which may vary RSP10 results and conclusions,</w:t>
      </w:r>
      <w:r w:rsidRPr="00FE609F">
        <w:t xml:space="preserve"> are as follows:</w:t>
      </w:r>
      <w:r w:rsidRPr="00C323B0">
        <w:t xml:space="preserve"> </w:t>
      </w:r>
    </w:p>
    <w:p w:rsidR="00CD46CA" w:rsidRDefault="00CD46CA" w:rsidP="00CD46CA">
      <w:pPr>
        <w:pStyle w:val="Bullet-Solid"/>
      </w:pPr>
      <w:r w:rsidRPr="00FE609F">
        <w:t>Demand forecasts</w:t>
      </w:r>
    </w:p>
    <w:p w:rsidR="00CD46CA" w:rsidRPr="007203FF" w:rsidRDefault="00A73FE0" w:rsidP="00CD46CA">
      <w:pPr>
        <w:pStyle w:val="Bullet-Solid"/>
      </w:pPr>
      <w:r w:rsidRPr="00A73FE0">
        <w:t>Resource availability</w:t>
      </w:r>
    </w:p>
    <w:p w:rsidR="00CD46CA" w:rsidRPr="007203FF" w:rsidRDefault="00A73FE0" w:rsidP="00CD46CA">
      <w:pPr>
        <w:pStyle w:val="Bullet-Solid"/>
      </w:pPr>
      <w:r w:rsidRPr="00A73FE0">
        <w:t>Timing of planned system improvements</w:t>
      </w:r>
    </w:p>
    <w:p w:rsidR="00CD46CA" w:rsidRPr="007203FF" w:rsidRDefault="00A73FE0" w:rsidP="00CD46CA">
      <w:pPr>
        <w:pStyle w:val="Bullet-Solid"/>
      </w:pPr>
      <w:r w:rsidRPr="00A73FE0">
        <w:t>Fuel price forecasts</w:t>
      </w:r>
    </w:p>
    <w:p w:rsidR="00CD46CA" w:rsidRPr="007203FF" w:rsidRDefault="00A73FE0" w:rsidP="00CD46CA">
      <w:pPr>
        <w:pStyle w:val="Bullet-Solid"/>
      </w:pPr>
      <w:r w:rsidRPr="00A73FE0">
        <w:t xml:space="preserve">Market rules and governmental policies </w:t>
      </w:r>
    </w:p>
    <w:p w:rsidR="00CD46CA" w:rsidRPr="007203FF" w:rsidRDefault="00A73FE0" w:rsidP="00CD46CA">
      <w:pPr>
        <w:pStyle w:val="Bullet-Solid"/>
        <w:spacing w:after="240"/>
      </w:pPr>
      <w:r w:rsidRPr="00A73FE0">
        <w:t>Technology development</w:t>
      </w:r>
    </w:p>
    <w:p w:rsidR="00CD46CA" w:rsidRDefault="00A73FE0" w:rsidP="00CD46CA">
      <w:r w:rsidRPr="00A73FE0">
        <w:t>The ISO conducts sensitivity analyses to account for these factors,</w:t>
      </w:r>
      <w:r w:rsidR="00EC0C6B">
        <w:t xml:space="preserve"> </w:t>
      </w:r>
      <w:r w:rsidRPr="00A73FE0">
        <w:t>which</w:t>
      </w:r>
      <w:r w:rsidR="00CD46CA" w:rsidRPr="00B10801">
        <w:t xml:space="preserve"> could </w:t>
      </w:r>
      <w:r w:rsidR="00CD46CA">
        <w:t>influence the development of needed transmission.</w:t>
      </w:r>
      <w:r w:rsidR="00CD46CA" w:rsidRPr="00B10801">
        <w:t xml:space="preserve"> </w:t>
      </w:r>
      <w:r w:rsidR="00CD46CA" w:rsidRPr="00566801">
        <w:t>While</w:t>
      </w:r>
      <w:r w:rsidR="00CD46CA">
        <w:t xml:space="preserve"> each RSP is a snapshot in time, the planning process is continuous, and the results are revisited as needed</w:t>
      </w:r>
      <w:r w:rsidR="00B462A6">
        <w:t>, accounting for</w:t>
      </w:r>
      <w:r w:rsidR="00CD46CA">
        <w:t xml:space="preserve"> appropriately updated information, such as load forecasts.</w:t>
      </w:r>
    </w:p>
    <w:p w:rsidR="00B462A6" w:rsidRDefault="00CD46CA">
      <w:pPr>
        <w:pStyle w:val="Heading3"/>
        <w:rPr>
          <w:rFonts w:eastAsiaTheme="minorHAnsi"/>
        </w:rPr>
      </w:pPr>
      <w:bookmarkStart w:id="13" w:name="_Toc267069124"/>
      <w:bookmarkStart w:id="14" w:name="_Toc271632197"/>
      <w:r>
        <w:rPr>
          <w:rFonts w:eastAsiaTheme="minorHAnsi"/>
        </w:rPr>
        <w:t xml:space="preserve">Forecasting the </w:t>
      </w:r>
      <w:r w:rsidRPr="00E5070E">
        <w:rPr>
          <w:rFonts w:eastAsiaTheme="minorHAnsi"/>
        </w:rPr>
        <w:t xml:space="preserve">Annual and Peak </w:t>
      </w:r>
      <w:r>
        <w:rPr>
          <w:rFonts w:eastAsiaTheme="minorHAnsi"/>
        </w:rPr>
        <w:t xml:space="preserve">Use of Electric </w:t>
      </w:r>
      <w:r w:rsidRPr="00E5070E">
        <w:rPr>
          <w:rFonts w:eastAsiaTheme="minorHAnsi"/>
        </w:rPr>
        <w:t>Energy and Load Growth</w:t>
      </w:r>
      <w:bookmarkEnd w:id="13"/>
      <w:bookmarkEnd w:id="14"/>
    </w:p>
    <w:p w:rsidR="00CD46CA" w:rsidRDefault="00CD46CA" w:rsidP="00CD46CA">
      <w:r w:rsidRPr="00D433D2">
        <w:t xml:space="preserve">The RSP10 forecasts </w:t>
      </w:r>
      <w:r>
        <w:t xml:space="preserve">incorporate the expected effects of federal </w:t>
      </w:r>
      <w:r w:rsidRPr="00EB0481">
        <w:t xml:space="preserve">energy-efficiency </w:t>
      </w:r>
      <w:r w:rsidR="003D08E8">
        <w:t xml:space="preserve">(EE) </w:t>
      </w:r>
      <w:r w:rsidRPr="00EB0481">
        <w:t>standards for appliances and commercial equipment</w:t>
      </w:r>
      <w:r>
        <w:t xml:space="preserve"> that will go into effect in 2013</w:t>
      </w:r>
      <w:r w:rsidR="00407578">
        <w:t xml:space="preserve"> </w:t>
      </w:r>
      <w:r w:rsidR="005D632B">
        <w:t xml:space="preserve">and the </w:t>
      </w:r>
      <w:r w:rsidR="00407578">
        <w:t>historical energy</w:t>
      </w:r>
      <w:r w:rsidR="008D5A58">
        <w:t>-</w:t>
      </w:r>
      <w:r w:rsidR="00407578">
        <w:t>efficiency savings</w:t>
      </w:r>
      <w:r w:rsidR="00D4331C" w:rsidRPr="00D4331C">
        <w:t>.</w:t>
      </w:r>
      <w:r w:rsidR="00F158B9">
        <w:t xml:space="preserve"> </w:t>
      </w:r>
      <w:r w:rsidR="00D4331C" w:rsidRPr="00D4331C">
        <w:t xml:space="preserve">Increases in state-sponsored </w:t>
      </w:r>
      <w:r w:rsidR="003D08E8">
        <w:t>EE</w:t>
      </w:r>
      <w:r w:rsidR="00D4331C" w:rsidRPr="00D4331C">
        <w:t xml:space="preserve"> programs, enrolled with the ISO as “other demand resources” (ODRs), contributed to the declines in </w:t>
      </w:r>
      <w:r w:rsidR="00674506">
        <w:t xml:space="preserve">electric </w:t>
      </w:r>
      <w:r w:rsidR="00D4331C" w:rsidRPr="00D4331C">
        <w:t>energy demand in 2008 and 2009.</w:t>
      </w:r>
      <w:r w:rsidR="00D4331C" w:rsidRPr="00D4331C">
        <w:rPr>
          <w:rStyle w:val="FootnoteReference"/>
          <w:sz w:val="20"/>
          <w:szCs w:val="20"/>
        </w:rPr>
        <w:footnoteReference w:id="12"/>
      </w:r>
      <w:r w:rsidR="00D4331C" w:rsidRPr="00D4331C">
        <w:rPr>
          <w:sz w:val="20"/>
          <w:szCs w:val="20"/>
        </w:rPr>
        <w:t xml:space="preserve"> </w:t>
      </w:r>
      <w:r w:rsidR="00D4331C" w:rsidRPr="00D4331C">
        <w:t>The increased energy savings attributable to ODRs reduced the growth in weather-normalized electric energy consumption by 50% from 2008 to 2009.</w:t>
      </w:r>
      <w:r w:rsidR="00D4331C" w:rsidRPr="003E22BF">
        <w:rPr>
          <w:rStyle w:val="FootnoteReference"/>
          <w:sz w:val="22"/>
        </w:rPr>
        <w:footnoteReference w:id="13"/>
      </w:r>
      <w:r w:rsidR="00D4331C" w:rsidRPr="00D4331C">
        <w:t xml:space="preserve"> Th</w:t>
      </w:r>
      <w:r>
        <w:t xml:space="preserve">e peak load forecasts also account for updates in the historical </w:t>
      </w:r>
      <w:r w:rsidRPr="002D166D">
        <w:t>weather data</w:t>
      </w:r>
      <w:r>
        <w:t>. These forecasts reflect the growth of the summer cooling load and a lower rate of growth of the winter heating load. (</w:t>
      </w:r>
      <w:r w:rsidR="00832C7A">
        <w:fldChar w:fldCharType="begin"/>
      </w:r>
      <w:r w:rsidR="00E04B8F">
        <w:instrText xml:space="preserve"> REF _Ref267384493 \r \h </w:instrText>
      </w:r>
      <w:r w:rsidR="00832C7A">
        <w:fldChar w:fldCharType="separate"/>
      </w:r>
      <w:r w:rsidR="00E5699E">
        <w:t>Section 3</w:t>
      </w:r>
      <w:r w:rsidR="00832C7A">
        <w:fldChar w:fldCharType="end"/>
      </w:r>
      <w:r>
        <w:t>)</w:t>
      </w:r>
    </w:p>
    <w:p w:rsidR="00CD46CA" w:rsidRDefault="00CD46CA" w:rsidP="00CD46CA">
      <w:r>
        <w:t xml:space="preserve">The expected summer peak forecast is </w:t>
      </w:r>
      <w:r w:rsidRPr="00923C84">
        <w:t>27,</w:t>
      </w:r>
      <w:r>
        <w:t>190</w:t>
      </w:r>
      <w:r w:rsidRPr="00923C84">
        <w:t xml:space="preserve"> </w:t>
      </w:r>
      <w:r>
        <w:t>megawatts (</w:t>
      </w:r>
      <w:r w:rsidRPr="00923C84">
        <w:t>MW</w:t>
      </w:r>
      <w:r>
        <w:t xml:space="preserve">) </w:t>
      </w:r>
      <w:r w:rsidRPr="002D166D">
        <w:t>for 2010</w:t>
      </w:r>
      <w:r>
        <w:t xml:space="preserve">, which grows to </w:t>
      </w:r>
      <w:r w:rsidRPr="0076454D">
        <w:t>30,</w:t>
      </w:r>
      <w:r w:rsidRPr="009B13F1">
        <w:t>73</w:t>
      </w:r>
      <w:r w:rsidRPr="0076454D">
        <w:t xml:space="preserve">0 MW </w:t>
      </w:r>
      <w:r w:rsidRPr="002D166D">
        <w:t>for 2019</w:t>
      </w:r>
      <w:r w:rsidRPr="005A32E3">
        <w:t>.</w:t>
      </w:r>
      <w:r>
        <w:t xml:space="preserve"> The ISO forecasts the 10-year growth rate to be 1.4% per year for the summer peak load, 0.5% per year for the winter peak load, and 0.9% per year for </w:t>
      </w:r>
      <w:r w:rsidRPr="00D433D2">
        <w:t>electric</w:t>
      </w:r>
      <w:r>
        <w:t xml:space="preserve"> </w:t>
      </w:r>
      <w:r w:rsidRPr="00E77A2B">
        <w:t>energy</w:t>
      </w:r>
      <w:r>
        <w:t xml:space="preserve">. The </w:t>
      </w:r>
      <w:r w:rsidRPr="00017943">
        <w:t>annual</w:t>
      </w:r>
      <w:r w:rsidRPr="00017943">
        <w:rPr>
          <w:i/>
        </w:rPr>
        <w:t xml:space="preserve"> load factor</w:t>
      </w:r>
      <w:r w:rsidRPr="00B13B61">
        <w:t xml:space="preserve"> </w:t>
      </w:r>
      <w:r w:rsidRPr="00B13B61">
        <w:rPr>
          <w:rFonts w:eastAsia="Calibri" w:cs="Times New Roman"/>
        </w:rPr>
        <w:t>(</w:t>
      </w:r>
      <w:r w:rsidRPr="00B13B61">
        <w:rPr>
          <w:rFonts w:eastAsia="Calibri" w:cs="Times New Roman"/>
          <w:iCs/>
        </w:rPr>
        <w:t>i.e.</w:t>
      </w:r>
      <w:r w:rsidRPr="00B13B61">
        <w:rPr>
          <w:rFonts w:eastAsia="Calibri" w:cs="Times New Roman"/>
        </w:rPr>
        <w:t>, the ratio of the average hourly load during a year to peak hourly load)</w:t>
      </w:r>
      <w:r w:rsidR="00E77B13">
        <w:rPr>
          <w:rFonts w:eastAsia="Calibri" w:cs="Times New Roman"/>
        </w:rPr>
        <w:t xml:space="preserve"> </w:t>
      </w:r>
      <w:r w:rsidRPr="00B13B61">
        <w:t>declines</w:t>
      </w:r>
      <w:r>
        <w:t xml:space="preserve"> from 55% in 2010 to 53% in 2019</w:t>
      </w:r>
      <w:r w:rsidR="00E77B13">
        <w:t xml:space="preserve">. This decrease indicates the </w:t>
      </w:r>
      <w:r w:rsidR="00D4331C" w:rsidRPr="00D4331C">
        <w:t>less efficient</w:t>
      </w:r>
      <w:r w:rsidR="00E77B13">
        <w:t xml:space="preserve"> use of electric power system infrastructure</w:t>
      </w:r>
      <w:r>
        <w:t>. (</w:t>
      </w:r>
      <w:r w:rsidR="00832C7A">
        <w:fldChar w:fldCharType="begin"/>
      </w:r>
      <w:r w:rsidR="00E04B8F">
        <w:instrText xml:space="preserve"> REF _Ref267384519 \r \h </w:instrText>
      </w:r>
      <w:r w:rsidR="00832C7A">
        <w:fldChar w:fldCharType="separate"/>
      </w:r>
      <w:r w:rsidR="00E5699E">
        <w:t>Section 3</w:t>
      </w:r>
      <w:r w:rsidR="00832C7A">
        <w:fldChar w:fldCharType="end"/>
      </w:r>
      <w:r w:rsidRPr="002D166D">
        <w:t xml:space="preserve">) </w:t>
      </w:r>
    </w:p>
    <w:p w:rsidR="000E663E" w:rsidRPr="00335C9E" w:rsidRDefault="00CD46CA" w:rsidP="00CD46CA">
      <w:r w:rsidRPr="00D433D2">
        <w:t>The</w:t>
      </w:r>
      <w:r>
        <w:t xml:space="preserve"> fo</w:t>
      </w:r>
      <w:r w:rsidRPr="00D433D2">
        <w:t xml:space="preserve">recasts </w:t>
      </w:r>
      <w:r w:rsidRPr="00DF532E">
        <w:t>are lower mainly</w:t>
      </w:r>
      <w:r>
        <w:t xml:space="preserve"> due to the economic recession that began in 2008, reached its low point in 2009, and is expected to begin a weak recovery in late 2010. The lower load forecast affects the need for new resources and may delay the timing of some transmission projects. (</w:t>
      </w:r>
      <w:r w:rsidR="00832C7A">
        <w:fldChar w:fldCharType="begin"/>
      </w:r>
      <w:r w:rsidR="00E04B8F">
        <w:instrText xml:space="preserve"> REF _Ref267384532 \r \h </w:instrText>
      </w:r>
      <w:r w:rsidR="00832C7A">
        <w:fldChar w:fldCharType="separate"/>
      </w:r>
      <w:r w:rsidR="00E5699E">
        <w:t>Section 3</w:t>
      </w:r>
      <w:r w:rsidR="00832C7A">
        <w:fldChar w:fldCharType="end"/>
      </w:r>
      <w:r w:rsidR="00E04B8F">
        <w:t>)</w:t>
      </w:r>
    </w:p>
    <w:p w:rsidR="00B462A6" w:rsidRDefault="00CD46CA">
      <w:pPr>
        <w:pStyle w:val="Heading3"/>
        <w:rPr>
          <w:rFonts w:eastAsiaTheme="minorHAnsi"/>
        </w:rPr>
      </w:pPr>
      <w:bookmarkStart w:id="15" w:name="_Toc267069125"/>
      <w:bookmarkStart w:id="16" w:name="_Toc271632198"/>
      <w:r>
        <w:rPr>
          <w:rFonts w:eastAsiaTheme="minorHAnsi"/>
        </w:rPr>
        <w:t>Identifying Needs for Capacity and Operating Reserves</w:t>
      </w:r>
      <w:bookmarkEnd w:id="15"/>
      <w:bookmarkEnd w:id="16"/>
    </w:p>
    <w:p w:rsidR="00CD46CA" w:rsidRDefault="00CD46CA" w:rsidP="00CD46CA">
      <w:r>
        <w:t xml:space="preserve">The ISO’s </w:t>
      </w:r>
      <w:r w:rsidR="00FB3A74">
        <w:t>system</w:t>
      </w:r>
      <w:r>
        <w:t xml:space="preserve"> planning process identifies the needs for capacity and operating reserves. These needs are met through the Forward Capacity Market (FCM) and the locational Forward Reserve Market (FRM).</w:t>
      </w:r>
    </w:p>
    <w:p w:rsidR="00FC0261" w:rsidRDefault="00CD46CA" w:rsidP="00235A65">
      <w:pPr>
        <w:pStyle w:val="Heading4"/>
      </w:pPr>
      <w:r>
        <w:t>Capacity</w:t>
      </w:r>
    </w:p>
    <w:p w:rsidR="00CD46CA" w:rsidRDefault="00CD46CA" w:rsidP="00CD46CA">
      <w:r w:rsidRPr="00CC4A70">
        <w:t xml:space="preserve">The </w:t>
      </w:r>
      <w:r w:rsidR="004B6683">
        <w:t>regional</w:t>
      </w:r>
      <w:r>
        <w:t xml:space="preserve"> development of generation and demand resources is expected to provide the capacity needed to </w:t>
      </w:r>
      <w:r w:rsidRPr="00750049">
        <w:t>meet resource adequacy requirements (i.e., the minimum amount of capacity the region will require, called the</w:t>
      </w:r>
      <w:r>
        <w:t xml:space="preserve"> </w:t>
      </w:r>
      <w:r w:rsidRPr="00017943">
        <w:rPr>
          <w:i/>
        </w:rPr>
        <w:t>Installed Capacity Requirement</w:t>
      </w:r>
      <w:r>
        <w:t>; ICR). T</w:t>
      </w:r>
      <w:r w:rsidRPr="00B83FE5">
        <w:t xml:space="preserve">he </w:t>
      </w:r>
      <w:r>
        <w:t>net ICR is expected to grow from 31,110</w:t>
      </w:r>
      <w:r w:rsidRPr="00B66E84">
        <w:t xml:space="preserve"> MW</w:t>
      </w:r>
      <w:r>
        <w:t xml:space="preserve"> in 2011 to a representative value of </w:t>
      </w:r>
      <w:r w:rsidRPr="0076454D">
        <w:t>34,</w:t>
      </w:r>
      <w:r w:rsidR="00732ACB" w:rsidRPr="0076454D">
        <w:t>818</w:t>
      </w:r>
      <w:r w:rsidR="00732ACB">
        <w:t> </w:t>
      </w:r>
      <w:r>
        <w:t>MW by 2019. (</w:t>
      </w:r>
      <w:r w:rsidR="00832C7A">
        <w:fldChar w:fldCharType="begin"/>
      </w:r>
      <w:r w:rsidR="00E04B8F">
        <w:instrText xml:space="preserve"> REF _Ref267384552 \r \h </w:instrText>
      </w:r>
      <w:r w:rsidR="00832C7A">
        <w:fldChar w:fldCharType="separate"/>
      </w:r>
      <w:r w:rsidR="00E5699E">
        <w:t>Section 4</w:t>
      </w:r>
      <w:r w:rsidR="00832C7A">
        <w:fldChar w:fldCharType="end"/>
      </w:r>
      <w:r>
        <w:t>)</w:t>
      </w:r>
    </w:p>
    <w:p w:rsidR="00CD46CA" w:rsidRPr="00F429EA" w:rsidRDefault="00CD46CA" w:rsidP="00CD46CA">
      <w:r w:rsidRPr="00230A2E">
        <w:t>Assuming the over 35,000 MW of resources that cleared the</w:t>
      </w:r>
      <w:r w:rsidRPr="00750049">
        <w:t xml:space="preserve"> third Forward Capacity Auction </w:t>
      </w:r>
      <w:r w:rsidRPr="000F5FF3">
        <w:t xml:space="preserve">(FCA #3) for the </w:t>
      </w:r>
      <w:r w:rsidRPr="000F5FF3">
        <w:rPr>
          <w:color w:val="000000" w:themeColor="text1"/>
        </w:rPr>
        <w:t>capacity commitment period</w:t>
      </w:r>
      <w:r>
        <w:rPr>
          <w:color w:val="000000" w:themeColor="text1"/>
        </w:rPr>
        <w:t xml:space="preserve"> for 2012/2013</w:t>
      </w:r>
      <w:r w:rsidRPr="000F5FF3">
        <w:rPr>
          <w:color w:val="000000" w:themeColor="text1"/>
        </w:rPr>
        <w:t xml:space="preserve"> </w:t>
      </w:r>
      <w:r w:rsidRPr="000F5FF3">
        <w:t>remain</w:t>
      </w:r>
      <w:r w:rsidRPr="00750049">
        <w:t xml:space="preserve"> in commercial operation beyond 2012</w:t>
      </w:r>
      <w:r w:rsidR="00314FBA">
        <w:t>,</w:t>
      </w:r>
      <w:r w:rsidRPr="00750049">
        <w:t xml:space="preserve"> and no generation or demand resources retire or permanently delist, Ne</w:t>
      </w:r>
      <w:r w:rsidRPr="00D33E44">
        <w:t xml:space="preserve">w England </w:t>
      </w:r>
      <w:r>
        <w:t>should</w:t>
      </w:r>
      <w:r w:rsidRPr="00D33E44">
        <w:t xml:space="preserve"> have adequate resources through </w:t>
      </w:r>
      <w:r w:rsidRPr="00F275D6">
        <w:t>2019.</w:t>
      </w:r>
      <w:r w:rsidRPr="00BC33F3">
        <w:rPr>
          <w:rStyle w:val="FootnoteReference"/>
          <w:sz w:val="22"/>
        </w:rPr>
        <w:footnoteReference w:id="14"/>
      </w:r>
      <w:r w:rsidRPr="00F275D6">
        <w:t xml:space="preserve"> </w:t>
      </w:r>
      <w:r w:rsidRPr="00B10801">
        <w:t>Recent modifications</w:t>
      </w:r>
      <w:r w:rsidRPr="00E97D17">
        <w:t xml:space="preserve"> to the FCM require the procurement of resources that meet both resource adequacy and transmission security needs</w:t>
      </w:r>
      <w:r w:rsidR="00E7328E">
        <w:t>, which ensure adequate resources in import-constrained areas</w:t>
      </w:r>
      <w:r w:rsidR="00922BDE">
        <w:t>.</w:t>
      </w:r>
      <w:r w:rsidRPr="00BC33F3">
        <w:rPr>
          <w:rStyle w:val="FootnoteReference"/>
          <w:sz w:val="22"/>
        </w:rPr>
        <w:footnoteReference w:id="15"/>
      </w:r>
      <w:r w:rsidRPr="00E97D17">
        <w:t xml:space="preserve"> (</w:t>
      </w:r>
      <w:r w:rsidR="00832C7A">
        <w:fldChar w:fldCharType="begin"/>
      </w:r>
      <w:r w:rsidR="00E04B8F">
        <w:instrText xml:space="preserve"> REF _Ref267384552 \r \h </w:instrText>
      </w:r>
      <w:r w:rsidR="00832C7A">
        <w:fldChar w:fldCharType="separate"/>
      </w:r>
      <w:r w:rsidR="00E5699E">
        <w:t>Section 4</w:t>
      </w:r>
      <w:r w:rsidR="00832C7A">
        <w:fldChar w:fldCharType="end"/>
      </w:r>
      <w:r w:rsidRPr="00E97D17">
        <w:t>)</w:t>
      </w:r>
    </w:p>
    <w:p w:rsidR="00FC0261" w:rsidRDefault="00CD46CA" w:rsidP="00235A65">
      <w:pPr>
        <w:pStyle w:val="Heading4"/>
      </w:pPr>
      <w:r w:rsidRPr="007301F8">
        <w:t>Operating Reserves</w:t>
      </w:r>
    </w:p>
    <w:p w:rsidR="00CD46CA" w:rsidRDefault="00CD46CA" w:rsidP="00CD46CA">
      <w:pPr>
        <w:rPr>
          <w:b/>
        </w:rPr>
      </w:pPr>
      <w:r w:rsidRPr="00C26E58">
        <w:rPr>
          <w:color w:val="000000"/>
        </w:rPr>
        <w:t xml:space="preserve">Resources participating in the </w:t>
      </w:r>
      <w:r w:rsidRPr="00C26E58">
        <w:t>locational Forward Reserve Market are helping to</w:t>
      </w:r>
      <w:r>
        <w:t xml:space="preserve"> satisfy the operating-reserve requirements </w:t>
      </w:r>
      <w:r w:rsidRPr="00B10801">
        <w:t xml:space="preserve">of </w:t>
      </w:r>
      <w:r w:rsidR="00E7328E">
        <w:t xml:space="preserve">the region overall and of </w:t>
      </w:r>
      <w:r w:rsidRPr="00B10801">
        <w:t>major load pockets in New</w:t>
      </w:r>
      <w:r>
        <w:t xml:space="preserve"> England to cover </w:t>
      </w:r>
      <w:r w:rsidRPr="00B10801">
        <w:rPr>
          <w:i/>
        </w:rPr>
        <w:t>contingencies</w:t>
      </w:r>
      <w:r w:rsidR="00772D07">
        <w:rPr>
          <w:i/>
        </w:rPr>
        <w:t xml:space="preserve"> </w:t>
      </w:r>
      <w:r w:rsidR="00772D07">
        <w:t xml:space="preserve">(i.e., </w:t>
      </w:r>
      <w:r w:rsidRPr="00F172ED">
        <w:t xml:space="preserve">the sudden loss of a generation or transmission </w:t>
      </w:r>
      <w:r w:rsidR="00772D07">
        <w:t>power system element)</w:t>
      </w:r>
      <w:r>
        <w:t xml:space="preserve">. As a result of transmission upgrades and other resource additions, the Greater Southwest Connecticut area is not expected to need any local operating reserve </w:t>
      </w:r>
      <w:r w:rsidRPr="002D166D">
        <w:t xml:space="preserve">for 2010 to </w:t>
      </w:r>
      <w:r w:rsidR="00D4331C" w:rsidRPr="00D4331C">
        <w:t>2014.</w:t>
      </w:r>
      <w:r w:rsidR="00D4331C" w:rsidRPr="00D4331C">
        <w:rPr>
          <w:rStyle w:val="FootnoteReference"/>
          <w:sz w:val="22"/>
        </w:rPr>
        <w:footnoteReference w:id="16"/>
      </w:r>
      <w:r w:rsidR="00D4331C" w:rsidRPr="00D4331C">
        <w:t xml:space="preserve"> Over</w:t>
      </w:r>
      <w:r>
        <w:t xml:space="preserve"> the same period, the forecasted need for the Greater Connecticut area is </w:t>
      </w:r>
      <w:r w:rsidRPr="002D166D">
        <w:t>700 to</w:t>
      </w:r>
      <w:r>
        <w:t xml:space="preserve"> </w:t>
      </w:r>
      <w:r w:rsidRPr="00B10801">
        <w:t>1,250 MW, and the need</w:t>
      </w:r>
      <w:r w:rsidRPr="002D166D">
        <w:t xml:space="preserve"> for </w:t>
      </w:r>
      <w:r w:rsidR="00D4331C" w:rsidRPr="00D4331C">
        <w:t>the BOSTON</w:t>
      </w:r>
      <w:r w:rsidRPr="00B10801">
        <w:t xml:space="preserve"> area is</w:t>
      </w:r>
      <w:r w:rsidRPr="002D166D">
        <w:t xml:space="preserve"> </w:t>
      </w:r>
      <w:r>
        <w:t xml:space="preserve">in the range of </w:t>
      </w:r>
      <w:r w:rsidRPr="002D166D">
        <w:t>0</w:t>
      </w:r>
      <w:r>
        <w:t> </w:t>
      </w:r>
      <w:r w:rsidRPr="002D166D">
        <w:t>to 150 MW</w:t>
      </w:r>
      <w:r w:rsidRPr="00815C94">
        <w:t>.</w:t>
      </w:r>
      <w:r w:rsidRPr="00B36DBC">
        <w:rPr>
          <w:rStyle w:val="FootnoteReference"/>
          <w:sz w:val="22"/>
        </w:rPr>
        <w:footnoteReference w:id="17"/>
      </w:r>
      <w:r w:rsidRPr="00BE1393">
        <w:t xml:space="preserve"> </w:t>
      </w:r>
      <w:r>
        <w:t xml:space="preserve">The </w:t>
      </w:r>
      <w:r w:rsidRPr="00F4481E">
        <w:t xml:space="preserve">addition </w:t>
      </w:r>
      <w:r w:rsidRPr="00B10801">
        <w:t>of in-merit generation</w:t>
      </w:r>
      <w:r w:rsidRPr="009F717D">
        <w:t xml:space="preserve"> </w:t>
      </w:r>
      <w:r>
        <w:t xml:space="preserve">within the major import areas, improvements to the transmission system, or some combination of both would decrease the </w:t>
      </w:r>
      <w:r w:rsidR="00D4331C" w:rsidRPr="00D4331C">
        <w:t>need to locate operating reserves within these areas.</w:t>
      </w:r>
      <w:r w:rsidR="007374FA">
        <w:rPr>
          <w:rStyle w:val="FootnoteReference"/>
          <w:sz w:val="22"/>
        </w:rPr>
        <w:footnoteReference w:id="18"/>
      </w:r>
      <w:r w:rsidRPr="003D2DD9">
        <w:t xml:space="preserve"> </w:t>
      </w:r>
      <w:r w:rsidRPr="00A217DE">
        <w:t xml:space="preserve">A Demand-Response Reserves Pilot Program, completed </w:t>
      </w:r>
      <w:r>
        <w:t xml:space="preserve">in </w:t>
      </w:r>
      <w:r w:rsidRPr="00A217DE">
        <w:t xml:space="preserve">June 2010, </w:t>
      </w:r>
      <w:r>
        <w:t xml:space="preserve">assessed </w:t>
      </w:r>
      <w:r w:rsidRPr="00A217DE">
        <w:t>the</w:t>
      </w:r>
      <w:r>
        <w:t xml:space="preserve"> </w:t>
      </w:r>
      <w:r w:rsidRPr="00A217DE">
        <w:t xml:space="preserve">ability </w:t>
      </w:r>
      <w:r>
        <w:t xml:space="preserve">of demand resources </w:t>
      </w:r>
      <w:r w:rsidRPr="00A217DE">
        <w:t>to provide operating reserves</w:t>
      </w:r>
      <w:r>
        <w:t>; the ISO and regional stakeholders are developing a follow-up program b</w:t>
      </w:r>
      <w:r w:rsidRPr="00A217DE">
        <w:t>ased on the results of th</w:t>
      </w:r>
      <w:r>
        <w:t>e pilot.</w:t>
      </w:r>
      <w:r w:rsidRPr="00B36DBC">
        <w:rPr>
          <w:rStyle w:val="FootnoteReference"/>
          <w:sz w:val="22"/>
        </w:rPr>
        <w:footnoteReference w:id="19"/>
      </w:r>
      <w:r w:rsidRPr="00B36DBC">
        <w:t xml:space="preserve"> </w:t>
      </w:r>
      <w:r w:rsidRPr="00750049">
        <w:t>(</w:t>
      </w:r>
      <w:r w:rsidR="00832C7A">
        <w:fldChar w:fldCharType="begin"/>
      </w:r>
      <w:r w:rsidR="002B0ACA">
        <w:instrText xml:space="preserve"> REF _Ref267384581 \r \h </w:instrText>
      </w:r>
      <w:r w:rsidR="00832C7A">
        <w:fldChar w:fldCharType="separate"/>
      </w:r>
      <w:r w:rsidR="00E5699E">
        <w:t>Section 5</w:t>
      </w:r>
      <w:r w:rsidR="00832C7A">
        <w:fldChar w:fldCharType="end"/>
      </w:r>
      <w:r w:rsidRPr="00750049">
        <w:t>)</w:t>
      </w:r>
      <w:r w:rsidRPr="00750049">
        <w:rPr>
          <w:b/>
        </w:rPr>
        <w:t xml:space="preserve"> </w:t>
      </w:r>
    </w:p>
    <w:p w:rsidR="00B462A6" w:rsidRDefault="00CD46CA">
      <w:pPr>
        <w:pStyle w:val="Heading3"/>
      </w:pPr>
      <w:bookmarkStart w:id="17" w:name="_Toc267069126"/>
      <w:bookmarkStart w:id="18" w:name="_Toc271632199"/>
      <w:r>
        <w:t xml:space="preserve">Identifying </w:t>
      </w:r>
      <w:r w:rsidRPr="005032C5">
        <w:t xml:space="preserve">Transmission </w:t>
      </w:r>
      <w:r>
        <w:t>System Needs and Solutions</w:t>
      </w:r>
      <w:bookmarkEnd w:id="17"/>
      <w:bookmarkEnd w:id="18"/>
    </w:p>
    <w:p w:rsidR="00CD46CA" w:rsidRDefault="00CD46CA" w:rsidP="00CD46CA">
      <w:r>
        <w:t xml:space="preserve">Key inputs to the transmission planning process are peak demand and electric energy growth, as well as the development of resources, </w:t>
      </w:r>
      <w:r w:rsidR="00D4331C" w:rsidRPr="00D4331C">
        <w:t>including renewable and</w:t>
      </w:r>
      <w:r>
        <w:t xml:space="preserve"> </w:t>
      </w:r>
      <w:r w:rsidRPr="00B10801">
        <w:t xml:space="preserve">demand resources. Upgrades to the transmission system since 2002 have improved the New England transmission infrastructure; maintained power system reliability in accordance with NERC, NPCC, and ISO criteria and standards; and further </w:t>
      </w:r>
      <w:r w:rsidRPr="00161A8F">
        <w:t xml:space="preserve">reduced congestion costs and </w:t>
      </w:r>
      <w:r>
        <w:t>other charges</w:t>
      </w:r>
      <w:r w:rsidRPr="00B10801">
        <w:t>.</w:t>
      </w:r>
      <w:r>
        <w:rPr>
          <w:rStyle w:val="FootnoteReference"/>
          <w:color w:val="000000"/>
          <w:sz w:val="22"/>
        </w:rPr>
        <w:footnoteReference w:id="20"/>
      </w:r>
      <w:r>
        <w:t xml:space="preserve"> (</w:t>
      </w:r>
      <w:r w:rsidR="00832C7A">
        <w:fldChar w:fldCharType="begin"/>
      </w:r>
      <w:r w:rsidR="00E04B8F">
        <w:instrText xml:space="preserve"> REF _Ref262118292 \r \h </w:instrText>
      </w:r>
      <w:r w:rsidR="00832C7A">
        <w:fldChar w:fldCharType="separate"/>
      </w:r>
      <w:r w:rsidR="00E5699E">
        <w:t>Section 6</w:t>
      </w:r>
      <w:r w:rsidR="00832C7A">
        <w:fldChar w:fldCharType="end"/>
      </w:r>
      <w:r w:rsidR="00E04B8F">
        <w:t>)</w:t>
      </w:r>
      <w:r w:rsidRPr="005032C5">
        <w:t xml:space="preserve"> </w:t>
      </w:r>
    </w:p>
    <w:p w:rsidR="00CD46CA" w:rsidRDefault="00CD46CA" w:rsidP="00CD46CA">
      <w:r>
        <w:t>T</w:t>
      </w:r>
      <w:r w:rsidRPr="00750049">
        <w:t xml:space="preserve">ransmission planning studies, </w:t>
      </w:r>
      <w:r w:rsidRPr="00750049">
        <w:rPr>
          <w:color w:val="000000" w:themeColor="text1"/>
        </w:rPr>
        <w:t xml:space="preserve">done collaboratively with transmission owners </w:t>
      </w:r>
      <w:r>
        <w:rPr>
          <w:color w:val="000000" w:themeColor="text1"/>
        </w:rPr>
        <w:t xml:space="preserve">(TOs) </w:t>
      </w:r>
      <w:r w:rsidRPr="00750049">
        <w:rPr>
          <w:color w:val="000000" w:themeColor="text1"/>
        </w:rPr>
        <w:t>and other stakeholders,</w:t>
      </w:r>
      <w:r w:rsidRPr="00750049">
        <w:t xml:space="preserve"> have identified future reliability needs of the region and </w:t>
      </w:r>
      <w:r w:rsidR="009C4EEC">
        <w:t xml:space="preserve">transmission improvements to solve them. </w:t>
      </w:r>
      <w:r w:rsidRPr="00B10801">
        <w:t xml:space="preserve">Projects currently being </w:t>
      </w:r>
      <w:r w:rsidR="009C4EEC">
        <w:t xml:space="preserve">identified, </w:t>
      </w:r>
      <w:r w:rsidRPr="00B10801">
        <w:t>planned</w:t>
      </w:r>
      <w:r w:rsidR="009C4EEC">
        <w:t>,</w:t>
      </w:r>
      <w:r w:rsidRPr="00B10801">
        <w:t xml:space="preserve"> and implemented </w:t>
      </w:r>
      <w:r w:rsidR="00472183">
        <w:t xml:space="preserve">are </w:t>
      </w:r>
      <w:r w:rsidRPr="00B10801">
        <w:t>also laying the foundation for integrating new resources, including renewable energy resources</w:t>
      </w:r>
      <w:r w:rsidR="0075707E">
        <w:t>, and are improving the economic performance of the system</w:t>
      </w:r>
      <w:r w:rsidRPr="00B10801">
        <w:t xml:space="preserve">. </w:t>
      </w:r>
      <w:r w:rsidR="009C4EEC">
        <w:t xml:space="preserve">The </w:t>
      </w:r>
      <w:r w:rsidRPr="00B10801">
        <w:t>RSP10</w:t>
      </w:r>
      <w:r w:rsidRPr="009F717D">
        <w:t xml:space="preserve"> identifies the continued need for transmission development across the region and summarizes the status of ongoing transmission studies and the results of projects in various stages of implementation. (</w:t>
      </w:r>
      <w:r w:rsidR="00832C7A">
        <w:fldChar w:fldCharType="begin"/>
      </w:r>
      <w:r w:rsidR="00E04B8F">
        <w:instrText xml:space="preserve"> REF _Ref262118292 \r \h </w:instrText>
      </w:r>
      <w:r w:rsidR="00832C7A">
        <w:fldChar w:fldCharType="separate"/>
      </w:r>
      <w:r w:rsidR="00E5699E">
        <w:t>Section 6</w:t>
      </w:r>
      <w:r w:rsidR="00832C7A">
        <w:fldChar w:fldCharType="end"/>
      </w:r>
      <w:r w:rsidRPr="00384BCF">
        <w:t>)</w:t>
      </w:r>
    </w:p>
    <w:p w:rsidR="00FC0261" w:rsidRDefault="00CD46CA" w:rsidP="00235A65">
      <w:pPr>
        <w:pStyle w:val="Heading4"/>
      </w:pPr>
      <w:r>
        <w:t xml:space="preserve">Transmission </w:t>
      </w:r>
      <w:r w:rsidRPr="00916712">
        <w:t>Project</w:t>
      </w:r>
      <w:r>
        <w:t>s</w:t>
      </w:r>
    </w:p>
    <w:p w:rsidR="00CD46CA" w:rsidRDefault="00CD46CA" w:rsidP="00CD46CA">
      <w:r w:rsidRPr="000F5F71">
        <w:t xml:space="preserve">The </w:t>
      </w:r>
      <w:r w:rsidRPr="000F5F71">
        <w:rPr>
          <w:i/>
        </w:rPr>
        <w:t>RSP Project List</w:t>
      </w:r>
      <w:r w:rsidRPr="000F5F71">
        <w:t xml:space="preserve"> is a summary of transmission projects under </w:t>
      </w:r>
      <w:r w:rsidR="004017FD">
        <w:t xml:space="preserve">various stages of </w:t>
      </w:r>
      <w:r>
        <w:t xml:space="preserve">development (i.e., </w:t>
      </w:r>
      <w:r w:rsidR="002A4EA7">
        <w:t xml:space="preserve">concept, </w:t>
      </w:r>
      <w:r>
        <w:t xml:space="preserve">planned, proposed, and under construction), </w:t>
      </w:r>
      <w:r w:rsidRPr="000F5F71">
        <w:t>a</w:t>
      </w:r>
      <w:r>
        <w:t>s</w:t>
      </w:r>
      <w:r w:rsidRPr="000F5F71">
        <w:t xml:space="preserve"> required under Attachment K of the OATT to meet</w:t>
      </w:r>
      <w:r>
        <w:t xml:space="preserve"> regional system needs.</w:t>
      </w:r>
      <w:r w:rsidRPr="00FE4C23">
        <w:rPr>
          <w:rStyle w:val="FootnoteReference"/>
          <w:sz w:val="20"/>
          <w:szCs w:val="20"/>
        </w:rPr>
        <w:footnoteReference w:id="21"/>
      </w:r>
      <w:r w:rsidRPr="00FE4C23">
        <w:rPr>
          <w:sz w:val="20"/>
          <w:szCs w:val="20"/>
        </w:rPr>
        <w:t xml:space="preserve"> </w:t>
      </w:r>
      <w:r>
        <w:t>It also</w:t>
      </w:r>
      <w:r w:rsidRPr="00F4087F">
        <w:t xml:space="preserve"> includes information on project status and cost estimates.</w:t>
      </w:r>
      <w:r>
        <w:t xml:space="preserve"> </w:t>
      </w:r>
      <w:r w:rsidRPr="00DB174E">
        <w:t>The descriptions of transmission projects in RSP10 are based on the June 2010 update</w:t>
      </w:r>
      <w:r>
        <w:t xml:space="preserve">, which </w:t>
      </w:r>
      <w:r w:rsidRPr="007D72DF">
        <w:t xml:space="preserve">includes 189 projects at a total cost of </w:t>
      </w:r>
      <w:r w:rsidR="00D4331C" w:rsidRPr="00D4331C">
        <w:t>approximately $5 billion</w:t>
      </w:r>
      <w:r w:rsidR="00D4331C" w:rsidRPr="00D4331C">
        <w:rPr>
          <w:rStyle w:val="FootnoteReference"/>
          <w:sz w:val="22"/>
          <w:vertAlign w:val="baseline"/>
        </w:rPr>
        <w:t>.</w:t>
      </w:r>
      <w:r w:rsidR="00D4331C" w:rsidRPr="00D4331C">
        <w:rPr>
          <w:rStyle w:val="FootnoteReference"/>
          <w:sz w:val="22"/>
        </w:rPr>
        <w:footnoteReference w:id="22"/>
      </w:r>
      <w:r w:rsidR="00D4331C" w:rsidRPr="00D4331C">
        <w:t xml:space="preserve"> </w:t>
      </w:r>
      <w:r w:rsidR="00B462A6">
        <w:t>On the b</w:t>
      </w:r>
      <w:r w:rsidR="00D4331C" w:rsidRPr="00D4331C">
        <w:t>as</w:t>
      </w:r>
      <w:r w:rsidR="00B462A6">
        <w:t xml:space="preserve">is </w:t>
      </w:r>
      <w:r>
        <w:t>o</w:t>
      </w:r>
      <w:r w:rsidR="00B462A6">
        <w:t>f</w:t>
      </w:r>
      <w:r>
        <w:t xml:space="preserve"> these costs, </w:t>
      </w:r>
      <w:r w:rsidRPr="003C51A4">
        <w:t xml:space="preserve">the Regional Network Service (RNS) transmission rate is expected to grow from </w:t>
      </w:r>
      <w:r w:rsidRPr="006867C0">
        <w:t>$</w:t>
      </w:r>
      <w:r w:rsidR="000D1E4D">
        <w:t>64.</w:t>
      </w:r>
      <w:r w:rsidR="00D4331C" w:rsidRPr="00D4331C">
        <w:t>83/</w:t>
      </w:r>
      <w:r>
        <w:t>kilowatt</w:t>
      </w:r>
      <w:r w:rsidRPr="000F5F71">
        <w:t xml:space="preserve">-year </w:t>
      </w:r>
      <w:r>
        <w:t xml:space="preserve">(kW-year) </w:t>
      </w:r>
      <w:r w:rsidRPr="000F5F71">
        <w:t>in</w:t>
      </w:r>
      <w:r w:rsidRPr="003C51A4">
        <w:t xml:space="preserve"> 2010 to </w:t>
      </w:r>
      <w:r w:rsidRPr="006867C0">
        <w:t>$</w:t>
      </w:r>
      <w:r w:rsidR="000D1E4D">
        <w:t>110.</w:t>
      </w:r>
      <w:r w:rsidR="00D4331C" w:rsidRPr="00D4331C">
        <w:t>07/</w:t>
      </w:r>
      <w:r w:rsidRPr="000F5F71">
        <w:t>kW-year in</w:t>
      </w:r>
      <w:r w:rsidRPr="003C51A4">
        <w:t xml:space="preserve"> 2014, an increase of </w:t>
      </w:r>
      <w:r w:rsidR="000D1E4D">
        <w:t xml:space="preserve">almost </w:t>
      </w:r>
      <w:r w:rsidR="00D4331C" w:rsidRPr="00D4331C">
        <w:t>70%</w:t>
      </w:r>
      <w:r w:rsidRPr="006867C0">
        <w:t>.</w:t>
      </w:r>
      <w:r w:rsidR="000D1E4D" w:rsidRPr="00AB6F99">
        <w:rPr>
          <w:rStyle w:val="FootnoteReference"/>
          <w:sz w:val="22"/>
        </w:rPr>
        <w:footnoteReference w:id="23"/>
      </w:r>
      <w:r>
        <w:t xml:space="preserve"> (</w:t>
      </w:r>
      <w:r w:rsidR="00832C7A">
        <w:fldChar w:fldCharType="begin"/>
      </w:r>
      <w:r w:rsidR="00E04B8F">
        <w:instrText xml:space="preserve"> REF _Ref262118292 \r \h </w:instrText>
      </w:r>
      <w:r w:rsidR="00832C7A">
        <w:fldChar w:fldCharType="separate"/>
      </w:r>
      <w:r w:rsidR="00E5699E">
        <w:t>Section 6</w:t>
      </w:r>
      <w:r w:rsidR="00832C7A">
        <w:fldChar w:fldCharType="end"/>
      </w:r>
      <w:r>
        <w:t xml:space="preserve">) </w:t>
      </w:r>
    </w:p>
    <w:p w:rsidR="00CD46CA" w:rsidRDefault="00CD46CA" w:rsidP="00CD46CA">
      <w:pPr>
        <w:rPr>
          <w:color w:val="000000"/>
        </w:rPr>
      </w:pPr>
      <w:r>
        <w:t xml:space="preserve">The </w:t>
      </w:r>
      <w:r w:rsidRPr="00750049">
        <w:t>ISO updates</w:t>
      </w:r>
      <w:r>
        <w:t xml:space="preserve"> the </w:t>
      </w:r>
      <w:r>
        <w:rPr>
          <w:i/>
        </w:rPr>
        <w:t>RSP</w:t>
      </w:r>
      <w:r w:rsidRPr="004F699B">
        <w:rPr>
          <w:i/>
        </w:rPr>
        <w:t xml:space="preserve"> </w:t>
      </w:r>
      <w:r w:rsidRPr="006A1968">
        <w:rPr>
          <w:i/>
        </w:rPr>
        <w:t>Project List</w:t>
      </w:r>
      <w:r>
        <w:t xml:space="preserve"> at least three times per year, </w:t>
      </w:r>
      <w:r w:rsidRPr="006A1968">
        <w:t>as improvements are identified and projects are completed or eliminated from the list</w:t>
      </w:r>
      <w:r>
        <w:t xml:space="preserve">. In addition, the ISO </w:t>
      </w:r>
      <w:r w:rsidRPr="00D93D8A">
        <w:t>regularly discusses</w:t>
      </w:r>
      <w:r>
        <w:t xml:space="preserve"> system needs and </w:t>
      </w:r>
      <w:r w:rsidRPr="00D93D8A">
        <w:t>the justification for transmission improvements with the PAC and the Relia</w:t>
      </w:r>
      <w:r>
        <w:t xml:space="preserve">bility Committee, which provide guidance and comment on study scopes, assumptions, and </w:t>
      </w:r>
      <w:r w:rsidRPr="00AA3DE1">
        <w:t>results.</w:t>
      </w:r>
      <w:r>
        <w:t xml:space="preserve"> </w:t>
      </w:r>
      <w:r w:rsidRPr="00750049">
        <w:t>All transmission projects are coordinated with other regi</w:t>
      </w:r>
      <w:r w:rsidRPr="003579A3">
        <w:t xml:space="preserve">ons as well. The ISO will continue to </w:t>
      </w:r>
      <w:r>
        <w:t xml:space="preserve">work with regional TOs to </w:t>
      </w:r>
      <w:r w:rsidRPr="003579A3">
        <w:t>improve project management cost estimates, cost transparency, and cost controls and provide timely and accurate transmission project cost estimates throughout the development of transmission projects.</w:t>
      </w:r>
      <w:r>
        <w:t xml:space="preserve"> </w:t>
      </w:r>
      <w:r w:rsidRPr="0071263D">
        <w:rPr>
          <w:color w:val="000000"/>
        </w:rPr>
        <w:t>(</w:t>
      </w:r>
      <w:r w:rsidR="00832C7A">
        <w:fldChar w:fldCharType="begin"/>
      </w:r>
      <w:r w:rsidR="00E04B8F">
        <w:instrText xml:space="preserve"> REF _Ref262118292 \r \h </w:instrText>
      </w:r>
      <w:r w:rsidR="00832C7A">
        <w:fldChar w:fldCharType="separate"/>
      </w:r>
      <w:r w:rsidR="00E5699E">
        <w:t>Section 6</w:t>
      </w:r>
      <w:r w:rsidR="00832C7A">
        <w:fldChar w:fldCharType="end"/>
      </w:r>
      <w:r w:rsidRPr="0071263D">
        <w:rPr>
          <w:color w:val="000000"/>
        </w:rPr>
        <w:t>)</w:t>
      </w:r>
    </w:p>
    <w:p w:rsidR="00CD46CA" w:rsidRPr="00407CBE" w:rsidRDefault="00CD46CA" w:rsidP="00CD46CA">
      <w:pPr>
        <w:rPr>
          <w:color w:val="000000"/>
        </w:rPr>
      </w:pPr>
      <w:r w:rsidRPr="00865FAB">
        <w:rPr>
          <w:color w:val="000000"/>
        </w:rPr>
        <w:t xml:space="preserve">The status of several </w:t>
      </w:r>
      <w:r w:rsidR="002A4EA7">
        <w:rPr>
          <w:color w:val="000000"/>
        </w:rPr>
        <w:t xml:space="preserve">major </w:t>
      </w:r>
      <w:r w:rsidRPr="00865FAB">
        <w:rPr>
          <w:color w:val="000000"/>
        </w:rPr>
        <w:t>projects under development is as follows:</w:t>
      </w:r>
      <w:r>
        <w:rPr>
          <w:color w:val="000000"/>
        </w:rPr>
        <w:t xml:space="preserve"> </w:t>
      </w:r>
    </w:p>
    <w:p w:rsidR="00CD46CA" w:rsidRDefault="00CD46CA" w:rsidP="00BB34F0">
      <w:pPr>
        <w:numPr>
          <w:ilvl w:val="0"/>
          <w:numId w:val="49"/>
        </w:numPr>
      </w:pPr>
      <w:r w:rsidRPr="005865BF">
        <w:t>The Maine Power Reliability Program</w:t>
      </w:r>
      <w:r>
        <w:t xml:space="preserve"> (MPRP)</w:t>
      </w:r>
      <w:r w:rsidRPr="005865BF">
        <w:t xml:space="preserve">, </w:t>
      </w:r>
      <w:r>
        <w:t xml:space="preserve">for </w:t>
      </w:r>
      <w:r w:rsidRPr="005865BF">
        <w:t>which the Maine Public Utilities Commission</w:t>
      </w:r>
      <w:r>
        <w:t xml:space="preserve"> (MPUC) </w:t>
      </w:r>
      <w:r w:rsidRPr="005865BF">
        <w:t xml:space="preserve">has </w:t>
      </w:r>
      <w:r>
        <w:t xml:space="preserve">approved </w:t>
      </w:r>
      <w:r w:rsidRPr="003F2834">
        <w:t xml:space="preserve">most </w:t>
      </w:r>
      <w:r>
        <w:t xml:space="preserve">of </w:t>
      </w:r>
      <w:r w:rsidRPr="003F2834">
        <w:t>the</w:t>
      </w:r>
      <w:r w:rsidRPr="00086818">
        <w:t xml:space="preserve"> </w:t>
      </w:r>
      <w:r w:rsidR="009C4EEC">
        <w:t>components</w:t>
      </w:r>
      <w:r w:rsidRPr="005865BF">
        <w:t xml:space="preserve">, establishes a second 345 </w:t>
      </w:r>
      <w:r>
        <w:t>kilovolt (</w:t>
      </w:r>
      <w:r w:rsidRPr="005865BF">
        <w:t>kV</w:t>
      </w:r>
      <w:r>
        <w:t>)</w:t>
      </w:r>
      <w:r w:rsidRPr="005865BF">
        <w:t xml:space="preserve"> path in the north from Surowiec to Orrington</w:t>
      </w:r>
      <w:r>
        <w:t xml:space="preserve"> and </w:t>
      </w:r>
      <w:r w:rsidR="00D4331C" w:rsidRPr="00D4331C">
        <w:t>adds new 345 kV lines in southern Maine, creating a third parallel path from Surowiec to Three Rivers.</w:t>
      </w:r>
      <w:r w:rsidR="00CF796C">
        <w:t xml:space="preserve"> </w:t>
      </w:r>
      <w:r>
        <w:t>These new paths will provide basic infrastructure necessary to increase the ability to move power into Maine from New Hampshire, improve the ability of the transmission system within Maine to move power into the local load pockets as necessary, and increase transfer capability through Maine.</w:t>
      </w:r>
      <w:r w:rsidRPr="00B10801">
        <w:rPr>
          <w:rStyle w:val="FootnoteReference"/>
          <w:sz w:val="22"/>
        </w:rPr>
        <w:footnoteReference w:id="24"/>
      </w:r>
      <w:r w:rsidRPr="00B10801">
        <w:t xml:space="preserve"> </w:t>
      </w:r>
      <w:r>
        <w:t>(</w:t>
      </w:r>
      <w:r w:rsidR="00832C7A">
        <w:fldChar w:fldCharType="begin"/>
      </w:r>
      <w:r w:rsidR="00E04B8F">
        <w:instrText xml:space="preserve"> REF _Ref262118292 \r \h </w:instrText>
      </w:r>
      <w:r w:rsidR="00832C7A">
        <w:fldChar w:fldCharType="separate"/>
      </w:r>
      <w:r w:rsidR="00E5699E">
        <w:t>Section 6</w:t>
      </w:r>
      <w:r w:rsidR="00832C7A">
        <w:fldChar w:fldCharType="end"/>
      </w:r>
      <w:r>
        <w:t>)</w:t>
      </w:r>
    </w:p>
    <w:p w:rsidR="00B80C4E" w:rsidRPr="00694D72" w:rsidRDefault="00CD46CA" w:rsidP="00BB34F0">
      <w:pPr>
        <w:numPr>
          <w:ilvl w:val="0"/>
          <w:numId w:val="49"/>
        </w:numPr>
      </w:pPr>
      <w:r w:rsidRPr="00750049">
        <w:t>The New England East–West Solution (</w:t>
      </w:r>
      <w:r w:rsidRPr="00B10801">
        <w:t xml:space="preserve">NEEWS) series of projects </w:t>
      </w:r>
      <w:r w:rsidRPr="00287CEC">
        <w:t>ha</w:t>
      </w:r>
      <w:r w:rsidR="00DB20B4">
        <w:t xml:space="preserve">d </w:t>
      </w:r>
      <w:r w:rsidRPr="00287CEC">
        <w:t>been</w:t>
      </w:r>
      <w:r>
        <w:t xml:space="preserve"> identified to improve system reliability</w:t>
      </w:r>
      <w:r w:rsidR="007F0DC4">
        <w:t>:</w:t>
      </w:r>
      <w:r>
        <w:t xml:space="preserve"> </w:t>
      </w:r>
      <w:r w:rsidR="00B80C4E" w:rsidRPr="00B80C4E">
        <w:rPr>
          <w:rFonts w:cs="Times New Roman"/>
        </w:rPr>
        <w:t>(</w:t>
      </w:r>
      <w:fldSimple w:instr=" REF _Ref262118292 \r \h  \* MERGEFORMAT ">
        <w:r w:rsidR="00E5699E" w:rsidRPr="00E5699E">
          <w:rPr>
            <w:rFonts w:cs="Times New Roman"/>
          </w:rPr>
          <w:t>Section 6</w:t>
        </w:r>
      </w:fldSimple>
      <w:r w:rsidR="00D4331C" w:rsidRPr="00D4331C">
        <w:rPr>
          <w:rFonts w:cs="Times New Roman"/>
        </w:rPr>
        <w:t>)</w:t>
      </w:r>
    </w:p>
    <w:p w:rsidR="00F158B9" w:rsidRDefault="00D4331C" w:rsidP="00BB34F0">
      <w:pPr>
        <w:numPr>
          <w:ilvl w:val="0"/>
          <w:numId w:val="60"/>
        </w:numPr>
        <w:spacing w:after="120"/>
      </w:pPr>
      <w:r w:rsidRPr="00D4331C">
        <w:t xml:space="preserve">As a result of the Needs Assessments and Solutions Studies conducted by the ISO and the completion of the siting proceedings completed by the affected states (Massachusetts, Connecticut, and Rhode Island), the Springfield and Rhode Island components of NEEWS should be placed in service as soon as possible. </w:t>
      </w:r>
    </w:p>
    <w:p w:rsidR="00F158B9" w:rsidRPr="00ED58AB" w:rsidRDefault="00D4331C" w:rsidP="00BB34F0">
      <w:pPr>
        <w:numPr>
          <w:ilvl w:val="0"/>
          <w:numId w:val="60"/>
        </w:numPr>
        <w:spacing w:after="120"/>
      </w:pPr>
      <w:r w:rsidRPr="00D4331C">
        <w:t xml:space="preserve">The Interstate Reliability Project </w:t>
      </w:r>
      <w:r w:rsidRPr="00B47F86">
        <w:t>and the C</w:t>
      </w:r>
      <w:r w:rsidR="00DC2406" w:rsidRPr="00B47F86">
        <w:t xml:space="preserve">entral </w:t>
      </w:r>
      <w:r w:rsidRPr="00B47F86">
        <w:t>Connecticut Reliability</w:t>
      </w:r>
      <w:r w:rsidRPr="00D4331C">
        <w:t xml:space="preserve"> Project were reevaluated to account for the RSP10 load forecast, system operating constraints, resources acquired and delisted through the Forward Capacity Auctions, the impact of the unavailability of the Kleen Energy facility in </w:t>
      </w:r>
      <w:r w:rsidR="00890D42" w:rsidRPr="00890D42">
        <w:t xml:space="preserve">Connecticut, and the possibility that the </w:t>
      </w:r>
      <w:r w:rsidR="007B7547" w:rsidRPr="007B7547">
        <w:t xml:space="preserve">Vermont Yankee plant will not remain operational. </w:t>
      </w:r>
    </w:p>
    <w:p w:rsidR="00F158B9" w:rsidRDefault="000854D2" w:rsidP="00BB34F0">
      <w:pPr>
        <w:numPr>
          <w:ilvl w:val="0"/>
          <w:numId w:val="59"/>
        </w:numPr>
        <w:spacing w:after="120"/>
        <w:ind w:left="1800"/>
      </w:pPr>
      <w:r w:rsidRPr="00814912">
        <w:t>On the b</w:t>
      </w:r>
      <w:r w:rsidR="007B7547" w:rsidRPr="00814912">
        <w:t>as</w:t>
      </w:r>
      <w:r w:rsidRPr="00814912">
        <w:t xml:space="preserve">is </w:t>
      </w:r>
      <w:r w:rsidR="007B7547" w:rsidRPr="00814912">
        <w:t>o</w:t>
      </w:r>
      <w:r w:rsidRPr="00814912">
        <w:t>f</w:t>
      </w:r>
      <w:r w:rsidR="007B7547" w:rsidRPr="00814912">
        <w:t xml:space="preserve"> studies</w:t>
      </w:r>
      <w:r w:rsidR="007B7547" w:rsidRPr="007B7547">
        <w:t xml:space="preserve"> that considered these and other factors, the Interstate Reliability Project is needed to </w:t>
      </w:r>
      <w:r w:rsidR="009E228A">
        <w:t xml:space="preserve">meet national and regional </w:t>
      </w:r>
      <w:r w:rsidR="007B7547" w:rsidRPr="007B7547">
        <w:t xml:space="preserve">reliably </w:t>
      </w:r>
      <w:r w:rsidR="009E228A">
        <w:t xml:space="preserve">criteria </w:t>
      </w:r>
      <w:r w:rsidR="00814912">
        <w:t xml:space="preserve">and </w:t>
      </w:r>
      <w:r w:rsidR="007B7547" w:rsidRPr="007B7547">
        <w:t>serve load throughout southern and eastern New England. One need is to ensure deliverability of FCA-cleared resources from western New England to eastern New England and vice</w:t>
      </w:r>
      <w:r w:rsidR="00F84F39">
        <w:t xml:space="preserve"> </w:t>
      </w:r>
      <w:r w:rsidR="007B7547" w:rsidRPr="007B7547">
        <w:t xml:space="preserve">versa. The </w:t>
      </w:r>
      <w:r w:rsidR="00D4331C" w:rsidRPr="00D4331C">
        <w:t>system Needs Assessment also identified the need for relieving generator mechanical stress issues, reducing high short</w:t>
      </w:r>
      <w:r w:rsidR="007B7547" w:rsidRPr="007B7547">
        <w:t xml:space="preserve">-circuit availability at key substations, </w:t>
      </w:r>
      <w:r w:rsidR="00F84F39">
        <w:t xml:space="preserve">and </w:t>
      </w:r>
      <w:r w:rsidR="007B7547" w:rsidRPr="007B7547">
        <w:t xml:space="preserve">improving system resiliency to withstand extreme contingencies and the retirement of generating </w:t>
      </w:r>
      <w:r w:rsidR="00D4331C" w:rsidRPr="00D4331C">
        <w:t>units. The final alternatives for the Interstate Reliability Project remain under study. (</w:t>
      </w:r>
      <w:fldSimple w:instr=" REF _Ref262118292 \r \h  \* MERGEFORMAT ">
        <w:r w:rsidR="00E5699E">
          <w:t>Section 6</w:t>
        </w:r>
      </w:fldSimple>
      <w:r w:rsidR="00D4331C" w:rsidRPr="00D4331C">
        <w:t>)</w:t>
      </w:r>
    </w:p>
    <w:p w:rsidR="00F158B9" w:rsidRDefault="00D4331C" w:rsidP="00BB34F0">
      <w:pPr>
        <w:numPr>
          <w:ilvl w:val="0"/>
          <w:numId w:val="58"/>
        </w:numPr>
        <w:spacing w:after="120"/>
        <w:ind w:left="1800"/>
      </w:pPr>
      <w:r w:rsidRPr="00D4331C">
        <w:t>The need for the C</w:t>
      </w:r>
      <w:r w:rsidR="00DC2406">
        <w:t xml:space="preserve">entral </w:t>
      </w:r>
      <w:r w:rsidRPr="00D4331C">
        <w:t>Connecticut Reliability Project is also under study.</w:t>
      </w:r>
    </w:p>
    <w:p w:rsidR="00E00AF1" w:rsidRDefault="00D4331C" w:rsidP="00CD46CA">
      <w:r w:rsidRPr="00D4331C">
        <w:t>Plans call for discussing these remaining studies with the PAC by the first quarter of 2011.</w:t>
      </w:r>
      <w:r w:rsidR="00E00AF1">
        <w:t xml:space="preserve"> </w:t>
      </w:r>
    </w:p>
    <w:p w:rsidR="00CD46CA" w:rsidRDefault="00CD46CA" w:rsidP="00CD46CA">
      <w:r w:rsidRPr="003579A3">
        <w:t xml:space="preserve">At various times, generating units in New England load pockets have </w:t>
      </w:r>
      <w:r w:rsidRPr="00B10801">
        <w:t>been in “must-run” situations</w:t>
      </w:r>
      <w:r w:rsidRPr="003579A3">
        <w:t xml:space="preserve"> to</w:t>
      </w:r>
      <w:r>
        <w:t xml:space="preserve"> </w:t>
      </w:r>
      <w:r w:rsidRPr="003579A3">
        <w:t>serve area load</w:t>
      </w:r>
      <w:r w:rsidR="00314FBA">
        <w:t xml:space="preserve"> reliably</w:t>
      </w:r>
      <w:r>
        <w:t xml:space="preserve">. These load pockets </w:t>
      </w:r>
      <w:r w:rsidRPr="003579A3">
        <w:t>includ</w:t>
      </w:r>
      <w:r>
        <w:t>e</w:t>
      </w:r>
      <w:r w:rsidRPr="003579A3">
        <w:t xml:space="preserve"> portions of Maine, the Boston area, southeastern Massachusetts</w:t>
      </w:r>
      <w:r w:rsidR="00587946">
        <w:t xml:space="preserve"> (SEMA)</w:t>
      </w:r>
      <w:r w:rsidRPr="003579A3">
        <w:t xml:space="preserve">, western Massachusetts, the Springfield area, and Connecticut. </w:t>
      </w:r>
      <w:r w:rsidR="00320F99">
        <w:t>In addition to improving reliability, t</w:t>
      </w:r>
      <w:r w:rsidRPr="0071263D">
        <w:t xml:space="preserve">ransmission improvements placed in </w:t>
      </w:r>
      <w:r w:rsidR="00D4331C" w:rsidRPr="00D4331C">
        <w:t>service have reduced load</w:t>
      </w:r>
      <w:r w:rsidR="00E90366">
        <w:t xml:space="preserve"> </w:t>
      </w:r>
      <w:r w:rsidRPr="0071263D">
        <w:t>costs associated with second-contingency and voltage-control payments</w:t>
      </w:r>
      <w:r w:rsidR="00E90366">
        <w:t xml:space="preserve"> to generators</w:t>
      </w:r>
      <w:r w:rsidRPr="0071263D">
        <w:t>.</w:t>
      </w:r>
      <w:r w:rsidRPr="00F76A6D">
        <w:rPr>
          <w:rStyle w:val="FootnoteReference"/>
          <w:sz w:val="22"/>
        </w:rPr>
        <w:footnoteReference w:id="25"/>
      </w:r>
      <w:r w:rsidRPr="0071263D">
        <w:t xml:space="preserve"> </w:t>
      </w:r>
      <w:r>
        <w:t>T</w:t>
      </w:r>
      <w:r w:rsidRPr="0071263D">
        <w:t xml:space="preserve">he Lower </w:t>
      </w:r>
      <w:r>
        <w:t xml:space="preserve">Southeastern Massachusetts (Lower </w:t>
      </w:r>
      <w:r w:rsidRPr="0071263D">
        <w:t>SEMA</w:t>
      </w:r>
      <w:r>
        <w:t>)</w:t>
      </w:r>
      <w:r w:rsidRPr="0071263D">
        <w:t xml:space="preserve"> </w:t>
      </w:r>
      <w:r w:rsidR="004017FD">
        <w:t xml:space="preserve">short-term upgrades are </w:t>
      </w:r>
      <w:r>
        <w:t xml:space="preserve">one example </w:t>
      </w:r>
      <w:r w:rsidR="00970CEC">
        <w:t xml:space="preserve">of </w:t>
      </w:r>
      <w:r w:rsidRPr="0071263D">
        <w:t xml:space="preserve">transmission improvements </w:t>
      </w:r>
      <w:r w:rsidR="00970CEC">
        <w:t xml:space="preserve">that </w:t>
      </w:r>
      <w:r>
        <w:t>have improved reliability, reduced dependencies on generating units, and reduced “</w:t>
      </w:r>
      <w:r w:rsidRPr="00657A1E">
        <w:t>make-whole</w:t>
      </w:r>
      <w:r>
        <w:t>”</w:t>
      </w:r>
      <w:r w:rsidRPr="00657A1E">
        <w:t xml:space="preserve"> payments to market participants with resources whose operating costs </w:t>
      </w:r>
      <w:r>
        <w:t xml:space="preserve">were higher than their </w:t>
      </w:r>
      <w:r w:rsidRPr="00657A1E">
        <w:t xml:space="preserve">energy </w:t>
      </w:r>
      <w:r>
        <w:t xml:space="preserve">market </w:t>
      </w:r>
      <w:r w:rsidRPr="00657A1E">
        <w:t xml:space="preserve">revenues over </w:t>
      </w:r>
      <w:r>
        <w:t xml:space="preserve">a </w:t>
      </w:r>
      <w:r w:rsidRPr="00657A1E">
        <w:t xml:space="preserve">24-hour dispatch </w:t>
      </w:r>
      <w:r w:rsidRPr="000465C2">
        <w:t>day.</w:t>
      </w:r>
      <w:r>
        <w:t xml:space="preserve"> (</w:t>
      </w:r>
      <w:r w:rsidR="00832C7A">
        <w:fldChar w:fldCharType="begin"/>
      </w:r>
      <w:r w:rsidR="00E04B8F">
        <w:instrText xml:space="preserve"> REF _Ref262118292 \r \h </w:instrText>
      </w:r>
      <w:r w:rsidR="00832C7A">
        <w:fldChar w:fldCharType="separate"/>
      </w:r>
      <w:r w:rsidR="00E5699E">
        <w:t>Section 6</w:t>
      </w:r>
      <w:r w:rsidR="00832C7A">
        <w:fldChar w:fldCharType="end"/>
      </w:r>
      <w:r>
        <w:t>)</w:t>
      </w:r>
    </w:p>
    <w:p w:rsidR="00CD46CA" w:rsidRDefault="00CD46CA" w:rsidP="00CD46CA">
      <w:r w:rsidRPr="009F717D">
        <w:t xml:space="preserve">Several developers have proposed elective and merchant transmission upgrades, which are in various stages of study and development. These projects </w:t>
      </w:r>
      <w:r w:rsidRPr="00BC6952">
        <w:t>could i</w:t>
      </w:r>
      <w:r w:rsidRPr="009F717D">
        <w:t xml:space="preserve">ncrease New England’s tie capability with its neighbors and improve access to renewable sources of </w:t>
      </w:r>
      <w:r w:rsidR="00D4331C" w:rsidRPr="00D4331C">
        <w:t>energy. The ISO will continue to monitor projected system conditions and needs based on the outcomes of these upgrades. (</w:t>
      </w:r>
      <w:fldSimple w:instr=" REF _Ref262118292 \r \h  \* MERGEFORMAT ">
        <w:r w:rsidR="00E5699E">
          <w:t>Section 6</w:t>
        </w:r>
      </w:fldSimple>
      <w:r w:rsidR="00D4331C" w:rsidRPr="00D4331C">
        <w:t>)</w:t>
      </w:r>
    </w:p>
    <w:p w:rsidR="00FC0261" w:rsidRDefault="00CD46CA" w:rsidP="00235A65">
      <w:pPr>
        <w:pStyle w:val="Heading4"/>
      </w:pPr>
      <w:r w:rsidRPr="00B205FD">
        <w:t>Interregional Planning</w:t>
      </w:r>
    </w:p>
    <w:p w:rsidR="00CD46CA" w:rsidRDefault="00CD46CA" w:rsidP="00CD46CA">
      <w:r>
        <w:t xml:space="preserve">ISO New England’s planning activities are closely coordinated among the six New England </w:t>
      </w:r>
      <w:r w:rsidRPr="00046C89">
        <w:t xml:space="preserve">states </w:t>
      </w:r>
      <w:r>
        <w:t xml:space="preserve">and other New England stakeholders, </w:t>
      </w:r>
      <w:r w:rsidRPr="00046C89">
        <w:t xml:space="preserve">as well as with neighboring systems and </w:t>
      </w:r>
      <w:r w:rsidRPr="00C02062">
        <w:t xml:space="preserve">nationally with </w:t>
      </w:r>
      <w:r w:rsidR="00970CEC">
        <w:t>the U.S. Department of Energy (</w:t>
      </w:r>
      <w:r>
        <w:t>DOE</w:t>
      </w:r>
      <w:r w:rsidR="00970CEC">
        <w:t>)</w:t>
      </w:r>
      <w:r>
        <w:t xml:space="preserve">, </w:t>
      </w:r>
      <w:r w:rsidRPr="00C02062">
        <w:t xml:space="preserve">the Federal Energy Regulatory Commission, and NERC. </w:t>
      </w:r>
      <w:r>
        <w:t xml:space="preserve">The ISO has coordinated system plans and has proactively initiated planning </w:t>
      </w:r>
      <w:r w:rsidRPr="00C13F9E">
        <w:t xml:space="preserve">studies with other </w:t>
      </w:r>
      <w:r>
        <w:t>regions.</w:t>
      </w:r>
      <w:r w:rsidRPr="00646891">
        <w:rPr>
          <w:rStyle w:val="FootnoteReference"/>
          <w:sz w:val="22"/>
        </w:rPr>
        <w:footnoteReference w:id="26"/>
      </w:r>
      <w:r w:rsidRPr="00646891">
        <w:t xml:space="preserve"> </w:t>
      </w:r>
      <w:r w:rsidRPr="00C02062">
        <w:t xml:space="preserve">The Northeastern ISO/RTO (Independent System Operator/Regional </w:t>
      </w:r>
      <w:r w:rsidRPr="009F717D">
        <w:t xml:space="preserve">Transmission Organization) Planning Protocol has further improved interregional planning among neighboring areas. Sharing </w:t>
      </w:r>
      <w:r>
        <w:t xml:space="preserve">more supply and demand </w:t>
      </w:r>
      <w:r w:rsidRPr="009F717D">
        <w:t>resources with other systems</w:t>
      </w:r>
      <w:r>
        <w:t xml:space="preserve"> will likely become necessary</w:t>
      </w:r>
      <w:r w:rsidRPr="009F717D">
        <w:t>, particularly</w:t>
      </w:r>
      <w:r w:rsidR="00B253C0">
        <w:t>,</w:t>
      </w:r>
      <w:r w:rsidRPr="009F717D">
        <w:t xml:space="preserve"> to meet environmental emission initiatives (see below)</w:t>
      </w:r>
      <w:r>
        <w:t>. Identifying the potential impacts that proposed generating units and transmission projects could have on neighboring systems is beneficial to support interregional reliability and economic performance. (</w:t>
      </w:r>
      <w:r w:rsidR="00832C7A">
        <w:fldChar w:fldCharType="begin"/>
      </w:r>
      <w:r w:rsidR="00663230">
        <w:instrText xml:space="preserve"> REF _Ref267384688 \r \h </w:instrText>
      </w:r>
      <w:r w:rsidR="00832C7A">
        <w:fldChar w:fldCharType="separate"/>
      </w:r>
      <w:r w:rsidR="00E5699E">
        <w:t>Section 11</w:t>
      </w:r>
      <w:r w:rsidR="00832C7A">
        <w:fldChar w:fldCharType="end"/>
      </w:r>
      <w:r>
        <w:t>)</w:t>
      </w:r>
    </w:p>
    <w:p w:rsidR="00CD46CA" w:rsidRDefault="00CD46CA" w:rsidP="00CD46CA">
      <w:r w:rsidRPr="00750049">
        <w:t>In August 2</w:t>
      </w:r>
      <w:r w:rsidR="00D4331C" w:rsidRPr="00D4331C">
        <w:t>009, a</w:t>
      </w:r>
      <w:r w:rsidRPr="00750049">
        <w:t xml:space="preserve"> coalition of the regional planning authorities within the Eastern Interconnection formed the Eastern Interconnection Planning Collaborative (EIPC).</w:t>
      </w:r>
      <w:r w:rsidRPr="00646891">
        <w:rPr>
          <w:rStyle w:val="FootnoteReference"/>
          <w:sz w:val="22"/>
        </w:rPr>
        <w:footnoteReference w:id="27"/>
      </w:r>
      <w:r w:rsidRPr="00750049">
        <w:t xml:space="preserve"> The EIPC is a first-of-its-kind effort</w:t>
      </w:r>
      <w:r w:rsidRPr="00750049">
        <w:rPr>
          <w:rFonts w:eastAsia="Times New Roman" w:cs="Times New Roman"/>
          <w:color w:val="333333"/>
        </w:rPr>
        <w:t xml:space="preserve"> </w:t>
      </w:r>
      <w:r w:rsidRPr="00750049">
        <w:t xml:space="preserve">to address </w:t>
      </w:r>
      <w:r>
        <w:t xml:space="preserve">North American </w:t>
      </w:r>
      <w:r w:rsidRPr="00750049">
        <w:t xml:space="preserve">planning issues, coordinate plans, and conduct studies for the entire Eastern Interconnection through a transparent and collaborative process with input from </w:t>
      </w:r>
      <w:r>
        <w:t xml:space="preserve">a broad base of </w:t>
      </w:r>
      <w:r w:rsidRPr="00750049">
        <w:t xml:space="preserve">interested stakeholders. </w:t>
      </w:r>
      <w:r>
        <w:t>Participants include f</w:t>
      </w:r>
      <w:r w:rsidRPr="00750049">
        <w:t xml:space="preserve">ederal and state policymakers; Canadian provincial officials; consumer and environmental advocates; </w:t>
      </w:r>
      <w:r w:rsidRPr="00B10801">
        <w:t xml:space="preserve">transmission owners and developers; generation owners; other suppliers; and representatives from transmission-dependent utilities, public power companies, and electric cooperatives </w:t>
      </w:r>
      <w:r w:rsidRPr="00750049">
        <w:t xml:space="preserve">within the Eastern Interconnection. ISO New England and other planning authorities throughout the Eastern Interconnection are principal investigators in the EIPC process. The EIPC proposes to use local and regional planning processes and studies </w:t>
      </w:r>
      <w:r w:rsidRPr="00750049">
        <w:rPr>
          <w:rFonts w:cs="Times New Roman"/>
        </w:rPr>
        <w:t xml:space="preserve">as </w:t>
      </w:r>
      <w:r w:rsidRPr="00750049">
        <w:t xml:space="preserve">the basis for performing new interconnection-wide analyses of various transmission alternatives. </w:t>
      </w:r>
      <w:r w:rsidRPr="004163E9">
        <w:t>(</w:t>
      </w:r>
      <w:r w:rsidR="00832C7A">
        <w:fldChar w:fldCharType="begin"/>
      </w:r>
      <w:r w:rsidR="00663230">
        <w:instrText xml:space="preserve"> REF _Ref267384688 \r \h </w:instrText>
      </w:r>
      <w:r w:rsidR="00832C7A">
        <w:fldChar w:fldCharType="separate"/>
      </w:r>
      <w:r w:rsidR="00E5699E">
        <w:t>Section 11</w:t>
      </w:r>
      <w:r w:rsidR="00832C7A">
        <w:fldChar w:fldCharType="end"/>
      </w:r>
      <w:r w:rsidRPr="004163E9">
        <w:t>)</w:t>
      </w:r>
    </w:p>
    <w:p w:rsidR="00CD46CA" w:rsidRPr="003372C5" w:rsidRDefault="00CD46CA" w:rsidP="00CD46CA">
      <w:r w:rsidRPr="002C13B2">
        <w:rPr>
          <w:color w:val="000000"/>
        </w:rPr>
        <w:t>The ISO participates in several other national and regional system planning forums</w:t>
      </w:r>
      <w:r w:rsidR="002C13B2" w:rsidRPr="002C13B2">
        <w:rPr>
          <w:color w:val="000000"/>
        </w:rPr>
        <w:t>,</w:t>
      </w:r>
      <w:r w:rsidRPr="002C13B2">
        <w:rPr>
          <w:color w:val="000000"/>
        </w:rPr>
        <w:t xml:space="preserve"> </w:t>
      </w:r>
      <w:r w:rsidR="002C13B2" w:rsidRPr="002C13B2">
        <w:rPr>
          <w:color w:val="000000"/>
        </w:rPr>
        <w:t xml:space="preserve">such as </w:t>
      </w:r>
      <w:r w:rsidRPr="002C13B2">
        <w:rPr>
          <w:color w:val="000000"/>
        </w:rPr>
        <w:t xml:space="preserve">the Electric Reliability Organization, the ISO/RTO Council, and the Northeast Power Coordinating Council. </w:t>
      </w:r>
      <w:r w:rsidR="002C13B2" w:rsidRPr="002C13B2">
        <w:t>T</w:t>
      </w:r>
      <w:r w:rsidRPr="002C13B2">
        <w:t xml:space="preserve">he ISO is conducting </w:t>
      </w:r>
      <w:r w:rsidR="002C13B2" w:rsidRPr="002C13B2">
        <w:t>a</w:t>
      </w:r>
      <w:r w:rsidR="002C13B2">
        <w:t xml:space="preserve"> joint production-cost study </w:t>
      </w:r>
      <w:r w:rsidRPr="002C13B2">
        <w:t>with the New York ISO (NYISO) and PJM Interconnection (PJM)</w:t>
      </w:r>
      <w:r w:rsidR="002C13B2" w:rsidRPr="002C13B2">
        <w:t xml:space="preserve"> based on stakeholder requests received in 2009</w:t>
      </w:r>
      <w:r w:rsidRPr="002C13B2">
        <w:t>. This study is identifying transmission constraints limiting interregional power transfers and showing the effects of relaxing these constraints throughout the ISO/RTO regions. ISO</w:t>
      </w:r>
      <w:r w:rsidRPr="0098698B">
        <w:t xml:space="preserve"> New England </w:t>
      </w:r>
      <w:r w:rsidRPr="0098698B">
        <w:rPr>
          <w:color w:val="000000"/>
        </w:rPr>
        <w:t>will continue to coordinate efforts with neighboring systems to plan projects</w:t>
      </w:r>
      <w:r w:rsidR="00314FBA">
        <w:rPr>
          <w:color w:val="000000"/>
        </w:rPr>
        <w:t xml:space="preserve"> jointly</w:t>
      </w:r>
      <w:r w:rsidRPr="0098698B">
        <w:rPr>
          <w:color w:val="000000"/>
        </w:rPr>
        <w:t xml:space="preserve">, explore the ability to import power </w:t>
      </w:r>
      <w:r w:rsidRPr="009F717D">
        <w:rPr>
          <w:color w:val="000000"/>
        </w:rPr>
        <w:t xml:space="preserve">from and export power to the eastern Canadian provinces and New York, and participate in national and regional planning activities. </w:t>
      </w:r>
      <w:r w:rsidRPr="009F717D">
        <w:t>(Sections 10 and 11)</w:t>
      </w:r>
    </w:p>
    <w:p w:rsidR="00B462A6" w:rsidRDefault="00CD46CA">
      <w:pPr>
        <w:pStyle w:val="Heading3"/>
      </w:pPr>
      <w:bookmarkStart w:id="19" w:name="_Toc267069127"/>
      <w:bookmarkStart w:id="20" w:name="_Toc271632200"/>
      <w:r w:rsidRPr="009F717D">
        <w:t>Developing and Integrating Resources</w:t>
      </w:r>
      <w:bookmarkEnd w:id="19"/>
      <w:bookmarkEnd w:id="20"/>
    </w:p>
    <w:p w:rsidR="00CD46CA" w:rsidRDefault="00CD46CA" w:rsidP="00CD46CA">
      <w:r w:rsidRPr="009F717D">
        <w:t xml:space="preserve">In addition to identifying the need for capacity and operating reserves, the ISO’s </w:t>
      </w:r>
      <w:r w:rsidR="00A859AB">
        <w:t xml:space="preserve">system </w:t>
      </w:r>
      <w:r w:rsidRPr="009F717D">
        <w:t xml:space="preserve">planning </w:t>
      </w:r>
      <w:r>
        <w:t xml:space="preserve">process </w:t>
      </w:r>
      <w:r w:rsidRPr="009F717D">
        <w:t>assess</w:t>
      </w:r>
      <w:r>
        <w:t>es</w:t>
      </w:r>
      <w:r w:rsidRPr="009F717D">
        <w:t xml:space="preserve"> the impacts of fuel diversity and environmental </w:t>
      </w:r>
      <w:r>
        <w:t xml:space="preserve">initiatives. </w:t>
      </w:r>
      <w:r w:rsidRPr="009F717D">
        <w:t xml:space="preserve">It also </w:t>
      </w:r>
      <w:r>
        <w:t xml:space="preserve">identifies and resolves issues </w:t>
      </w:r>
      <w:r w:rsidRPr="003372C5">
        <w:t xml:space="preserve">related to </w:t>
      </w:r>
      <w:r w:rsidRPr="009F717D">
        <w:t>developing and integrating renewable resources, demand-resource applications, and smart grid technologies.</w:t>
      </w:r>
    </w:p>
    <w:p w:rsidR="00FC0261" w:rsidRDefault="00CD46CA" w:rsidP="00235A65">
      <w:pPr>
        <w:pStyle w:val="Heading4"/>
        <w:rPr>
          <w:rFonts w:eastAsiaTheme="minorHAnsi"/>
        </w:rPr>
      </w:pPr>
      <w:r w:rsidRPr="00F2771C">
        <w:rPr>
          <w:rFonts w:eastAsiaTheme="minorHAnsi"/>
        </w:rPr>
        <w:t xml:space="preserve">Fuel Diversity </w:t>
      </w:r>
    </w:p>
    <w:p w:rsidR="00CD46CA" w:rsidRDefault="00CD46CA" w:rsidP="00CD46CA">
      <w:pPr>
        <w:spacing w:after="120"/>
      </w:pPr>
      <w:r w:rsidRPr="0071263D">
        <w:t>New England will remain heavily dependent on natural gas as a primary fuel for generating electric energy for the foreseeable future</w:t>
      </w:r>
      <w:r w:rsidR="00356364">
        <w:t>;</w:t>
      </w:r>
      <w:r w:rsidR="0049709D">
        <w:t xml:space="preserve"> n</w:t>
      </w:r>
      <w:r w:rsidRPr="0071263D">
        <w:t xml:space="preserve">atural gas plants </w:t>
      </w:r>
      <w:r>
        <w:t xml:space="preserve">currently </w:t>
      </w:r>
      <w:r w:rsidRPr="0071263D">
        <w:t xml:space="preserve">represent </w:t>
      </w:r>
      <w:r w:rsidRPr="009B13F1">
        <w:t>41</w:t>
      </w:r>
      <w:r w:rsidRPr="008646E8">
        <w:t>%</w:t>
      </w:r>
      <w:r w:rsidRPr="0071263D">
        <w:t xml:space="preserve"> of the region</w:t>
      </w:r>
      <w:r>
        <w:t>’</w:t>
      </w:r>
      <w:r w:rsidRPr="0071263D">
        <w:t xml:space="preserve">s capacity and provided </w:t>
      </w:r>
      <w:r w:rsidRPr="008646E8">
        <w:t>about 4</w:t>
      </w:r>
      <w:r>
        <w:t>2</w:t>
      </w:r>
      <w:r w:rsidRPr="008646E8">
        <w:t>%</w:t>
      </w:r>
      <w:r w:rsidRPr="0071263D">
        <w:t xml:space="preserve"> of the system</w:t>
      </w:r>
      <w:r>
        <w:t>’s electrical</w:t>
      </w:r>
      <w:r w:rsidRPr="0071263D">
        <w:t xml:space="preserve"> energy</w:t>
      </w:r>
      <w:r>
        <w:t xml:space="preserve"> in </w:t>
      </w:r>
      <w:r w:rsidRPr="00750049">
        <w:t xml:space="preserve">2009. </w:t>
      </w:r>
      <w:r>
        <w:t xml:space="preserve">Recent improvements to </w:t>
      </w:r>
      <w:r w:rsidRPr="00750049">
        <w:t xml:space="preserve">the regional and interregional natural gas infrastructure </w:t>
      </w:r>
      <w:r>
        <w:t xml:space="preserve">have </w:t>
      </w:r>
      <w:r w:rsidRPr="00750049">
        <w:t>help</w:t>
      </w:r>
      <w:r>
        <w:t>ed</w:t>
      </w:r>
      <w:r w:rsidRPr="00750049">
        <w:t xml:space="preserve"> expand and </w:t>
      </w:r>
      <w:r w:rsidRPr="00834568">
        <w:t xml:space="preserve">diversify natural gas sources to meet New </w:t>
      </w:r>
      <w:r w:rsidRPr="00B10801">
        <w:t>England’s increasing demand for natural gas to produce electric power.</w:t>
      </w:r>
      <w:r w:rsidRPr="00B10801">
        <w:rPr>
          <w:vertAlign w:val="superscript"/>
        </w:rPr>
        <w:footnoteReference w:id="28"/>
      </w:r>
      <w:r w:rsidRPr="00B10801">
        <w:rPr>
          <w:vertAlign w:val="superscript"/>
        </w:rPr>
        <w:t xml:space="preserve"> </w:t>
      </w:r>
      <w:r w:rsidRPr="00B10801">
        <w:t>Also</w:t>
      </w:r>
      <w:r w:rsidRPr="00B10801">
        <w:rPr>
          <w:rFonts w:cs="Times New Roman"/>
        </w:rPr>
        <w:t>, the implementation of</w:t>
      </w:r>
      <w:r w:rsidRPr="00B10801">
        <w:rPr>
          <w:rFonts w:cs="Times New Roman"/>
          <w:sz w:val="18"/>
          <w:vertAlign w:val="superscript"/>
        </w:rPr>
        <w:t xml:space="preserve"> </w:t>
      </w:r>
      <w:r w:rsidRPr="00B10801">
        <w:rPr>
          <w:rFonts w:cs="Times New Roman"/>
        </w:rPr>
        <w:t>operating procedures and improved communications</w:t>
      </w:r>
      <w:r w:rsidRPr="00B10801">
        <w:rPr>
          <w:rFonts w:cs="Times New Roman"/>
          <w:sz w:val="18"/>
          <w:vertAlign w:val="superscript"/>
        </w:rPr>
        <w:t xml:space="preserve"> </w:t>
      </w:r>
      <w:r w:rsidRPr="00B10801">
        <w:t>between electric power and natural gas system operators have decreased operational risks and improved the reliability and diversity of natural gas supply and transportation</w:t>
      </w:r>
      <w:r w:rsidR="00E84B2C">
        <w:t xml:space="preserve">. </w:t>
      </w:r>
      <w:r w:rsidRPr="00B10801">
        <w:t>These steps have mitigated electric power system reliability concerns.</w:t>
      </w:r>
      <w:r w:rsidRPr="00B10801">
        <w:rPr>
          <w:rStyle w:val="FootnoteReference"/>
          <w:sz w:val="22"/>
        </w:rPr>
        <w:footnoteReference w:id="29"/>
      </w:r>
      <w:r w:rsidRPr="00B10801">
        <w:t xml:space="preserve"> (</w:t>
      </w:r>
      <w:r w:rsidR="00832C7A">
        <w:fldChar w:fldCharType="begin"/>
      </w:r>
      <w:r w:rsidR="00663230">
        <w:instrText xml:space="preserve"> REF _Ref267384781 \r \h </w:instrText>
      </w:r>
      <w:r w:rsidR="00832C7A">
        <w:fldChar w:fldCharType="separate"/>
      </w:r>
      <w:r w:rsidR="00E5699E">
        <w:t>Section 7</w:t>
      </w:r>
      <w:r w:rsidR="00832C7A">
        <w:fldChar w:fldCharType="end"/>
      </w:r>
      <w:r w:rsidRPr="00B10801">
        <w:t xml:space="preserve">) </w:t>
      </w:r>
    </w:p>
    <w:p w:rsidR="00FC0261" w:rsidRDefault="00CD46CA" w:rsidP="00235A65">
      <w:pPr>
        <w:pStyle w:val="Heading4"/>
      </w:pPr>
      <w:r w:rsidRPr="00B10801">
        <w:t>Environmental Emissions Requirements</w:t>
      </w:r>
    </w:p>
    <w:p w:rsidR="00CD46CA" w:rsidRDefault="00CD46CA" w:rsidP="00CD46CA">
      <w:r w:rsidRPr="00B10801">
        <w:t xml:space="preserve">The region and neighboring areas face extensive state and federal environmental initiatives </w:t>
      </w:r>
      <w:r w:rsidR="00356C9A">
        <w:t xml:space="preserve">that cover </w:t>
      </w:r>
      <w:r w:rsidRPr="00B10801">
        <w:t>air emissions, water</w:t>
      </w:r>
      <w:r w:rsidRPr="00834568">
        <w:t xml:space="preserve"> intake requirements, and </w:t>
      </w:r>
      <w:r>
        <w:t xml:space="preserve">the </w:t>
      </w:r>
      <w:r w:rsidRPr="00834568">
        <w:t>handling of coal combustion products.</w:t>
      </w:r>
      <w:r w:rsidRPr="00A86513">
        <w:rPr>
          <w:rStyle w:val="FootnoteReference"/>
          <w:sz w:val="22"/>
        </w:rPr>
        <w:footnoteReference w:id="30"/>
      </w:r>
      <w:r w:rsidRPr="00A86513">
        <w:t xml:space="preserve"> </w:t>
      </w:r>
      <w:r w:rsidRPr="00834568">
        <w:t>These</w:t>
      </w:r>
      <w:r>
        <w:t xml:space="preserve"> regulations will continue to </w:t>
      </w:r>
      <w:r w:rsidRPr="00ED5E79">
        <w:t xml:space="preserve">increase </w:t>
      </w:r>
      <w:r>
        <w:t xml:space="preserve">fossil fuel plant </w:t>
      </w:r>
      <w:r w:rsidRPr="00ED5E79">
        <w:t xml:space="preserve">operating costs for emission allowances, add capital costs for environmental controls, </w:t>
      </w:r>
      <w:r>
        <w:t xml:space="preserve">and require </w:t>
      </w:r>
      <w:r w:rsidRPr="00ED5E79">
        <w:t xml:space="preserve">the use </w:t>
      </w:r>
      <w:r>
        <w:t xml:space="preserve">of </w:t>
      </w:r>
      <w:r w:rsidRPr="00ED5E79">
        <w:t>low-emitting fuels</w:t>
      </w:r>
      <w:r>
        <w:t>, which may limit generation capacity or energy production</w:t>
      </w:r>
      <w:r w:rsidRPr="005606FB">
        <w:t xml:space="preserve">. The limited availability of emission allowances </w:t>
      </w:r>
      <w:r w:rsidR="00A2350B">
        <w:t xml:space="preserve">also </w:t>
      </w:r>
      <w:r w:rsidRPr="009F717D">
        <w:t>could</w:t>
      </w:r>
      <w:r w:rsidRPr="005606FB">
        <w:t xml:space="preserve"> constrain generation capacity and fossil-fueled energy production, which could lead to new generation dispatch and commitment patterns and shifting costs. </w:t>
      </w:r>
      <w:r>
        <w:t>The ISO will m</w:t>
      </w:r>
      <w:r w:rsidRPr="005606FB">
        <w:t>onitor</w:t>
      </w:r>
      <w:r>
        <w:t xml:space="preserve"> </w:t>
      </w:r>
      <w:r w:rsidRPr="005606FB">
        <w:t>and evaluat</w:t>
      </w:r>
      <w:r>
        <w:t xml:space="preserve">e </w:t>
      </w:r>
      <w:r w:rsidRPr="005606FB">
        <w:t xml:space="preserve">environmental </w:t>
      </w:r>
      <w:r>
        <w:t xml:space="preserve">initiatives </w:t>
      </w:r>
      <w:r w:rsidRPr="005606FB">
        <w:t>as they occur or are proposed and provid</w:t>
      </w:r>
      <w:r>
        <w:t>e</w:t>
      </w:r>
      <w:r w:rsidRPr="005606FB">
        <w:t xml:space="preserve"> feedback and</w:t>
      </w:r>
      <w:r w:rsidRPr="00F45738">
        <w:t xml:space="preserve"> input to environmental regulators on </w:t>
      </w:r>
      <w:r>
        <w:t xml:space="preserve">the </w:t>
      </w:r>
      <w:r w:rsidRPr="00F45738">
        <w:t xml:space="preserve">impacts </w:t>
      </w:r>
      <w:r>
        <w:t xml:space="preserve">the initiatives could have </w:t>
      </w:r>
      <w:r w:rsidRPr="00F45738">
        <w:t>on power system operations and reliability</w:t>
      </w:r>
      <w:r>
        <w:t>. (</w:t>
      </w:r>
      <w:r w:rsidR="00832C7A">
        <w:fldChar w:fldCharType="begin"/>
      </w:r>
      <w:r w:rsidR="00663230">
        <w:instrText xml:space="preserve"> REF _Ref262118354 \r \h </w:instrText>
      </w:r>
      <w:r w:rsidR="00832C7A">
        <w:fldChar w:fldCharType="separate"/>
      </w:r>
      <w:r w:rsidR="00E5699E">
        <w:t>Section 8</w:t>
      </w:r>
      <w:r w:rsidR="00832C7A">
        <w:fldChar w:fldCharType="end"/>
      </w:r>
      <w:r>
        <w:t>)</w:t>
      </w:r>
    </w:p>
    <w:p w:rsidR="00CD46CA" w:rsidRDefault="00CD46CA" w:rsidP="00CD46CA">
      <w:r>
        <w:t>O</w:t>
      </w:r>
      <w:r w:rsidRPr="000270F7">
        <w:t>ver the past 10 years, generating units in the region have been using cleaner fuels, particularly natural gas, and have added emission controls. As a result, the region’s average and marginal emission rates for sulfur dioxide, nitrous oxides, and carbon dioxide have continued to decline.</w:t>
      </w:r>
      <w:r w:rsidRPr="004E18C1">
        <w:rPr>
          <w:rStyle w:val="FootnoteReference"/>
          <w:sz w:val="22"/>
        </w:rPr>
        <w:footnoteReference w:id="31"/>
      </w:r>
      <w:r w:rsidRPr="000270F7">
        <w:t xml:space="preserve"> Total emissions for SO</w:t>
      </w:r>
      <w:r w:rsidRPr="000270F7">
        <w:rPr>
          <w:vertAlign w:val="subscript"/>
        </w:rPr>
        <w:t>2</w:t>
      </w:r>
      <w:r w:rsidRPr="000270F7">
        <w:t xml:space="preserve"> and NO</w:t>
      </w:r>
      <w:r w:rsidRPr="000270F7">
        <w:rPr>
          <w:vertAlign w:val="subscript"/>
        </w:rPr>
        <w:t>X</w:t>
      </w:r>
      <w:r w:rsidRPr="000270F7">
        <w:t xml:space="preserve"> also have continued to decrease with time.</w:t>
      </w:r>
      <w:r>
        <w:t xml:space="preserve"> (Section 8)</w:t>
      </w:r>
    </w:p>
    <w:p w:rsidR="00CD46CA" w:rsidRPr="006A7C7C" w:rsidRDefault="00CD46CA" w:rsidP="00CD46CA">
      <w:pPr>
        <w:spacing w:after="120"/>
      </w:pPr>
      <w:r>
        <w:t>S</w:t>
      </w:r>
      <w:r w:rsidRPr="006A7C7C">
        <w:t xml:space="preserve">ome aging generation facilities may retire </w:t>
      </w:r>
      <w:r w:rsidRPr="004809E3">
        <w:t>before 2019 (the last year of this 10-year plan)</w:t>
      </w:r>
      <w:r>
        <w:t xml:space="preserve"> </w:t>
      </w:r>
      <w:r w:rsidRPr="006A7C7C">
        <w:t>because of the impact of stricter environmental regulations</w:t>
      </w:r>
      <w:r>
        <w:t>. However,</w:t>
      </w:r>
      <w:r w:rsidRPr="006A7C7C">
        <w:t xml:space="preserve"> the FCM allows resources with a significant investment in environmental upgrades to qualify as new resources</w:t>
      </w:r>
      <w:r>
        <w:t>, making them eligible for established FCM revenues for up to five years.</w:t>
      </w:r>
      <w:r w:rsidRPr="006A7C7C">
        <w:t xml:space="preserve"> </w:t>
      </w:r>
      <w:r>
        <w:t>Much</w:t>
      </w:r>
      <w:r w:rsidRPr="009C6FF5">
        <w:t xml:space="preserve"> of the 1,6</w:t>
      </w:r>
      <w:r w:rsidR="0083027D">
        <w:t>7</w:t>
      </w:r>
      <w:r w:rsidRPr="009C6FF5">
        <w:t xml:space="preserve">1 MW of new generation resources that cleared </w:t>
      </w:r>
      <w:r w:rsidRPr="00B10801">
        <w:t xml:space="preserve">FCA #3 are </w:t>
      </w:r>
      <w:r w:rsidR="00D4331C" w:rsidRPr="00D4331C">
        <w:t>from enhancements to existing</w:t>
      </w:r>
      <w:r w:rsidRPr="00D63752">
        <w:t xml:space="preserve"> facilities retrofitting to meet environmental regulations.</w:t>
      </w:r>
      <w:r>
        <w:t xml:space="preserve"> (</w:t>
      </w:r>
      <w:r w:rsidRPr="006A7C7C">
        <w:t xml:space="preserve">Sections 4 and </w:t>
      </w:r>
      <w:r>
        <w:t>8</w:t>
      </w:r>
      <w:r w:rsidRPr="006A7C7C">
        <w:t xml:space="preserve">) </w:t>
      </w:r>
    </w:p>
    <w:p w:rsidR="00FC0261" w:rsidRDefault="00CD46CA" w:rsidP="00235A65">
      <w:pPr>
        <w:pStyle w:val="Heading4"/>
      </w:pPr>
      <w:r w:rsidRPr="009F717D">
        <w:t>Renewables, Demand Resources, and the Smart Grid</w:t>
      </w:r>
    </w:p>
    <w:p w:rsidR="00CD46CA" w:rsidRDefault="00CD46CA" w:rsidP="00CD46CA">
      <w:pPr>
        <w:pStyle w:val="Bullet-Solid"/>
        <w:numPr>
          <w:ilvl w:val="0"/>
          <w:numId w:val="0"/>
        </w:numPr>
        <w:spacing w:after="240"/>
      </w:pPr>
      <w:r>
        <w:t xml:space="preserve">Environmental regulations and policies, such as the Regional Greenhouse Gas Initiative (RGGI) and Renewable Portfolio Standards (RPSs), are stimulating </w:t>
      </w:r>
      <w:r w:rsidRPr="00F356F1">
        <w:t xml:space="preserve">the need for </w:t>
      </w:r>
      <w:r>
        <w:t xml:space="preserve">and development of </w:t>
      </w:r>
      <w:r w:rsidRPr="009F717D">
        <w:t>renewable resources and energy efficiency</w:t>
      </w:r>
      <w:r>
        <w:t xml:space="preserve"> in the region</w:t>
      </w:r>
      <w:r w:rsidRPr="00F356F1">
        <w:t xml:space="preserve">. </w:t>
      </w:r>
      <w:r>
        <w:t>Other regional and industry efforts are assisting in the process to integrate renewables, demand resources, and smart grid technologies:</w:t>
      </w:r>
      <w:r w:rsidRPr="004E18C1">
        <w:rPr>
          <w:rStyle w:val="FootnoteReference"/>
          <w:sz w:val="22"/>
        </w:rPr>
        <w:footnoteReference w:id="32"/>
      </w:r>
      <w:r>
        <w:t xml:space="preserve"> </w:t>
      </w:r>
    </w:p>
    <w:p w:rsidR="00CD46CA" w:rsidRDefault="00CD46CA" w:rsidP="00BB34F0">
      <w:pPr>
        <w:pStyle w:val="Bullet-Solid"/>
        <w:numPr>
          <w:ilvl w:val="0"/>
          <w:numId w:val="50"/>
        </w:numPr>
        <w:spacing w:after="240"/>
      </w:pPr>
      <w:r w:rsidRPr="009F717D">
        <w:rPr>
          <w:b/>
        </w:rPr>
        <w:t>Meeting State Targets for Renewables and Energy Efficiency—</w:t>
      </w:r>
      <w:r w:rsidRPr="00B10801">
        <w:t>The New England states have</w:t>
      </w:r>
      <w:r>
        <w:rPr>
          <w:b/>
        </w:rPr>
        <w:t xml:space="preserve"> </w:t>
      </w:r>
      <w:r w:rsidRPr="00F356F1">
        <w:t>targets for the pro</w:t>
      </w:r>
      <w:r>
        <w:t xml:space="preserve">portion </w:t>
      </w:r>
      <w:r w:rsidRPr="00F356F1">
        <w:t xml:space="preserve">of electric energy </w:t>
      </w:r>
      <w:r>
        <w:t xml:space="preserve">to be met </w:t>
      </w:r>
      <w:r w:rsidRPr="009F717D">
        <w:t>by renewable resources</w:t>
      </w:r>
      <w:r>
        <w:t>, such as wind and solar,</w:t>
      </w:r>
      <w:r w:rsidRPr="009F717D">
        <w:t xml:space="preserve"> and energy </w:t>
      </w:r>
      <w:r w:rsidRPr="00B10801">
        <w:t>efficiency. These state</w:t>
      </w:r>
      <w:r>
        <w:t xml:space="preserve"> targets </w:t>
      </w:r>
      <w:r w:rsidRPr="00F356F1">
        <w:t>will</w:t>
      </w:r>
      <w:r w:rsidRPr="00FF1E48">
        <w:t xml:space="preserve"> increase to </w:t>
      </w:r>
      <w:r w:rsidR="00D4331C" w:rsidRPr="00D4331C">
        <w:t>approximately 30% of</w:t>
      </w:r>
      <w:r>
        <w:t xml:space="preserve"> New England’s total projected electric energy use </w:t>
      </w:r>
      <w:r w:rsidRPr="00FF1E48">
        <w:t xml:space="preserve">by </w:t>
      </w:r>
      <w:r w:rsidRPr="00C02062">
        <w:t>2020.</w:t>
      </w:r>
      <w:r>
        <w:t xml:space="preserve"> This </w:t>
      </w:r>
      <w:r w:rsidR="00780E94">
        <w:t xml:space="preserve">goal of </w:t>
      </w:r>
      <w:r w:rsidR="000A4845">
        <w:t>30.4</w:t>
      </w:r>
      <w:r>
        <w:t>% consists of 11% energy-efficiency programs and 1</w:t>
      </w:r>
      <w:r w:rsidR="000A4845">
        <w:t>9.4</w:t>
      </w:r>
      <w:r>
        <w:t xml:space="preserve">% Renewable Portfolio Standards and policies addressing renewable supply and </w:t>
      </w:r>
      <w:r w:rsidR="00441298">
        <w:t>EE</w:t>
      </w:r>
      <w:r>
        <w:t xml:space="preserve"> goals. P</w:t>
      </w:r>
      <w:r w:rsidRPr="002E7A00">
        <w:t>ossible solutions for meeting or exceeding the region’s RPSs</w:t>
      </w:r>
      <w:r>
        <w:t xml:space="preserve"> include </w:t>
      </w:r>
      <w:r w:rsidRPr="009F717D">
        <w:t xml:space="preserve">developing the renewable resources in the ISO Generator </w:t>
      </w:r>
      <w:r w:rsidRPr="00B10801">
        <w:t>Interconnection Queue, importing</w:t>
      </w:r>
      <w:r>
        <w:t xml:space="preserve"> r</w:t>
      </w:r>
      <w:r w:rsidRPr="009F717D">
        <w:t>enew</w:t>
      </w:r>
      <w:r>
        <w:t xml:space="preserve">able resources from </w:t>
      </w:r>
      <w:r w:rsidRPr="00C03FBF">
        <w:t xml:space="preserve">adjacent </w:t>
      </w:r>
      <w:r>
        <w:t>balancing authority</w:t>
      </w:r>
      <w:r w:rsidRPr="00C03FBF">
        <w:t xml:space="preserve"> areas</w:t>
      </w:r>
      <w:r>
        <w:t xml:space="preserve">, </w:t>
      </w:r>
      <w:r w:rsidRPr="009F717D">
        <w:t>building new renewable resources in New England not yet in the queue</w:t>
      </w:r>
      <w:r>
        <w:t xml:space="preserve"> and</w:t>
      </w:r>
      <w:r w:rsidRPr="009F717D">
        <w:t xml:space="preserve"> small “behind</w:t>
      </w:r>
      <w:r w:rsidRPr="002E7A00">
        <w:t>-the-meter” projects</w:t>
      </w:r>
      <w:r>
        <w:t>,</w:t>
      </w:r>
      <w:r w:rsidRPr="002E7A00">
        <w:t xml:space="preserve"> </w:t>
      </w:r>
      <w:r>
        <w:t xml:space="preserve">and using </w:t>
      </w:r>
      <w:r w:rsidRPr="002E7A00">
        <w:t xml:space="preserve">eligible renewable fuels in existing </w:t>
      </w:r>
      <w:r w:rsidRPr="00B10801">
        <w:t>generators.</w:t>
      </w:r>
      <w:r w:rsidRPr="00C72B1C">
        <w:rPr>
          <w:rStyle w:val="FootnoteReference"/>
          <w:sz w:val="22"/>
        </w:rPr>
        <w:footnoteReference w:id="33"/>
      </w:r>
      <w:r w:rsidRPr="00B10801">
        <w:t xml:space="preserve"> If</w:t>
      </w:r>
      <w:r>
        <w:t xml:space="preserve"> renewable resource development is not meeting the RPSs, </w:t>
      </w:r>
      <w:r w:rsidRPr="002E7A00">
        <w:t xml:space="preserve">the </w:t>
      </w:r>
      <w:r w:rsidRPr="004C2FB0">
        <w:t>use of state-established Alternative Compliance Payments (ACPs)</w:t>
      </w:r>
      <w:r>
        <w:t xml:space="preserve"> can serve as a means of addressing </w:t>
      </w:r>
      <w:r w:rsidRPr="00EA1F4E">
        <w:t>the shortfall</w:t>
      </w:r>
      <w:r w:rsidRPr="00F45738">
        <w:t>. (</w:t>
      </w:r>
      <w:r w:rsidR="00832C7A">
        <w:fldChar w:fldCharType="begin"/>
      </w:r>
      <w:r w:rsidR="00663230">
        <w:instrText xml:space="preserve"> REF _Ref262118354 \r \h </w:instrText>
      </w:r>
      <w:r w:rsidR="00832C7A">
        <w:fldChar w:fldCharType="separate"/>
      </w:r>
      <w:r w:rsidR="00E5699E">
        <w:t>Section 8</w:t>
      </w:r>
      <w:r w:rsidR="00832C7A">
        <w:fldChar w:fldCharType="end"/>
      </w:r>
      <w:r w:rsidRPr="00F45738">
        <w:t>)</w:t>
      </w:r>
    </w:p>
    <w:p w:rsidR="001C2792" w:rsidRPr="00E00AF1" w:rsidRDefault="00CD46CA" w:rsidP="00BB34F0">
      <w:pPr>
        <w:numPr>
          <w:ilvl w:val="0"/>
          <w:numId w:val="56"/>
        </w:numPr>
        <w:rPr>
          <w:color w:val="000000" w:themeColor="text1"/>
        </w:rPr>
      </w:pPr>
      <w:r w:rsidRPr="009F717D">
        <w:rPr>
          <w:b/>
        </w:rPr>
        <w:t>Integrating Renewable Resources—</w:t>
      </w:r>
      <w:r>
        <w:t xml:space="preserve">The ISO is conducting a major </w:t>
      </w:r>
      <w:r w:rsidRPr="009D336B">
        <w:t xml:space="preserve">study of integrating wind resources into the New England system. This study </w:t>
      </w:r>
      <w:r>
        <w:t xml:space="preserve">is </w:t>
      </w:r>
      <w:r w:rsidRPr="009D336B">
        <w:t>analyz</w:t>
      </w:r>
      <w:r>
        <w:t>ing</w:t>
      </w:r>
      <w:r w:rsidRPr="009D336B">
        <w:t xml:space="preserve"> various planning, operating, and market aspects of wind integration</w:t>
      </w:r>
      <w:r>
        <w:t xml:space="preserve">; simulations that add wind </w:t>
      </w:r>
      <w:r w:rsidRPr="00B50551">
        <w:t>resources up to 12,000 MW</w:t>
      </w:r>
      <w:r>
        <w:t xml:space="preserve">; </w:t>
      </w:r>
      <w:r w:rsidRPr="009A1273">
        <w:t xml:space="preserve">and the </w:t>
      </w:r>
      <w:r>
        <w:t xml:space="preserve">conceptual </w:t>
      </w:r>
      <w:r w:rsidRPr="009A1273">
        <w:t>development of a transmission system that can integrate large amounts of wind generation resources. The</w:t>
      </w:r>
      <w:r w:rsidRPr="00AD292E">
        <w:t xml:space="preserve"> study</w:t>
      </w:r>
      <w:r>
        <w:t>, scheduled to be completed in 2010,</w:t>
      </w:r>
      <w:r w:rsidRPr="00AD292E">
        <w:t xml:space="preserve"> </w:t>
      </w:r>
      <w:r w:rsidR="00967377">
        <w:t xml:space="preserve">is </w:t>
      </w:r>
      <w:r w:rsidRPr="00AD292E">
        <w:t>develop</w:t>
      </w:r>
      <w:r w:rsidR="00967377">
        <w:t>ing</w:t>
      </w:r>
      <w:r w:rsidRPr="00F356F1">
        <w:t xml:space="preserve"> </w:t>
      </w:r>
      <w:r w:rsidR="00F06A7C" w:rsidRPr="00E00AF1">
        <w:rPr>
          <w:color w:val="000000" w:themeColor="text1"/>
        </w:rPr>
        <w:t>m</w:t>
      </w:r>
      <w:r w:rsidR="00D4331C" w:rsidRPr="00E00AF1">
        <w:rPr>
          <w:color w:val="000000" w:themeColor="text1"/>
        </w:rPr>
        <w:t>odel</w:t>
      </w:r>
      <w:r w:rsidR="00967377" w:rsidRPr="00E00AF1">
        <w:rPr>
          <w:color w:val="000000" w:themeColor="text1"/>
        </w:rPr>
        <w:t xml:space="preserve">s of </w:t>
      </w:r>
      <w:r w:rsidR="00D4331C" w:rsidRPr="00E00AF1">
        <w:rPr>
          <w:color w:val="000000" w:themeColor="text1"/>
        </w:rPr>
        <w:t>generation output f</w:t>
      </w:r>
      <w:r w:rsidR="00967377" w:rsidRPr="00E00AF1">
        <w:rPr>
          <w:color w:val="000000" w:themeColor="text1"/>
        </w:rPr>
        <w:t xml:space="preserve">or </w:t>
      </w:r>
      <w:r w:rsidR="00D4331C" w:rsidRPr="00E00AF1">
        <w:rPr>
          <w:color w:val="000000" w:themeColor="text1"/>
        </w:rPr>
        <w:t xml:space="preserve">a hypothesized fleet of wind plants </w:t>
      </w:r>
      <w:r w:rsidR="00967377" w:rsidRPr="00E00AF1">
        <w:rPr>
          <w:color w:val="000000" w:themeColor="text1"/>
        </w:rPr>
        <w:t xml:space="preserve">suitable </w:t>
      </w:r>
      <w:r w:rsidR="00D4331C" w:rsidRPr="00E00AF1">
        <w:rPr>
          <w:color w:val="000000" w:themeColor="text1"/>
        </w:rPr>
        <w:t>for ISO studies</w:t>
      </w:r>
      <w:r w:rsidR="002521BC" w:rsidRPr="00E00AF1">
        <w:rPr>
          <w:color w:val="000000" w:themeColor="text1"/>
        </w:rPr>
        <w:t xml:space="preserve">. </w:t>
      </w:r>
      <w:r w:rsidRPr="00E00AF1">
        <w:rPr>
          <w:color w:val="000000" w:themeColor="text1"/>
        </w:rPr>
        <w:t>(</w:t>
      </w:r>
      <w:fldSimple w:instr=" REF _Ref266120299 \r \h  \* MERGEFORMAT ">
        <w:r w:rsidR="00E5699E" w:rsidRPr="00E5699E">
          <w:rPr>
            <w:color w:val="000000" w:themeColor="text1"/>
          </w:rPr>
          <w:t>Section 9</w:t>
        </w:r>
      </w:fldSimple>
      <w:r w:rsidRPr="00E00AF1">
        <w:rPr>
          <w:color w:val="000000" w:themeColor="text1"/>
        </w:rPr>
        <w:t>)</w:t>
      </w:r>
    </w:p>
    <w:p w:rsidR="00CD46CA" w:rsidRPr="006B215D" w:rsidRDefault="00CD46CA" w:rsidP="00BB34F0">
      <w:pPr>
        <w:numPr>
          <w:ilvl w:val="0"/>
          <w:numId w:val="48"/>
        </w:numPr>
        <w:spacing w:after="120"/>
        <w:ind w:left="720"/>
      </w:pPr>
      <w:r>
        <w:rPr>
          <w:b/>
        </w:rPr>
        <w:t xml:space="preserve">Integrating </w:t>
      </w:r>
      <w:r w:rsidRPr="00964DD6">
        <w:rPr>
          <w:b/>
        </w:rPr>
        <w:t>Demand</w:t>
      </w:r>
      <w:r>
        <w:rPr>
          <w:b/>
        </w:rPr>
        <w:t xml:space="preserve"> </w:t>
      </w:r>
      <w:r w:rsidRPr="00964DD6">
        <w:rPr>
          <w:b/>
        </w:rPr>
        <w:t>Resource</w:t>
      </w:r>
      <w:r>
        <w:rPr>
          <w:b/>
        </w:rPr>
        <w:t>s</w:t>
      </w:r>
      <w:r w:rsidRPr="00964DD6">
        <w:rPr>
          <w:b/>
        </w:rPr>
        <w:t>—</w:t>
      </w:r>
      <w:r>
        <w:t>T</w:t>
      </w:r>
      <w:r w:rsidRPr="00F356F1">
        <w:t xml:space="preserve">he operational </w:t>
      </w:r>
      <w:r w:rsidRPr="00750049">
        <w:t xml:space="preserve">and market integration </w:t>
      </w:r>
      <w:r w:rsidRPr="009F717D">
        <w:t>of active demand resources</w:t>
      </w:r>
      <w:r>
        <w:t>,</w:t>
      </w:r>
      <w:r w:rsidRPr="00F356F1">
        <w:t xml:space="preserve"> </w:t>
      </w:r>
      <w:r>
        <w:t>from approximately</w:t>
      </w:r>
      <w:r w:rsidRPr="002D166D">
        <w:t xml:space="preserve"> 1,300</w:t>
      </w:r>
      <w:r>
        <w:t> </w:t>
      </w:r>
      <w:r w:rsidRPr="002D166D">
        <w:t xml:space="preserve">MW in 2010 to over 1,800 MW by </w:t>
      </w:r>
      <w:r w:rsidRPr="009F717D">
        <w:t>2012, requires careful planning and coordination</w:t>
      </w:r>
      <w:r w:rsidRPr="006F3210">
        <w:t>.</w:t>
      </w:r>
      <w:r w:rsidRPr="00B10801">
        <w:rPr>
          <w:rStyle w:val="FootnoteReference"/>
          <w:sz w:val="22"/>
        </w:rPr>
        <w:footnoteReference w:id="34"/>
      </w:r>
      <w:r w:rsidRPr="00B10801">
        <w:t xml:space="preserve"> </w:t>
      </w:r>
      <w:r w:rsidRPr="00750049">
        <w:t xml:space="preserve">Accordingly, </w:t>
      </w:r>
      <w:r>
        <w:t xml:space="preserve">control room applications and ISO operating procedures </w:t>
      </w:r>
      <w:r w:rsidR="00320F99">
        <w:t xml:space="preserve">have </w:t>
      </w:r>
      <w:r>
        <w:t>be</w:t>
      </w:r>
      <w:r w:rsidR="00320F99">
        <w:t xml:space="preserve">en </w:t>
      </w:r>
      <w:r>
        <w:t xml:space="preserve">modified, </w:t>
      </w:r>
      <w:r w:rsidR="00320F99">
        <w:t xml:space="preserve">and a </w:t>
      </w:r>
      <w:r w:rsidRPr="00F356F1">
        <w:rPr>
          <w:rFonts w:eastAsia="Times New Roman"/>
          <w:szCs w:val="20"/>
        </w:rPr>
        <w:t>new communications infrastructure</w:t>
      </w:r>
      <w:r>
        <w:rPr>
          <w:rFonts w:eastAsia="Times New Roman"/>
          <w:szCs w:val="20"/>
        </w:rPr>
        <w:t xml:space="preserve"> </w:t>
      </w:r>
      <w:r w:rsidR="00EC0C6B">
        <w:rPr>
          <w:rFonts w:eastAsia="Times New Roman"/>
          <w:szCs w:val="20"/>
        </w:rPr>
        <w:t xml:space="preserve">has been </w:t>
      </w:r>
      <w:r w:rsidR="00DD790E">
        <w:rPr>
          <w:rFonts w:eastAsia="Times New Roman"/>
          <w:szCs w:val="20"/>
        </w:rPr>
        <w:t>implemented.</w:t>
      </w:r>
      <w:r w:rsidR="006B215D">
        <w:rPr>
          <w:rFonts w:eastAsia="Times New Roman"/>
          <w:szCs w:val="20"/>
        </w:rPr>
        <w:t xml:space="preserve"> </w:t>
      </w:r>
      <w:r w:rsidR="00DD790E">
        <w:t>(</w:t>
      </w:r>
      <w:r w:rsidR="00832C7A">
        <w:fldChar w:fldCharType="begin"/>
      </w:r>
      <w:r w:rsidR="00663230">
        <w:instrText xml:space="preserve"> REF _Ref266120299 \r \h </w:instrText>
      </w:r>
      <w:r w:rsidR="00832C7A">
        <w:fldChar w:fldCharType="separate"/>
      </w:r>
      <w:r w:rsidR="00E5699E">
        <w:t>Section 9</w:t>
      </w:r>
      <w:r w:rsidR="00832C7A">
        <w:fldChar w:fldCharType="end"/>
      </w:r>
      <w:r w:rsidR="00DD790E">
        <w:t>)</w:t>
      </w:r>
    </w:p>
    <w:p w:rsidR="00CD46CA" w:rsidRDefault="00CD46CA" w:rsidP="00BB34F0">
      <w:pPr>
        <w:numPr>
          <w:ilvl w:val="0"/>
          <w:numId w:val="47"/>
        </w:numPr>
        <w:spacing w:after="120"/>
        <w:ind w:left="720"/>
      </w:pPr>
      <w:r>
        <w:rPr>
          <w:b/>
        </w:rPr>
        <w:t xml:space="preserve">Developing New England’s </w:t>
      </w:r>
      <w:r w:rsidRPr="00407B8F">
        <w:rPr>
          <w:b/>
        </w:rPr>
        <w:t>Smart Grid</w:t>
      </w:r>
      <w:r w:rsidRPr="00BA583A">
        <w:rPr>
          <w:b/>
        </w:rPr>
        <w:t>—</w:t>
      </w:r>
      <w:r w:rsidRPr="009F717D">
        <w:t>Smart grid technologies</w:t>
      </w:r>
      <w:r w:rsidRPr="00750049">
        <w:t xml:space="preserve"> represent the next stage in the evolution of the power system to improve data acquisition, analysis, control, and efficiency of the electric power grid.</w:t>
      </w:r>
      <w:r>
        <w:t xml:space="preserve"> In 2010, the DOE approved funding for the ISO and the New England transmission owners to add over 30 new phasor measurement units (PMUs), which will be used to improve the monitoring and operation of the system. The ISO and stakeholders also will </w:t>
      </w:r>
      <w:r w:rsidRPr="009F717D">
        <w:t>support research and development efforts and</w:t>
      </w:r>
      <w:r>
        <w:t xml:space="preserve"> the establishment of industry standards for integrating smart grid </w:t>
      </w:r>
      <w:r w:rsidRPr="009F717D">
        <w:t>technologies.</w:t>
      </w:r>
      <w:r w:rsidRPr="00407B8F">
        <w:t xml:space="preserve"> </w:t>
      </w:r>
      <w:r>
        <w:t>(</w:t>
      </w:r>
      <w:r w:rsidR="00832C7A">
        <w:fldChar w:fldCharType="begin"/>
      </w:r>
      <w:r w:rsidR="00663230">
        <w:instrText xml:space="preserve"> REF _Ref266120299 \r \h </w:instrText>
      </w:r>
      <w:r w:rsidR="00832C7A">
        <w:fldChar w:fldCharType="separate"/>
      </w:r>
      <w:r w:rsidR="00E5699E">
        <w:t>Section 9</w:t>
      </w:r>
      <w:r w:rsidR="00832C7A">
        <w:fldChar w:fldCharType="end"/>
      </w:r>
      <w:r>
        <w:t>)</w:t>
      </w:r>
    </w:p>
    <w:p w:rsidR="00FC0261" w:rsidRDefault="00CD46CA" w:rsidP="00235A65">
      <w:pPr>
        <w:pStyle w:val="Heading4"/>
      </w:pPr>
      <w:r w:rsidRPr="00BB0DF0">
        <w:t>Economic Studies of Resource Integration</w:t>
      </w:r>
    </w:p>
    <w:p w:rsidR="00CD46CA" w:rsidRPr="00005BAC" w:rsidRDefault="00CD46CA" w:rsidP="00CD46CA">
      <w:pPr>
        <w:tabs>
          <w:tab w:val="left" w:pos="720"/>
        </w:tabs>
      </w:pPr>
      <w:r>
        <w:t xml:space="preserve">One of the </w:t>
      </w:r>
      <w:r w:rsidRPr="004B5819">
        <w:t xml:space="preserve">major economic </w:t>
      </w:r>
      <w:r>
        <w:t>studies of the power system the ISO conducted in 2009 analyzed</w:t>
      </w:r>
      <w:r w:rsidRPr="004B5819">
        <w:t xml:space="preserve"> the development and delivery of large amounts of renewable resources within New England</w:t>
      </w:r>
      <w:r>
        <w:t>.</w:t>
      </w:r>
      <w:r w:rsidR="000037B0" w:rsidRPr="00AE596A">
        <w:rPr>
          <w:rStyle w:val="FootnoteReference"/>
          <w:sz w:val="22"/>
        </w:rPr>
        <w:footnoteReference w:id="35"/>
      </w:r>
      <w:r w:rsidRPr="00AE596A">
        <w:t xml:space="preserve"> </w:t>
      </w:r>
      <w:r>
        <w:t>This study was</w:t>
      </w:r>
      <w:r w:rsidRPr="004B5819">
        <w:t xml:space="preserve"> </w:t>
      </w:r>
      <w:r>
        <w:t xml:space="preserve">conducted at the request of </w:t>
      </w:r>
      <w:r w:rsidRPr="004B5819">
        <w:t>the New England governors</w:t>
      </w:r>
      <w:r w:rsidR="00953AD9">
        <w:t>, made through the New England States Committee on Electricity (NESCOE)</w:t>
      </w:r>
      <w:r w:rsidRPr="004B5819">
        <w:t xml:space="preserve">, who used </w:t>
      </w:r>
      <w:r>
        <w:t xml:space="preserve">the study </w:t>
      </w:r>
      <w:r w:rsidRPr="004B5819">
        <w:t>to develop a blueprint for</w:t>
      </w:r>
      <w:r w:rsidRPr="00750049">
        <w:rPr>
          <w:rFonts w:cs="Times New Roman"/>
        </w:rPr>
        <w:t xml:space="preserve"> integrating large-scale renewable energy resources into the region’s electric power grid</w:t>
      </w:r>
      <w:r w:rsidRPr="00A22917">
        <w:rPr>
          <w:rFonts w:cs="Times New Roman"/>
        </w:rPr>
        <w:t>.</w:t>
      </w:r>
      <w:r w:rsidR="009B4D69" w:rsidRPr="00604857">
        <w:rPr>
          <w:rStyle w:val="FootnoteReference"/>
          <w:sz w:val="22"/>
        </w:rPr>
        <w:footnoteReference w:id="36"/>
      </w:r>
      <w:r w:rsidRPr="00604857">
        <w:t xml:space="preserve"> </w:t>
      </w:r>
      <w:r w:rsidRPr="004B5819">
        <w:t>The</w:t>
      </w:r>
      <w:r>
        <w:t xml:space="preserve"> ISO study demonstrated that </w:t>
      </w:r>
      <w:r w:rsidRPr="004B5819">
        <w:t xml:space="preserve">the region has </w:t>
      </w:r>
      <w:r w:rsidR="00D4331C" w:rsidRPr="00D4331C">
        <w:t>abundant sites for developing resources well</w:t>
      </w:r>
      <w:r w:rsidR="004B3C72">
        <w:t xml:space="preserve"> in excess of </w:t>
      </w:r>
      <w:r w:rsidRPr="00005BAC">
        <w:t xml:space="preserve">its </w:t>
      </w:r>
      <w:r w:rsidRPr="00AA7627">
        <w:t xml:space="preserve">renewable targets, but </w:t>
      </w:r>
      <w:r w:rsidR="00652C97">
        <w:t xml:space="preserve">an appropriate </w:t>
      </w:r>
      <w:r w:rsidRPr="00AA7627">
        <w:t>transmission infrastructure need</w:t>
      </w:r>
      <w:r>
        <w:t>s</w:t>
      </w:r>
      <w:r w:rsidRPr="00AA7627">
        <w:t xml:space="preserve"> to be built to interconnect </w:t>
      </w:r>
      <w:r>
        <w:t>such renewables</w:t>
      </w:r>
      <w:r w:rsidRPr="00AA7627">
        <w:t xml:space="preserve">. </w:t>
      </w:r>
      <w:r w:rsidR="004017FD">
        <w:t xml:space="preserve">The study also showed that </w:t>
      </w:r>
      <w:r>
        <w:t xml:space="preserve">the aggressive pursuit of New England and nearby Canadian resources </w:t>
      </w:r>
      <w:r w:rsidR="00652C97">
        <w:t>c</w:t>
      </w:r>
      <w:r>
        <w:t xml:space="preserve">ould make this region a net </w:t>
      </w:r>
      <w:r w:rsidRPr="00005BAC">
        <w:t>provider of low- or non-carbon-emitting resources to the Eastern Interconnection.</w:t>
      </w:r>
      <w:r w:rsidR="006D50BE">
        <w:br/>
      </w:r>
      <w:r w:rsidRPr="00005BAC">
        <w:t>(</w:t>
      </w:r>
      <w:r w:rsidR="00832C7A">
        <w:fldChar w:fldCharType="begin"/>
      </w:r>
      <w:r w:rsidR="00FD21BD">
        <w:instrText xml:space="preserve"> REF _Ref234901949 \r \h </w:instrText>
      </w:r>
      <w:r w:rsidR="00832C7A">
        <w:fldChar w:fldCharType="separate"/>
      </w:r>
      <w:r w:rsidR="00E5699E">
        <w:t>Section 10</w:t>
      </w:r>
      <w:r w:rsidR="00832C7A">
        <w:fldChar w:fldCharType="end"/>
      </w:r>
      <w:r w:rsidRPr="00005BAC">
        <w:t>)</w:t>
      </w:r>
    </w:p>
    <w:p w:rsidR="00CD46CA" w:rsidRDefault="004017FD" w:rsidP="00CD46CA">
      <w:r>
        <w:t xml:space="preserve">In 2010, </w:t>
      </w:r>
      <w:r w:rsidR="00CD46CA" w:rsidRPr="006A7C7C">
        <w:t xml:space="preserve">NESCOE </w:t>
      </w:r>
      <w:r w:rsidR="00D4331C" w:rsidRPr="00D4331C">
        <w:t>requested the ISO to conduct a</w:t>
      </w:r>
      <w:r w:rsidR="00CD46CA" w:rsidRPr="006A7C7C">
        <w:t xml:space="preserve"> follow-up study of replacing </w:t>
      </w:r>
      <w:r w:rsidR="00812F0E">
        <w:t>aging</w:t>
      </w:r>
      <w:r w:rsidR="00CD46CA" w:rsidRPr="006A7C7C">
        <w:t xml:space="preserve"> coal-</w:t>
      </w:r>
      <w:r w:rsidR="00CD46CA">
        <w:t xml:space="preserve"> </w:t>
      </w:r>
      <w:r w:rsidR="00CD46CA" w:rsidRPr="006A7C7C">
        <w:t>and oil-fired generating units with efficient</w:t>
      </w:r>
      <w:r w:rsidR="00812F0E">
        <w:t>,</w:t>
      </w:r>
      <w:r w:rsidR="00CD46CA" w:rsidRPr="006A7C7C">
        <w:t xml:space="preserve"> low-pollution-emitting</w:t>
      </w:r>
      <w:r w:rsidR="00812F0E">
        <w:t>,</w:t>
      </w:r>
      <w:r w:rsidR="00CD46CA" w:rsidRPr="006A7C7C">
        <w:t xml:space="preserve"> natural gas combined-cycle units</w:t>
      </w:r>
      <w:r w:rsidR="009E4E99">
        <w:t>;</w:t>
      </w:r>
      <w:r w:rsidR="00CD46CA" w:rsidRPr="006A7C7C">
        <w:t xml:space="preserve"> wind resources within New England</w:t>
      </w:r>
      <w:r w:rsidR="009E4E99">
        <w:t>;</w:t>
      </w:r>
      <w:r w:rsidR="00CD46CA" w:rsidRPr="006A7C7C">
        <w:t xml:space="preserve"> and renewable imports from Canada.</w:t>
      </w:r>
      <w:r w:rsidR="00CD46CA" w:rsidRPr="0078426C">
        <w:t xml:space="preserve"> This</w:t>
      </w:r>
      <w:r w:rsidR="00CD46CA">
        <w:t xml:space="preserve"> study will further inform government officials as they establish policies that affect the future planning and development of the system.</w:t>
      </w:r>
      <w:r w:rsidR="000567B9">
        <w:br/>
      </w:r>
      <w:r w:rsidR="00CD46CA" w:rsidRPr="0094284A">
        <w:t>(</w:t>
      </w:r>
      <w:r w:rsidR="00832C7A">
        <w:fldChar w:fldCharType="begin"/>
      </w:r>
      <w:r w:rsidR="009E4E99">
        <w:instrText xml:space="preserve"> REF _Ref234901949 \r \h </w:instrText>
      </w:r>
      <w:r w:rsidR="00832C7A">
        <w:fldChar w:fldCharType="separate"/>
      </w:r>
      <w:r w:rsidR="00E5699E">
        <w:t>Section 10</w:t>
      </w:r>
      <w:r w:rsidR="00832C7A">
        <w:fldChar w:fldCharType="end"/>
      </w:r>
      <w:r w:rsidR="00CD46CA" w:rsidRPr="0094284A">
        <w:t>)</w:t>
      </w:r>
    </w:p>
    <w:p w:rsidR="00B462A6" w:rsidRDefault="00CD46CA">
      <w:pPr>
        <w:pStyle w:val="Heading3"/>
      </w:pPr>
      <w:bookmarkStart w:id="21" w:name="_Toc267069128"/>
      <w:bookmarkStart w:id="22" w:name="_Toc271632201"/>
      <w:r>
        <w:t xml:space="preserve">Supporting </w:t>
      </w:r>
      <w:r w:rsidRPr="00E607B6">
        <w:t>State</w:t>
      </w:r>
      <w:r w:rsidRPr="00750049">
        <w:t xml:space="preserve">, </w:t>
      </w:r>
      <w:r>
        <w:t xml:space="preserve">Regional, </w:t>
      </w:r>
      <w:r w:rsidRPr="00750049">
        <w:t>and Federal Initiatives that Affect System Planning</w:t>
      </w:r>
      <w:bookmarkEnd w:id="21"/>
      <w:bookmarkEnd w:id="22"/>
      <w:r w:rsidRPr="00750049">
        <w:t xml:space="preserve"> </w:t>
      </w:r>
    </w:p>
    <w:p w:rsidR="00CD46CA" w:rsidRDefault="00D4331C" w:rsidP="00CD46CA">
      <w:pPr>
        <w:rPr>
          <w:color w:val="000000"/>
        </w:rPr>
      </w:pPr>
      <w:r w:rsidRPr="00D4331C">
        <w:t>The ISO continuously works with a wide variety of state policymakers and other regional stakeholders to upgrade its planning process. Regional</w:t>
      </w:r>
      <w:r w:rsidR="00CD46CA">
        <w:t xml:space="preserve"> initiatives </w:t>
      </w:r>
      <w:r w:rsidR="00CD46CA" w:rsidRPr="00B10801">
        <w:t>have improved the planning process</w:t>
      </w:r>
      <w:r w:rsidR="00232CD7">
        <w:t xml:space="preserve">, such as </w:t>
      </w:r>
      <w:r w:rsidRPr="00D4331C">
        <w:t>the transparency of transmission cost estimates</w:t>
      </w:r>
      <w:r w:rsidR="00232CD7">
        <w:t xml:space="preserve"> and the provision of critical load levels in Needs Assessments. </w:t>
      </w:r>
      <w:r w:rsidR="00232CD7" w:rsidRPr="00232CD7">
        <w:t>The quality and extent of interregional analyses with neighboring areas has also been evident</w:t>
      </w:r>
      <w:r w:rsidR="00232CD7">
        <w:t>,</w:t>
      </w:r>
      <w:r w:rsidR="00232CD7" w:rsidRPr="00232CD7">
        <w:t xml:space="preserve"> as shown by the issuance of the </w:t>
      </w:r>
      <w:r w:rsidRPr="00056C3D">
        <w:t>Northeast Coordinated System Plan</w:t>
      </w:r>
      <w:r w:rsidR="00232CD7" w:rsidRPr="00232CD7">
        <w:t xml:space="preserve"> and the recently formed </w:t>
      </w:r>
      <w:r w:rsidRPr="00D4331C">
        <w:t xml:space="preserve">EIPC. One </w:t>
      </w:r>
      <w:r w:rsidR="00232CD7">
        <w:t xml:space="preserve">recently begun </w:t>
      </w:r>
      <w:r w:rsidRPr="00D4331C">
        <w:t>initiative will assess th</w:t>
      </w:r>
      <w:r w:rsidR="00CD46CA" w:rsidRPr="002D166D">
        <w:t xml:space="preserve">e </w:t>
      </w:r>
      <w:r w:rsidR="00CD46CA">
        <w:t xml:space="preserve">impacts </w:t>
      </w:r>
      <w:r w:rsidR="00CD46CA" w:rsidRPr="002D166D">
        <w:t>of</w:t>
      </w:r>
      <w:r w:rsidR="00CD46CA">
        <w:t xml:space="preserve"> </w:t>
      </w:r>
      <w:r w:rsidR="00232CD7">
        <w:t xml:space="preserve">FCM demand resources and </w:t>
      </w:r>
      <w:r w:rsidR="00CD46CA">
        <w:t xml:space="preserve">state </w:t>
      </w:r>
      <w:r w:rsidR="003D08E8">
        <w:t>EE</w:t>
      </w:r>
      <w:r w:rsidR="00CD46CA">
        <w:t xml:space="preserve"> programs on the </w:t>
      </w:r>
      <w:r w:rsidR="0027700F">
        <w:t xml:space="preserve">load forecast, the </w:t>
      </w:r>
      <w:r w:rsidR="00CD46CA">
        <w:t xml:space="preserve">regional planning </w:t>
      </w:r>
      <w:r w:rsidR="00232CD7">
        <w:t xml:space="preserve">studies and </w:t>
      </w:r>
      <w:r w:rsidR="00CD46CA">
        <w:t>process</w:t>
      </w:r>
      <w:r w:rsidR="00232CD7">
        <w:t>es</w:t>
      </w:r>
      <w:r w:rsidR="0027700F">
        <w:t>,</w:t>
      </w:r>
      <w:r w:rsidR="00CD46CA">
        <w:t xml:space="preserve"> and market systems</w:t>
      </w:r>
      <w:r w:rsidR="0027700F">
        <w:t xml:space="preserve">. </w:t>
      </w:r>
      <w:r w:rsidR="00232CD7" w:rsidRPr="00232CD7">
        <w:t xml:space="preserve">Stakeholders </w:t>
      </w:r>
      <w:r w:rsidR="00232CD7">
        <w:t xml:space="preserve">also </w:t>
      </w:r>
      <w:r w:rsidR="00232CD7" w:rsidRPr="00232CD7">
        <w:t xml:space="preserve">have requested additional information on </w:t>
      </w:r>
      <w:r w:rsidR="00232CD7" w:rsidRPr="00C24CD4">
        <w:t xml:space="preserve">the </w:t>
      </w:r>
      <w:r w:rsidR="00F46CEB" w:rsidRPr="00C24CD4">
        <w:t xml:space="preserve">factors </w:t>
      </w:r>
      <w:r w:rsidR="001A0072" w:rsidRPr="00C24CD4">
        <w:t>affecting</w:t>
      </w:r>
      <w:r w:rsidR="00232CD7" w:rsidRPr="00C24CD4">
        <w:t xml:space="preserve"> the</w:t>
      </w:r>
      <w:r w:rsidR="00232CD7" w:rsidRPr="00232CD7">
        <w:t xml:space="preserve"> degradation of the systemwide load factor and whether actions should and can be taken to improve it. </w:t>
      </w:r>
      <w:r w:rsidR="0027700F">
        <w:t xml:space="preserve">Another </w:t>
      </w:r>
      <w:r w:rsidR="001B24B7">
        <w:t xml:space="preserve">new </w:t>
      </w:r>
      <w:r w:rsidR="0027700F">
        <w:t xml:space="preserve">initiative will </w:t>
      </w:r>
      <w:r w:rsidR="00CD46CA" w:rsidRPr="002D166D">
        <w:t>provid</w:t>
      </w:r>
      <w:r w:rsidR="00CD46CA">
        <w:t xml:space="preserve">e additional information on the ability of nontransmission alternatives </w:t>
      </w:r>
      <w:r w:rsidR="00927451">
        <w:t xml:space="preserve">(NTAs) </w:t>
      </w:r>
      <w:r w:rsidR="00CD46CA">
        <w:t xml:space="preserve">to meet system needs. </w:t>
      </w:r>
      <w:r w:rsidR="001B24B7" w:rsidRPr="00232CD7">
        <w:t xml:space="preserve">Stakeholders have also asked </w:t>
      </w:r>
      <w:r w:rsidR="001B24B7">
        <w:t xml:space="preserve">the ISO to </w:t>
      </w:r>
      <w:r w:rsidR="001B24B7" w:rsidRPr="00232CD7">
        <w:t xml:space="preserve">consider the retirement of </w:t>
      </w:r>
      <w:r w:rsidR="001A0072">
        <w:t>aging</w:t>
      </w:r>
      <w:r w:rsidR="001B24B7" w:rsidRPr="00232CD7">
        <w:t xml:space="preserve">, environmentally challenged generating units and conduct transmission planning analyses for some of these scenarios. Plans call for </w:t>
      </w:r>
      <w:r w:rsidR="001B24B7">
        <w:t>d</w:t>
      </w:r>
      <w:r w:rsidR="001B24B7" w:rsidRPr="00232CD7">
        <w:t>iscussin</w:t>
      </w:r>
      <w:r w:rsidR="001B24B7">
        <w:t xml:space="preserve">g </w:t>
      </w:r>
      <w:r w:rsidR="001B24B7" w:rsidRPr="00232CD7">
        <w:t xml:space="preserve">these issues with the PAC beginning </w:t>
      </w:r>
      <w:r w:rsidR="001B24B7">
        <w:t>in the fourth q</w:t>
      </w:r>
      <w:r w:rsidR="001B24B7" w:rsidRPr="00232CD7">
        <w:t xml:space="preserve">uarter </w:t>
      </w:r>
      <w:r w:rsidR="001B24B7">
        <w:t xml:space="preserve">of </w:t>
      </w:r>
      <w:r w:rsidR="001B24B7" w:rsidRPr="00232CD7">
        <w:t>2010 and providing an update on their status in RSP11.</w:t>
      </w:r>
      <w:r w:rsidR="001B24B7">
        <w:rPr>
          <w:color w:val="000000"/>
        </w:rPr>
        <w:t xml:space="preserve"> </w:t>
      </w:r>
      <w:r w:rsidR="00CD46CA">
        <w:rPr>
          <w:color w:val="000000"/>
        </w:rPr>
        <w:t>(</w:t>
      </w:r>
      <w:r w:rsidR="00832C7A">
        <w:rPr>
          <w:color w:val="000000"/>
        </w:rPr>
        <w:fldChar w:fldCharType="begin"/>
      </w:r>
      <w:r w:rsidR="00663230">
        <w:rPr>
          <w:color w:val="000000"/>
        </w:rPr>
        <w:instrText xml:space="preserve"> REF _Ref262118436 \r \h </w:instrText>
      </w:r>
      <w:r w:rsidR="00832C7A">
        <w:rPr>
          <w:color w:val="000000"/>
        </w:rPr>
      </w:r>
      <w:r w:rsidR="00832C7A">
        <w:rPr>
          <w:color w:val="000000"/>
        </w:rPr>
        <w:fldChar w:fldCharType="separate"/>
      </w:r>
      <w:r w:rsidR="00E5699E">
        <w:rPr>
          <w:color w:val="000000"/>
        </w:rPr>
        <w:t>Section 12</w:t>
      </w:r>
      <w:r w:rsidR="00832C7A">
        <w:rPr>
          <w:color w:val="000000"/>
        </w:rPr>
        <w:fldChar w:fldCharType="end"/>
      </w:r>
      <w:r w:rsidR="00CD46CA">
        <w:rPr>
          <w:color w:val="000000"/>
        </w:rPr>
        <w:t>)</w:t>
      </w:r>
    </w:p>
    <w:p w:rsidR="008E521B" w:rsidRDefault="00CD46CA" w:rsidP="00CD46CA">
      <w:pPr>
        <w:pStyle w:val="Bullet-Solid"/>
        <w:numPr>
          <w:ilvl w:val="0"/>
          <w:numId w:val="0"/>
        </w:numPr>
      </w:pPr>
      <w:r>
        <w:t xml:space="preserve">Active involvement and participation by all stakeholders, including public officials, state agencies, </w:t>
      </w:r>
      <w:r w:rsidR="00F16E88">
        <w:t xml:space="preserve">NESCOE, </w:t>
      </w:r>
      <w:r>
        <w:t>market participants, and other PAC members, are key elements of an open, transparent, and successful planning process</w:t>
      </w:r>
      <w:r w:rsidR="00D4331C" w:rsidRPr="00D4331C">
        <w:t>. The</w:t>
      </w:r>
      <w:r>
        <w:t xml:space="preserve"> ISO has continued to work with other representatives of the New England states, primarily through the PAC but also through designated representative organizations, such as the New England Conference of Public Utilities Commissioners </w:t>
      </w:r>
      <w:r w:rsidRPr="003D2DD9">
        <w:t>(NECPUC)</w:t>
      </w:r>
      <w:r>
        <w:t xml:space="preserve">, the New England Governors’ Conference (NEGC), and the </w:t>
      </w:r>
      <w:r w:rsidRPr="009244EE">
        <w:t xml:space="preserve">Consumer Liaison </w:t>
      </w:r>
      <w:r w:rsidRPr="006408BE">
        <w:t>Group</w:t>
      </w:r>
      <w:r>
        <w:t xml:space="preserve"> (CLG)</w:t>
      </w:r>
      <w:r w:rsidRPr="006408BE">
        <w:t>. As needed, the ISO will work with the</w:t>
      </w:r>
      <w:r>
        <w:t>se</w:t>
      </w:r>
      <w:r w:rsidRPr="006408BE">
        <w:t xml:space="preserve"> groups, as well as NEPOOL members and other interested parties</w:t>
      </w:r>
      <w:r w:rsidR="00314FBA">
        <w:t>,</w:t>
      </w:r>
      <w:r w:rsidRPr="006408BE">
        <w:t xml:space="preserve"> to support regional and federal policy initiatives. </w:t>
      </w:r>
      <w:r w:rsidR="00EF6A64">
        <w:t xml:space="preserve">One of these initiatives is compliance with an </w:t>
      </w:r>
      <w:r w:rsidR="00D4331C" w:rsidRPr="00D4331C">
        <w:t>upcoming FERC</w:t>
      </w:r>
      <w:r w:rsidR="00EF6A64">
        <w:t xml:space="preserve"> ruling, based on a Notice of Proposed Rulemaking on transmission planning and cost allocation.</w:t>
      </w:r>
      <w:r w:rsidR="00EF6A64">
        <w:rPr>
          <w:rStyle w:val="FootnoteReference"/>
        </w:rPr>
        <w:footnoteReference w:id="37"/>
      </w:r>
      <w:r w:rsidR="00EF6A64">
        <w:t xml:space="preserve"> The ISO </w:t>
      </w:r>
      <w:r w:rsidRPr="006408BE">
        <w:t>will continue to provide required technical support to the New England states and the federal government as they formulate</w:t>
      </w:r>
      <w:r w:rsidRPr="006408BE">
        <w:rPr>
          <w:i/>
        </w:rPr>
        <w:t xml:space="preserve"> </w:t>
      </w:r>
      <w:r w:rsidRPr="006408BE">
        <w:t>policies for the region (</w:t>
      </w:r>
      <w:r w:rsidR="00832C7A">
        <w:fldChar w:fldCharType="begin"/>
      </w:r>
      <w:r w:rsidR="00663230">
        <w:instrText xml:space="preserve"> REF _Ref262118436 \r \h </w:instrText>
      </w:r>
      <w:r w:rsidR="00832C7A">
        <w:fldChar w:fldCharType="separate"/>
      </w:r>
      <w:r w:rsidR="00E5699E">
        <w:t>Section 12</w:t>
      </w:r>
      <w:r w:rsidR="00832C7A">
        <w:fldChar w:fldCharType="end"/>
      </w:r>
      <w:r w:rsidRPr="006408BE">
        <w:t>)</w:t>
      </w:r>
    </w:p>
    <w:p w:rsidR="001B3090" w:rsidRDefault="00CD46CA">
      <w:pPr>
        <w:pStyle w:val="Heading2"/>
      </w:pPr>
      <w:bookmarkStart w:id="23" w:name="_Toc267069129"/>
      <w:bookmarkStart w:id="24" w:name="_Toc271632202"/>
      <w:r w:rsidRPr="00BD279B">
        <w:t>Conclusions</w:t>
      </w:r>
      <w:bookmarkEnd w:id="23"/>
      <w:bookmarkEnd w:id="24"/>
    </w:p>
    <w:p w:rsidR="002425B3" w:rsidRDefault="00CD46CA" w:rsidP="00CD46CA">
      <w:r>
        <w:t xml:space="preserve">The ISO’s </w:t>
      </w:r>
      <w:r>
        <w:rPr>
          <w:i/>
        </w:rPr>
        <w:t>2010</w:t>
      </w:r>
      <w:r w:rsidRPr="00C05C77">
        <w:rPr>
          <w:i/>
        </w:rPr>
        <w:t xml:space="preserve"> Regional System Plan</w:t>
      </w:r>
      <w:r>
        <w:t xml:space="preserve"> provides information on the timing, location, and type of system resources as well as transmission projects necessary to serve load </w:t>
      </w:r>
      <w:r w:rsidR="00075498">
        <w:t xml:space="preserve">reliably </w:t>
      </w:r>
      <w:r>
        <w:t xml:space="preserve">throughout the region through 2019. </w:t>
      </w:r>
      <w:r w:rsidRPr="00E95E74">
        <w:t xml:space="preserve">The economic recession has slowed the growth in summer peak </w:t>
      </w:r>
      <w:r>
        <w:t xml:space="preserve">demand, while </w:t>
      </w:r>
      <w:r w:rsidRPr="00B10801">
        <w:t>wholesale electric</w:t>
      </w:r>
      <w:r>
        <w:t xml:space="preserve">ity </w:t>
      </w:r>
      <w:r w:rsidRPr="00B10801">
        <w:t>markets</w:t>
      </w:r>
      <w:r w:rsidRPr="009F717D">
        <w:t xml:space="preserve"> </w:t>
      </w:r>
      <w:r w:rsidR="006E0790">
        <w:t xml:space="preserve">and other factors </w:t>
      </w:r>
      <w:r w:rsidR="00D4331C" w:rsidRPr="00D4331C">
        <w:t>have stimulated the</w:t>
      </w:r>
      <w:r w:rsidRPr="009F717D">
        <w:t xml:space="preserve"> </w:t>
      </w:r>
      <w:r w:rsidR="00076DE6">
        <w:t xml:space="preserve">successful </w:t>
      </w:r>
      <w:r w:rsidRPr="009F717D">
        <w:t xml:space="preserve">development of supply and demand resources to meet </w:t>
      </w:r>
      <w:r>
        <w:t xml:space="preserve">the needs of the New England region. </w:t>
      </w:r>
      <w:r w:rsidR="00D4331C" w:rsidRPr="00D4331C">
        <w:t>Assuming no major resource retirements, the need for new power system infrastructure could be delayed or eliminated</w:t>
      </w:r>
      <w:r w:rsidR="00076DE6">
        <w:t xml:space="preserve"> over the next 10 years</w:t>
      </w:r>
      <w:r w:rsidR="00D4331C" w:rsidRPr="00D4331C">
        <w:t xml:space="preserve">. However, the likelihood of power plant retirements and the </w:t>
      </w:r>
      <w:r w:rsidR="00076DE6">
        <w:t xml:space="preserve">expected </w:t>
      </w:r>
      <w:r w:rsidR="00D4331C" w:rsidRPr="00D4331C">
        <w:t>realization of the region’s renewable resource potential will require additional consideration during the planning process to meet system needs.</w:t>
      </w:r>
    </w:p>
    <w:p w:rsidR="00CD46CA" w:rsidRDefault="00CD46CA" w:rsidP="00CD46CA">
      <w:r>
        <w:t>The region</w:t>
      </w:r>
      <w:r w:rsidR="002530D4">
        <w:t>’s</w:t>
      </w:r>
      <w:r>
        <w:t xml:space="preserve"> </w:t>
      </w:r>
      <w:r w:rsidR="00631A7E">
        <w:t xml:space="preserve">heavy </w:t>
      </w:r>
      <w:r w:rsidR="006E0790">
        <w:t>depend</w:t>
      </w:r>
      <w:r w:rsidR="00076DE6">
        <w:t xml:space="preserve">ence </w:t>
      </w:r>
      <w:r>
        <w:t>on natural</w:t>
      </w:r>
      <w:r w:rsidR="00076DE6">
        <w:t>-</w:t>
      </w:r>
      <w:r>
        <w:t>gas</w:t>
      </w:r>
      <w:r w:rsidR="006E0790">
        <w:t>-fired generation</w:t>
      </w:r>
      <w:r w:rsidR="00631A7E">
        <w:t xml:space="preserve"> to supply its electricity needs</w:t>
      </w:r>
      <w:r w:rsidR="00076DE6">
        <w:t xml:space="preserve"> is expected to grow</w:t>
      </w:r>
      <w:r w:rsidR="006E0790">
        <w:t xml:space="preserve">. </w:t>
      </w:r>
      <w:r>
        <w:t>At the same time, e</w:t>
      </w:r>
      <w:r w:rsidRPr="009F717D">
        <w:t xml:space="preserve">nvironmental and economic incentives provided by the </w:t>
      </w:r>
      <w:r w:rsidRPr="00B10801">
        <w:t>wholesale electricity markets</w:t>
      </w:r>
      <w:r w:rsidRPr="009F717D">
        <w:t xml:space="preserve"> and </w:t>
      </w:r>
      <w:r>
        <w:t xml:space="preserve">government </w:t>
      </w:r>
      <w:r w:rsidRPr="009F717D">
        <w:t>policies are encouraging the development of clean, renewable resources</w:t>
      </w:r>
      <w:r>
        <w:t xml:space="preserve">, such as </w:t>
      </w:r>
      <w:r w:rsidRPr="00B10801">
        <w:t xml:space="preserve">wind and solar. In addition, demand resources are expected to </w:t>
      </w:r>
      <w:r w:rsidR="003C2223">
        <w:t>increase</w:t>
      </w:r>
      <w:r w:rsidRPr="00B10801">
        <w:t>. Economic</w:t>
      </w:r>
      <w:r>
        <w:t xml:space="preserve"> studies have shown the effects of these types of resources and possible new imports from Canada, providing </w:t>
      </w:r>
      <w:r w:rsidR="004017FD">
        <w:t xml:space="preserve">useful information to guide the decisions of </w:t>
      </w:r>
      <w:r>
        <w:t xml:space="preserve">policymakers and </w:t>
      </w:r>
      <w:r w:rsidR="004017FD">
        <w:t xml:space="preserve">resource </w:t>
      </w:r>
      <w:r>
        <w:t xml:space="preserve">developers. </w:t>
      </w:r>
      <w:r w:rsidR="003C2223">
        <w:t>Also, s</w:t>
      </w:r>
      <w:r w:rsidRPr="00765CB1">
        <w:t>mart grid technologies are</w:t>
      </w:r>
      <w:r>
        <w:t xml:space="preserve"> being developed to improve the electric power system’s performance and operating flexibility. </w:t>
      </w:r>
    </w:p>
    <w:p w:rsidR="00A35383" w:rsidRDefault="00CD46CA" w:rsidP="001A4315">
      <w:pPr>
        <w:sectPr w:rsidR="00A35383" w:rsidSect="00015282">
          <w:headerReference w:type="default" r:id="rId18"/>
          <w:footerReference w:type="default" r:id="rId19"/>
          <w:pgSz w:w="12240" w:h="15840"/>
          <w:pgMar w:top="1340" w:right="1440" w:bottom="1440" w:left="1440" w:header="720" w:footer="720" w:gutter="0"/>
          <w:pgNumType w:start="1"/>
          <w:cols w:space="720"/>
          <w:docGrid w:linePitch="360"/>
        </w:sectPr>
      </w:pPr>
      <w:r>
        <w:t xml:space="preserve">RSP10 and its complementary </w:t>
      </w:r>
      <w:r>
        <w:rPr>
          <w:i/>
          <w:iCs/>
        </w:rPr>
        <w:t>RSP Project List</w:t>
      </w:r>
      <w:r>
        <w:t xml:space="preserve">, </w:t>
      </w:r>
      <w:r w:rsidR="00D4331C" w:rsidRPr="00D4331C">
        <w:rPr>
          <w:i/>
        </w:rPr>
        <w:t>Needs Assessments</w:t>
      </w:r>
      <w:r>
        <w:t xml:space="preserve">, and </w:t>
      </w:r>
      <w:r w:rsidR="00D4331C" w:rsidRPr="00D4331C">
        <w:rPr>
          <w:i/>
        </w:rPr>
        <w:t>Solution Studies</w:t>
      </w:r>
      <w:r>
        <w:t xml:space="preserve"> provide detailed information on the </w:t>
      </w:r>
      <w:r w:rsidR="004017FD">
        <w:t xml:space="preserve">system changes </w:t>
      </w:r>
      <w:r>
        <w:t xml:space="preserve">required for serving load reliably </w:t>
      </w:r>
      <w:r w:rsidR="004017FD">
        <w:t xml:space="preserve">in </w:t>
      </w:r>
      <w:r>
        <w:t xml:space="preserve">New England for the next </w:t>
      </w:r>
      <w:r>
        <w:rPr>
          <w:color w:val="000000"/>
        </w:rPr>
        <w:t>10 years. T</w:t>
      </w:r>
      <w:r>
        <w:t xml:space="preserve">ransmission projects </w:t>
      </w:r>
      <w:r w:rsidR="00631A7E">
        <w:t>are in various stages of development</w:t>
      </w:r>
      <w:r w:rsidR="00927451">
        <w:t>,</w:t>
      </w:r>
      <w:r w:rsidR="00631A7E">
        <w:t xml:space="preserve"> and many </w:t>
      </w:r>
      <w:r>
        <w:t xml:space="preserve">have begun or have completed the siting </w:t>
      </w:r>
      <w:r w:rsidRPr="00B10801">
        <w:t>process. Finally, elective and</w:t>
      </w:r>
      <w:r>
        <w:t xml:space="preserve"> merchant transmission facilities</w:t>
      </w:r>
      <w:r w:rsidR="004017FD">
        <w:t>,</w:t>
      </w:r>
      <w:r>
        <w:t xml:space="preserve"> in various stages of development</w:t>
      </w:r>
      <w:r w:rsidR="004017FD">
        <w:t>,</w:t>
      </w:r>
      <w:r>
        <w:t xml:space="preserve"> have the potential to provide access to renewable resources in remote areas of the region and in neighboring areas</w:t>
      </w:r>
      <w:r w:rsidR="00D4331C" w:rsidRPr="00D4331C">
        <w:t xml:space="preserve">. </w:t>
      </w:r>
    </w:p>
    <w:p w:rsidR="00D3293B" w:rsidRPr="003A6BB7" w:rsidRDefault="001D43BB" w:rsidP="00DF39BB">
      <w:pPr>
        <w:pStyle w:val="Heading1"/>
      </w:pPr>
      <w:bookmarkStart w:id="25" w:name="_Toc141573370"/>
      <w:bookmarkStart w:id="26" w:name="_Toc141573604"/>
      <w:bookmarkStart w:id="27" w:name="_Toc141573772"/>
      <w:bookmarkStart w:id="28" w:name="_Toc141574786"/>
      <w:bookmarkStart w:id="29" w:name="_Toc141574954"/>
      <w:bookmarkStart w:id="30" w:name="_Toc141575122"/>
      <w:bookmarkStart w:id="31" w:name="_Toc141575290"/>
      <w:bookmarkStart w:id="32" w:name="_Toc141666592"/>
      <w:bookmarkStart w:id="33" w:name="_Toc141573371"/>
      <w:bookmarkStart w:id="34" w:name="_Toc141573605"/>
      <w:bookmarkStart w:id="35" w:name="_Toc141573773"/>
      <w:bookmarkStart w:id="36" w:name="_Toc141574787"/>
      <w:bookmarkStart w:id="37" w:name="_Toc141574955"/>
      <w:bookmarkStart w:id="38" w:name="_Toc141575123"/>
      <w:bookmarkStart w:id="39" w:name="_Toc141575291"/>
      <w:bookmarkStart w:id="40" w:name="_Toc141666593"/>
      <w:bookmarkStart w:id="41" w:name="_Toc201669900"/>
      <w:bookmarkStart w:id="42" w:name="_Toc207531801"/>
      <w:bookmarkStart w:id="43" w:name="_Toc239157043"/>
      <w:bookmarkEnd w:id="0"/>
      <w:bookmarkEnd w:id="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br/>
      </w:r>
      <w:bookmarkStart w:id="44" w:name="_Toc271632203"/>
      <w:r w:rsidR="00D3293B" w:rsidRPr="002B72CB">
        <w:t>Introduction</w:t>
      </w:r>
      <w:bookmarkEnd w:id="41"/>
      <w:bookmarkEnd w:id="42"/>
      <w:bookmarkEnd w:id="43"/>
      <w:bookmarkEnd w:id="44"/>
    </w:p>
    <w:p w:rsidR="00FC2E7B" w:rsidRDefault="00EB4C1B" w:rsidP="00F16DCE">
      <w:r>
        <w:t xml:space="preserve">As the Regional Transmission Operator (RTO) for New England, ISO New England </w:t>
      </w:r>
      <w:r w:rsidR="00C6735A">
        <w:t xml:space="preserve">(ISO) </w:t>
      </w:r>
      <w:r w:rsidR="005E4A8B">
        <w:t xml:space="preserve">operates </w:t>
      </w:r>
      <w:r w:rsidR="00D3293B" w:rsidRPr="00D93D8A">
        <w:t xml:space="preserve">the </w:t>
      </w:r>
      <w:r w:rsidR="00C6735A">
        <w:t xml:space="preserve">region’s electric power system, </w:t>
      </w:r>
      <w:r w:rsidR="005E4A8B">
        <w:t xml:space="preserve">administers the region’s </w:t>
      </w:r>
      <w:r w:rsidR="00C6735A">
        <w:t xml:space="preserve">competitive wholesale electricity markets, and </w:t>
      </w:r>
      <w:r w:rsidR="005E4A8B">
        <w:t>is responsible for the regional planning process</w:t>
      </w:r>
      <w:r w:rsidR="00C6735A">
        <w:t>.</w:t>
      </w:r>
      <w:r w:rsidR="0027583B">
        <w:t xml:space="preserve"> </w:t>
      </w:r>
      <w:r w:rsidR="00FC2E7B">
        <w:t xml:space="preserve">It also coordinates planning efforts with neighboring areas. </w:t>
      </w:r>
      <w:r w:rsidR="00AB05CB" w:rsidRPr="00A555C6">
        <w:t>To carry out its planning responsibilities, the ISO works closely with members of the Planning Advisory Committee (PAC).</w:t>
      </w:r>
      <w:r w:rsidR="00B45368" w:rsidRPr="000A0307">
        <w:rPr>
          <w:rStyle w:val="FootnoteReference"/>
          <w:sz w:val="22"/>
        </w:rPr>
        <w:footnoteReference w:id="38"/>
      </w:r>
      <w:r w:rsidR="00B45368" w:rsidRPr="000A0307">
        <w:t xml:space="preserve"> </w:t>
      </w:r>
      <w:r w:rsidR="00AB05CB" w:rsidRPr="00A555C6">
        <w:t xml:space="preserve">PAC </w:t>
      </w:r>
      <w:r w:rsidR="00FC2E7B" w:rsidRPr="00A555C6">
        <w:t>members</w:t>
      </w:r>
      <w:r w:rsidR="005E4A8B">
        <w:t>hip</w:t>
      </w:r>
      <w:r w:rsidR="00FC2E7B" w:rsidRPr="00A555C6">
        <w:t xml:space="preserve"> </w:t>
      </w:r>
      <w:r w:rsidR="005E4A8B">
        <w:t xml:space="preserve">is open to all and currently </w:t>
      </w:r>
      <w:r w:rsidR="00AB05CB" w:rsidRPr="00A555C6">
        <w:t>include</w:t>
      </w:r>
      <w:r w:rsidR="005E4A8B">
        <w:t>s</w:t>
      </w:r>
      <w:r w:rsidR="00AB05CB" w:rsidRPr="00A555C6">
        <w:t xml:space="preserve"> representatives from governmental agencies</w:t>
      </w:r>
      <w:r w:rsidR="003174D8" w:rsidRPr="003174D8">
        <w:t>,</w:t>
      </w:r>
      <w:r w:rsidR="00AB05CB" w:rsidRPr="00A555C6">
        <w:t xml:space="preserve"> </w:t>
      </w:r>
      <w:r w:rsidR="003174D8" w:rsidRPr="003174D8">
        <w:t>transmission owners</w:t>
      </w:r>
      <w:r w:rsidR="00BD7314">
        <w:t xml:space="preserve"> (TOs)</w:t>
      </w:r>
      <w:r w:rsidR="003174D8" w:rsidRPr="003174D8">
        <w:t>, market participants, other N</w:t>
      </w:r>
      <w:r w:rsidR="004806A9" w:rsidRPr="00A555C6">
        <w:t>ew England Power Pool (</w:t>
      </w:r>
      <w:r w:rsidR="00AB05CB" w:rsidRPr="00A555C6">
        <w:t>NEPOOL</w:t>
      </w:r>
      <w:r w:rsidR="004806A9" w:rsidRPr="00A555C6">
        <w:t>)</w:t>
      </w:r>
      <w:r w:rsidR="00AB05CB" w:rsidRPr="00A555C6">
        <w:t xml:space="preserve"> </w:t>
      </w:r>
      <w:r w:rsidR="003174D8" w:rsidRPr="003174D8">
        <w:t>members</w:t>
      </w:r>
      <w:r w:rsidR="00AB05CB" w:rsidRPr="00A555C6">
        <w:t>, consult</w:t>
      </w:r>
      <w:r w:rsidR="0027583B">
        <w:t>i</w:t>
      </w:r>
      <w:r w:rsidR="003174D8" w:rsidRPr="003174D8">
        <w:t>ng companie</w:t>
      </w:r>
      <w:r w:rsidR="00AB05CB" w:rsidRPr="00A555C6">
        <w:t xml:space="preserve">s, manufacturers, and </w:t>
      </w:r>
      <w:r w:rsidR="003174D8" w:rsidRPr="003174D8">
        <w:t xml:space="preserve">other </w:t>
      </w:r>
      <w:r w:rsidR="00AB05CB" w:rsidRPr="00A555C6">
        <w:t>organizations, such as universities and environmental groups.</w:t>
      </w:r>
      <w:r w:rsidR="00AB05CB" w:rsidRPr="000A0307">
        <w:rPr>
          <w:rStyle w:val="FootnoteReference"/>
          <w:sz w:val="22"/>
        </w:rPr>
        <w:footnoteReference w:id="39"/>
      </w:r>
    </w:p>
    <w:p w:rsidR="00183D57" w:rsidRDefault="00832C7A" w:rsidP="00156D15">
      <w:r>
        <w:rPr>
          <w:noProof/>
        </w:rPr>
        <w:pict>
          <v:shape id="_x0000_s1037" type="#_x0000_t202" style="position:absolute;margin-left:7051.25pt;margin-top:6.05pt;width:183.9pt;height:107.35pt;z-index:251728896;mso-wrap-distance-top:7.2pt;mso-wrap-distance-bottom:7.2pt;mso-position-horizontal:right;mso-width-relative:margin;mso-height-relative:margin;v-text-anchor:middle" fillcolor="#ebe8e6 [665]" strokecolor="black [3213]" strokeweight=".25pt">
            <v:shadow type="perspective" color="#4e473f [1609]" opacity=".5" offset="1pt" offset2="-1pt"/>
            <v:textbox style="mso-next-textbox:#_x0000_s1037" inset="8.64pt,8.64pt,8.64pt,8.64pt">
              <w:txbxContent>
                <w:p w:rsidR="003C78A4" w:rsidRPr="00656652" w:rsidRDefault="003C78A4" w:rsidP="00226EBA">
                  <w:pPr>
                    <w:pStyle w:val="BodyText1"/>
                  </w:pPr>
                  <w:r>
                    <w:t xml:space="preserve"> </w:t>
                  </w:r>
                  <w:r w:rsidRPr="00656652">
                    <w:t>“The ISO shall develop the RSP . . . [which] is a compilation of the regional system planning process activities conduct</w:t>
                  </w:r>
                  <w:r>
                    <w:t>ed</w:t>
                  </w:r>
                  <w:r w:rsidRPr="00656652">
                    <w:t xml:space="preserve"> by the ISO during a given year.” (Attachment K, §</w:t>
                  </w:r>
                  <w:r>
                    <w:t xml:space="preserve"> </w:t>
                  </w:r>
                  <w:r w:rsidRPr="00656652">
                    <w:t xml:space="preserve">1)  </w:t>
                  </w:r>
                </w:p>
                <w:p w:rsidR="003C78A4" w:rsidRDefault="003C78A4">
                  <w:pPr>
                    <w:pStyle w:val="BodyText1"/>
                    <w:rPr>
                      <w:rFonts w:cs="Arial"/>
                      <w:szCs w:val="16"/>
                    </w:rPr>
                  </w:pPr>
                  <w:r w:rsidRPr="00656652">
                    <w:rPr>
                      <w:rFonts w:cs="Arial"/>
                      <w:szCs w:val="16"/>
                    </w:rPr>
                    <w:t>“The RSP shall be based on a five- to ten-year planning horizon, and reflect five- to ten-year capacity and load forecasts.”</w:t>
                  </w:r>
                  <w:r>
                    <w:rPr>
                      <w:rFonts w:cs="Arial"/>
                      <w:szCs w:val="16"/>
                    </w:rPr>
                    <w:t xml:space="preserve"> </w:t>
                  </w:r>
                  <w:r w:rsidRPr="00656652">
                    <w:rPr>
                      <w:rFonts w:cs="Arial"/>
                      <w:szCs w:val="16"/>
                    </w:rPr>
                    <w:t>(Attachment K, §</w:t>
                  </w:r>
                  <w:r>
                    <w:rPr>
                      <w:rFonts w:cs="Arial"/>
                      <w:szCs w:val="16"/>
                    </w:rPr>
                    <w:t> </w:t>
                  </w:r>
                  <w:r w:rsidRPr="00656652">
                    <w:rPr>
                      <w:rFonts w:cs="Arial"/>
                      <w:szCs w:val="16"/>
                    </w:rPr>
                    <w:t xml:space="preserve">3.3)  </w:t>
                  </w:r>
                </w:p>
              </w:txbxContent>
            </v:textbox>
            <w10:wrap type="square"/>
          </v:shape>
        </w:pict>
      </w:r>
      <w:r w:rsidR="003174D8" w:rsidRPr="003174D8">
        <w:t>In compliance with Attachment K</w:t>
      </w:r>
      <w:r w:rsidR="00A555C6">
        <w:t xml:space="preserve"> of </w:t>
      </w:r>
      <w:r w:rsidR="009A5FD6">
        <w:t xml:space="preserve">its </w:t>
      </w:r>
      <w:r w:rsidR="003174D8" w:rsidRPr="003174D8">
        <w:rPr>
          <w:i/>
        </w:rPr>
        <w:t>Open Access Transmission Tariff</w:t>
      </w:r>
      <w:r w:rsidR="009A5FD6">
        <w:t xml:space="preserve"> (</w:t>
      </w:r>
      <w:r w:rsidR="00A555C6">
        <w:t>OATT</w:t>
      </w:r>
      <w:r w:rsidR="009A5FD6">
        <w:t>)</w:t>
      </w:r>
      <w:r w:rsidR="00707C8C" w:rsidRPr="00707C8C">
        <w:t xml:space="preserve"> </w:t>
      </w:r>
      <w:r w:rsidR="00707C8C">
        <w:t xml:space="preserve">and to provide information </w:t>
      </w:r>
      <w:r w:rsidR="00FD6318">
        <w:t xml:space="preserve">to </w:t>
      </w:r>
      <w:r w:rsidR="00707C8C">
        <w:t xml:space="preserve">stakeholders </w:t>
      </w:r>
      <w:r w:rsidR="00FD6318">
        <w:t xml:space="preserve">for </w:t>
      </w:r>
      <w:r w:rsidR="00D4331C" w:rsidRPr="00D4331C">
        <w:t>developing supply and demand resources</w:t>
      </w:r>
      <w:r w:rsidR="0027583B">
        <w:t xml:space="preserve"> and transmission </w:t>
      </w:r>
      <w:r w:rsidR="00707C8C">
        <w:t xml:space="preserve">solutions to </w:t>
      </w:r>
      <w:r w:rsidR="0027583B">
        <w:t>meet syst</w:t>
      </w:r>
      <w:r w:rsidR="00707C8C">
        <w:t>em needs</w:t>
      </w:r>
      <w:r w:rsidR="003174D8" w:rsidRPr="003174D8">
        <w:t xml:space="preserve">, the </w:t>
      </w:r>
      <w:r w:rsidR="003174D8" w:rsidRPr="003174D8">
        <w:rPr>
          <w:i/>
        </w:rPr>
        <w:t>2010 Regional System Plan</w:t>
      </w:r>
      <w:r w:rsidR="003174D8" w:rsidRPr="003174D8">
        <w:t xml:space="preserve"> (RSP10)</w:t>
      </w:r>
      <w:r w:rsidR="00425EEB">
        <w:t xml:space="preserve"> describes the ISO’s </w:t>
      </w:r>
      <w:r w:rsidR="00425EEB" w:rsidRPr="00FF77B1">
        <w:t xml:space="preserve">annual </w:t>
      </w:r>
      <w:r w:rsidR="004D6764">
        <w:t>system resource and transmission planning activities</w:t>
      </w:r>
      <w:r w:rsidR="008F40D2" w:rsidRPr="008F40D2">
        <w:t xml:space="preserve"> </w:t>
      </w:r>
      <w:r w:rsidR="008F40D2">
        <w:t>for the 10-year period to 2019.</w:t>
      </w:r>
      <w:r w:rsidR="00D4331C" w:rsidRPr="00D4331C">
        <w:rPr>
          <w:rStyle w:val="FootnoteReference"/>
          <w:sz w:val="22"/>
        </w:rPr>
        <w:footnoteReference w:id="40"/>
      </w:r>
      <w:r w:rsidR="008F40D2" w:rsidRPr="003174D8">
        <w:t xml:space="preserve"> </w:t>
      </w:r>
      <w:r w:rsidR="008F40D2">
        <w:t>It also summarizes</w:t>
      </w:r>
      <w:r w:rsidR="008F40D2" w:rsidRPr="003174D8">
        <w:t xml:space="preserve"> </w:t>
      </w:r>
      <w:r w:rsidR="004D6764">
        <w:t>the results of regional and local-area studies, as follows</w:t>
      </w:r>
      <w:r w:rsidR="008F40D2">
        <w:t xml:space="preserve">: </w:t>
      </w:r>
    </w:p>
    <w:p w:rsidR="00C73E33" w:rsidRDefault="004558C6" w:rsidP="00BB34F0">
      <w:pPr>
        <w:numPr>
          <w:ilvl w:val="0"/>
          <w:numId w:val="52"/>
        </w:numPr>
        <w:spacing w:after="120"/>
      </w:pPr>
      <w:r>
        <w:t>L</w:t>
      </w:r>
      <w:r w:rsidR="00707C8C">
        <w:t>oad</w:t>
      </w:r>
      <w:r w:rsidR="0027583B">
        <w:t xml:space="preserve"> forecasts</w:t>
      </w:r>
      <w:r w:rsidR="009E28C9">
        <w:t xml:space="preserve"> for the annual and peak use of electric energy</w:t>
      </w:r>
    </w:p>
    <w:p w:rsidR="00C73E33" w:rsidRDefault="00891B35" w:rsidP="00BB34F0">
      <w:pPr>
        <w:numPr>
          <w:ilvl w:val="0"/>
          <w:numId w:val="51"/>
        </w:numPr>
        <w:spacing w:after="120"/>
      </w:pPr>
      <w:r>
        <w:t xml:space="preserve">Analyses of the amount, </w:t>
      </w:r>
      <w:r w:rsidR="004558C6">
        <w:t>characteristics</w:t>
      </w:r>
      <w:r>
        <w:t xml:space="preserve">, and locations of needed </w:t>
      </w:r>
      <w:r w:rsidR="00183D57">
        <w:t xml:space="preserve">capacity </w:t>
      </w:r>
      <w:r>
        <w:t xml:space="preserve">and </w:t>
      </w:r>
      <w:r w:rsidR="00183D57">
        <w:t xml:space="preserve">operating </w:t>
      </w:r>
      <w:r>
        <w:t>reserves</w:t>
      </w:r>
    </w:p>
    <w:p w:rsidR="00C73E33" w:rsidRPr="00C142A5" w:rsidRDefault="00891B35" w:rsidP="00BB34F0">
      <w:pPr>
        <w:numPr>
          <w:ilvl w:val="0"/>
          <w:numId w:val="51"/>
        </w:numPr>
        <w:spacing w:after="120"/>
      </w:pPr>
      <w:r w:rsidRPr="00C142A5">
        <w:t xml:space="preserve">Assessments of </w:t>
      </w:r>
      <w:r w:rsidR="004B6CAB" w:rsidRPr="00C142A5">
        <w:t xml:space="preserve">systemwide and local-area </w:t>
      </w:r>
      <w:r w:rsidR="003174D8" w:rsidRPr="00C142A5">
        <w:t xml:space="preserve">transmission </w:t>
      </w:r>
      <w:r w:rsidR="004B6CAB" w:rsidRPr="00C142A5">
        <w:t xml:space="preserve">system </w:t>
      </w:r>
      <w:r w:rsidR="003174D8" w:rsidRPr="00C142A5">
        <w:t>needs and solutions</w:t>
      </w:r>
    </w:p>
    <w:p w:rsidR="00C73E33" w:rsidRPr="00C142A5" w:rsidRDefault="003174D8" w:rsidP="00BB34F0">
      <w:pPr>
        <w:numPr>
          <w:ilvl w:val="0"/>
          <w:numId w:val="51"/>
        </w:numPr>
      </w:pPr>
      <w:r w:rsidRPr="00C142A5">
        <w:t>S</w:t>
      </w:r>
      <w:r w:rsidR="00891B35" w:rsidRPr="00C142A5">
        <w:t xml:space="preserve">imulations of the estimated economic </w:t>
      </w:r>
      <w:r w:rsidRPr="00C142A5">
        <w:t xml:space="preserve">and environmental </w:t>
      </w:r>
      <w:r w:rsidR="00891B35" w:rsidRPr="00C142A5">
        <w:t xml:space="preserve">performance of </w:t>
      </w:r>
      <w:r w:rsidRPr="00C142A5">
        <w:t xml:space="preserve">various </w:t>
      </w:r>
      <w:r w:rsidR="00891B35" w:rsidRPr="00C142A5">
        <w:t xml:space="preserve">future </w:t>
      </w:r>
      <w:r w:rsidRPr="00C142A5">
        <w:t>resource- and transmission-expansion</w:t>
      </w:r>
      <w:r w:rsidR="00891B35" w:rsidRPr="00C142A5">
        <w:t xml:space="preserve"> scenarios.</w:t>
      </w:r>
    </w:p>
    <w:p w:rsidR="000778A9" w:rsidRPr="00C142A5" w:rsidRDefault="004558C6" w:rsidP="005811FE">
      <w:r w:rsidRPr="00C142A5">
        <w:t>RSP10 also summari</w:t>
      </w:r>
      <w:r w:rsidR="002530D4">
        <w:t>z</w:t>
      </w:r>
      <w:r w:rsidRPr="00C142A5">
        <w:t xml:space="preserve">es </w:t>
      </w:r>
      <w:r w:rsidR="005E4A8B">
        <w:t xml:space="preserve">information and activities concerning </w:t>
      </w:r>
      <w:r w:rsidRPr="00C142A5">
        <w:t>the status of the region’s f</w:t>
      </w:r>
      <w:r w:rsidR="0027583B" w:rsidRPr="00C142A5">
        <w:t>uel diversity</w:t>
      </w:r>
      <w:r w:rsidR="005E4A8B">
        <w:t xml:space="preserve">; </w:t>
      </w:r>
      <w:r w:rsidR="003568FC" w:rsidRPr="00C142A5">
        <w:t xml:space="preserve">resource development and integration, </w:t>
      </w:r>
      <w:r w:rsidR="00D4331C" w:rsidRPr="00D4331C">
        <w:t>including renewables,</w:t>
      </w:r>
      <w:r w:rsidR="003568FC" w:rsidRPr="00C142A5">
        <w:t xml:space="preserve"> demand resources, and new technologies; </w:t>
      </w:r>
      <w:r w:rsidR="008E6328" w:rsidRPr="00C142A5">
        <w:t>environmental issues associated with power plant air emissions</w:t>
      </w:r>
      <w:r w:rsidR="003568FC" w:rsidRPr="00C142A5">
        <w:t xml:space="preserve"> and </w:t>
      </w:r>
      <w:r w:rsidR="008E6328" w:rsidRPr="00C142A5">
        <w:t>water discharges</w:t>
      </w:r>
      <w:r w:rsidR="003568FC" w:rsidRPr="00C142A5">
        <w:t xml:space="preserve">; </w:t>
      </w:r>
      <w:r w:rsidR="008166AA" w:rsidRPr="00C142A5">
        <w:t xml:space="preserve">and </w:t>
      </w:r>
      <w:r w:rsidR="008E6328" w:rsidRPr="00C142A5">
        <w:rPr>
          <w:rFonts w:cs="Times New Roman"/>
        </w:rPr>
        <w:t xml:space="preserve">the New England states’ energy-efficiency </w:t>
      </w:r>
      <w:r w:rsidR="003D08E8">
        <w:rPr>
          <w:rFonts w:cs="Times New Roman"/>
        </w:rPr>
        <w:t xml:space="preserve">(EE) </w:t>
      </w:r>
      <w:r w:rsidR="008E6328" w:rsidRPr="00C142A5">
        <w:rPr>
          <w:rFonts w:cs="Times New Roman"/>
        </w:rPr>
        <w:t>programs</w:t>
      </w:r>
      <w:r w:rsidR="008166AA" w:rsidRPr="00C142A5">
        <w:rPr>
          <w:rFonts w:cs="Times New Roman"/>
        </w:rPr>
        <w:t>.</w:t>
      </w:r>
      <w:r w:rsidR="00C142A5" w:rsidRPr="00C142A5">
        <w:rPr>
          <w:vertAlign w:val="superscript"/>
        </w:rPr>
        <w:footnoteReference w:id="41"/>
      </w:r>
      <w:r w:rsidR="008166AA" w:rsidRPr="00C142A5">
        <w:rPr>
          <w:rFonts w:cs="Times New Roman"/>
        </w:rPr>
        <w:t xml:space="preserve"> </w:t>
      </w:r>
      <w:r w:rsidR="00C142A5" w:rsidRPr="00C142A5">
        <w:rPr>
          <w:rFonts w:cs="Times New Roman"/>
        </w:rPr>
        <w:t xml:space="preserve">The RSP also </w:t>
      </w:r>
      <w:r w:rsidR="005E4A8B">
        <w:rPr>
          <w:rFonts w:cs="Times New Roman"/>
        </w:rPr>
        <w:t xml:space="preserve">reports on </w:t>
      </w:r>
      <w:r w:rsidR="00C142A5" w:rsidRPr="00C142A5">
        <w:rPr>
          <w:rFonts w:cs="Times New Roman"/>
        </w:rPr>
        <w:t>s</w:t>
      </w:r>
      <w:r w:rsidR="003174D8" w:rsidRPr="00C142A5">
        <w:t>tate, regional, federal</w:t>
      </w:r>
      <w:r w:rsidR="00C26FE7" w:rsidRPr="00C142A5">
        <w:t>, and eastern Canadian</w:t>
      </w:r>
      <w:r w:rsidR="003174D8" w:rsidRPr="00C142A5">
        <w:t xml:space="preserve"> initiatives relevant to </w:t>
      </w:r>
      <w:r w:rsidR="008166AA" w:rsidRPr="00C142A5">
        <w:t xml:space="preserve">New England’s </w:t>
      </w:r>
      <w:r w:rsidR="003174D8" w:rsidRPr="00C142A5">
        <w:t>power system planning</w:t>
      </w:r>
      <w:r w:rsidR="003A7D32" w:rsidRPr="00C142A5">
        <w:t xml:space="preserve"> </w:t>
      </w:r>
      <w:r w:rsidR="008166AA" w:rsidRPr="00C142A5">
        <w:t>a</w:t>
      </w:r>
      <w:r w:rsidR="003A7D32" w:rsidRPr="00C142A5">
        <w:t>nd joint planning efforts</w:t>
      </w:r>
      <w:r w:rsidR="008166AA" w:rsidRPr="00C142A5">
        <w:t xml:space="preserve"> </w:t>
      </w:r>
      <w:r w:rsidR="00C142A5" w:rsidRPr="00C142A5">
        <w:t>with New Yor</w:t>
      </w:r>
      <w:r w:rsidR="00731823">
        <w:t>k</w:t>
      </w:r>
      <w:r w:rsidR="00C142A5" w:rsidRPr="00C142A5">
        <w:t xml:space="preserve"> and other neighboring power systems.</w:t>
      </w:r>
      <w:r w:rsidR="003174D8" w:rsidRPr="00C142A5">
        <w:t xml:space="preserve"> </w:t>
      </w:r>
    </w:p>
    <w:p w:rsidR="005811FE" w:rsidRDefault="003174D8" w:rsidP="005811FE">
      <w:r w:rsidRPr="00FE253A">
        <w:t xml:space="preserve">Appendix A </w:t>
      </w:r>
      <w:r w:rsidR="00FE253A" w:rsidRPr="00FE253A">
        <w:t xml:space="preserve">provides a link to </w:t>
      </w:r>
      <w:r w:rsidRPr="00FE253A">
        <w:t xml:space="preserve">the </w:t>
      </w:r>
      <w:r w:rsidRPr="00FE253A">
        <w:rPr>
          <w:i/>
        </w:rPr>
        <w:t>RSP Project List</w:t>
      </w:r>
      <w:r w:rsidRPr="00FE253A">
        <w:t>, which includes</w:t>
      </w:r>
      <w:r w:rsidRPr="00C142A5">
        <w:t xml:space="preserve"> the status of transmission upgrades</w:t>
      </w:r>
      <w:r w:rsidR="0024646D" w:rsidRPr="00C142A5">
        <w:t xml:space="preserve"> </w:t>
      </w:r>
      <w:r w:rsidR="00330D6D" w:rsidRPr="00C142A5">
        <w:t xml:space="preserve">during </w:t>
      </w:r>
      <w:r w:rsidR="0024646D" w:rsidRPr="00C142A5">
        <w:t xml:space="preserve">a project’s </w:t>
      </w:r>
      <w:r w:rsidR="0024646D" w:rsidRPr="00A8285B">
        <w:t>lifecycle</w:t>
      </w:r>
      <w:r w:rsidRPr="00A8285B">
        <w:t xml:space="preserve">. </w:t>
      </w:r>
      <w:r w:rsidR="00FE253A" w:rsidRPr="00A8285B">
        <w:t xml:space="preserve">RSP10 incorporates information from the June 2010 list. </w:t>
      </w:r>
      <w:r w:rsidR="009D04D5" w:rsidRPr="00A8285B">
        <w:t xml:space="preserve">Appendix B is a </w:t>
      </w:r>
      <w:r w:rsidRPr="00A8285B">
        <w:t>list of acronyms and abbreviations</w:t>
      </w:r>
      <w:r w:rsidRPr="00C142A5">
        <w:t xml:space="preserve"> used in RSP10</w:t>
      </w:r>
      <w:r w:rsidR="00845B4C" w:rsidRPr="00C142A5">
        <w:t>.</w:t>
      </w:r>
      <w:r w:rsidR="00845B4C">
        <w:t xml:space="preserve"> </w:t>
      </w:r>
      <w:r w:rsidR="00677BFC">
        <w:t>Italicized terms are d</w:t>
      </w:r>
      <w:r w:rsidR="00821C68" w:rsidRPr="00F44B64">
        <w:t>efin</w:t>
      </w:r>
      <w:r w:rsidR="00677BFC">
        <w:t xml:space="preserve">ed </w:t>
      </w:r>
      <w:r w:rsidR="00821C68" w:rsidRPr="00F44B64">
        <w:t>within the text and footnotes.</w:t>
      </w:r>
      <w:r w:rsidR="00845B4C" w:rsidRPr="00F44B64">
        <w:t xml:space="preserve"> </w:t>
      </w:r>
      <w:r w:rsidR="000778A9" w:rsidRPr="00F44B64">
        <w:t>The</w:t>
      </w:r>
      <w:r w:rsidR="000778A9" w:rsidRPr="00C142A5">
        <w:t xml:space="preserve"> text boxes </w:t>
      </w:r>
      <w:r w:rsidR="005E4A8B">
        <w:t xml:space="preserve">included in this report </w:t>
      </w:r>
      <w:r w:rsidR="000778A9" w:rsidRPr="00C142A5">
        <w:t xml:space="preserve">contain Attachment K requirements and indicate the </w:t>
      </w:r>
      <w:r w:rsidR="005E4A8B">
        <w:t>ISO</w:t>
      </w:r>
      <w:r w:rsidR="000778A9" w:rsidRPr="00C142A5">
        <w:t>’s compliance with the requirements</w:t>
      </w:r>
      <w:r w:rsidR="00C142A5" w:rsidRPr="00C142A5">
        <w:t>.</w:t>
      </w:r>
      <w:r w:rsidR="003A3226" w:rsidRPr="003A3226">
        <w:t xml:space="preserve"> </w:t>
      </w:r>
      <w:r w:rsidR="003A3226" w:rsidRPr="00C142A5">
        <w:t>All Web site addresses are current as of the time of publication.</w:t>
      </w:r>
    </w:p>
    <w:p w:rsidR="0040191D" w:rsidRPr="00C73F09" w:rsidRDefault="00891B35" w:rsidP="003A50F0">
      <w:pPr>
        <w:pStyle w:val="Bullet-Solid"/>
        <w:numPr>
          <w:ilvl w:val="0"/>
          <w:numId w:val="0"/>
        </w:numPr>
        <w:spacing w:after="240"/>
      </w:pPr>
      <w:r>
        <w:t>This section summarizes the ISO’s regional system planning process per the requirements of the ISO’s tariff</w:t>
      </w:r>
      <w:r w:rsidR="00795035">
        <w:t>s</w:t>
      </w:r>
      <w:r w:rsidRPr="00891B35">
        <w:t>. As background, th</w:t>
      </w:r>
      <w:r>
        <w:t>e section provides an overview of the power system</w:t>
      </w:r>
      <w:r w:rsidR="00D3293B">
        <w:t xml:space="preserve"> and wholesale market structure in New England and the RSP subareas used in system planning studies</w:t>
      </w:r>
      <w:r w:rsidR="00D3293B" w:rsidRPr="00F678AF">
        <w:t xml:space="preserve">. </w:t>
      </w:r>
    </w:p>
    <w:p w:rsidR="002878A4" w:rsidRDefault="00D3293B" w:rsidP="009D1346">
      <w:pPr>
        <w:pStyle w:val="Heading2"/>
      </w:pPr>
      <w:bookmarkStart w:id="45" w:name="_Toc239157045"/>
      <w:bookmarkStart w:id="46" w:name="_Ref266623511"/>
      <w:bookmarkStart w:id="47" w:name="_Toc271632204"/>
      <w:r w:rsidRPr="00297714">
        <w:t>Approach to</w:t>
      </w:r>
      <w:r>
        <w:t xml:space="preserve"> Regional System Planning</w:t>
      </w:r>
      <w:bookmarkEnd w:id="45"/>
      <w:bookmarkEnd w:id="46"/>
      <w:bookmarkEnd w:id="47"/>
    </w:p>
    <w:p w:rsidR="00A319A0" w:rsidRDefault="00D3293B">
      <w:r w:rsidRPr="00297714">
        <w:t xml:space="preserve">The </w:t>
      </w:r>
      <w:r>
        <w:t xml:space="preserve">main </w:t>
      </w:r>
      <w:r w:rsidR="00C73E33">
        <w:t>objectives</w:t>
      </w:r>
      <w:r w:rsidRPr="00297714">
        <w:t xml:space="preserve"> of the ISO’s regional system planning process </w:t>
      </w:r>
      <w:r w:rsidR="00267826">
        <w:t xml:space="preserve">are </w:t>
      </w:r>
      <w:r w:rsidRPr="00297714">
        <w:t xml:space="preserve">to identify system enhancements required to ensure the reliability of the system, facilitate the efficient operation of the markets, and </w:t>
      </w:r>
      <w:r w:rsidR="00510D89">
        <w:t>provide information to regional stakeholders</w:t>
      </w:r>
      <w:r w:rsidR="003647E5">
        <w:t xml:space="preserve">, who can use the information to </w:t>
      </w:r>
      <w:r w:rsidR="00B678D7" w:rsidRPr="005C43F0">
        <w:t>conduct</w:t>
      </w:r>
      <w:r w:rsidR="003647E5">
        <w:t xml:space="preserve"> </w:t>
      </w:r>
      <w:r w:rsidR="00B678D7" w:rsidRPr="005C43F0">
        <w:t>independent analyses and further develop</w:t>
      </w:r>
      <w:r w:rsidR="003647E5">
        <w:t xml:space="preserve"> </w:t>
      </w:r>
      <w:r w:rsidR="00B678D7" w:rsidRPr="005C43F0">
        <w:t xml:space="preserve">system </w:t>
      </w:r>
      <w:r w:rsidR="003174D8" w:rsidRPr="003174D8">
        <w:t xml:space="preserve">improvements. The development of </w:t>
      </w:r>
      <w:r w:rsidR="00D4331C" w:rsidRPr="00D4331C">
        <w:t>needed supply and demand</w:t>
      </w:r>
      <w:r w:rsidR="00960A95">
        <w:t xml:space="preserve"> </w:t>
      </w:r>
      <w:r w:rsidR="003174D8" w:rsidRPr="003174D8">
        <w:t xml:space="preserve">resources and transmission upgrades supports the reliable operation of the power system for the short and long term. The </w:t>
      </w:r>
      <w:r w:rsidR="005E4A8B">
        <w:t xml:space="preserve">transmission </w:t>
      </w:r>
      <w:r w:rsidR="003174D8" w:rsidRPr="003174D8">
        <w:t>upgrades also enhance the region’s ability to support a robust, competitive wholesale power market by reliably moving power from various internal and external sources to the region’s load centers.</w:t>
      </w:r>
      <w:r w:rsidR="00BC2A84" w:rsidRPr="00BC2A84">
        <w:rPr>
          <w:rStyle w:val="FootnoteReference"/>
          <w:sz w:val="22"/>
        </w:rPr>
        <w:footnoteReference w:id="42"/>
      </w:r>
      <w:r w:rsidR="003174D8" w:rsidRPr="00BC2A84">
        <w:t xml:space="preserve"> </w:t>
      </w:r>
      <w:r w:rsidR="003174D8" w:rsidRPr="003174D8">
        <w:t>In addition to meeting regional reliability needs and supporting the markets, additional transmission infrastructure can build a foundation for integrating new resources, including renewables.</w:t>
      </w:r>
    </w:p>
    <w:p w:rsidR="00FC0261" w:rsidRDefault="009807A0" w:rsidP="00235A65">
      <w:pPr>
        <w:pStyle w:val="Heading4"/>
      </w:pPr>
      <w:r>
        <w:t xml:space="preserve">Working with </w:t>
      </w:r>
      <w:r w:rsidR="00801E7F" w:rsidRPr="002F10E5">
        <w:t xml:space="preserve">the Planning Advisory Committee </w:t>
      </w:r>
    </w:p>
    <w:p w:rsidR="00EC1FC5" w:rsidRDefault="00832C7A">
      <w:r>
        <w:rPr>
          <w:noProof/>
        </w:rPr>
        <w:pict>
          <v:shape id="_x0000_s1043" type="#_x0000_t202" style="position:absolute;margin-left:12337.1pt;margin-top:8.1pt;width:304.65pt;height:198.8pt;z-index:251751424;mso-wrap-distance-top:7.2pt;mso-wrap-distance-bottom:7.2pt;mso-position-horizontal:right;mso-width-relative:margin;mso-height-relative:margin" fillcolor="#ebe8e6 [665]" strokecolor="black [3213]" strokeweight=".25pt">
            <v:fill color2="#ebe8e6 [665]"/>
            <v:shadow type="perspective" color="#4e473f [1609]" opacity=".5" offset="1pt" offset2="-3pt"/>
            <v:textbox style="mso-next-textbox:#_x0000_s1043" inset="8.64pt,8.64pt,8.64pt,8.64pt">
              <w:txbxContent>
                <w:p w:rsidR="003C78A4" w:rsidRPr="00CB2EA7" w:rsidRDefault="003C78A4" w:rsidP="001035C0">
                  <w:pPr>
                    <w:pStyle w:val="BodyText1"/>
                  </w:pPr>
                  <w:r w:rsidRPr="000D27C1">
                    <w:t>”Specifically, the Planning Advisory Committee serves to review and provide input and comment on:  (i) the development of the RSP, (ii) assumptions for studies, (iii) the results of Needs Assessments and Solutions Studies, and (iv) potential market responses to the needs identified by the ISO in a Needs Assessment or the RSP. The Planning Advisory Committee, with the assistance of and in coordination with the ISO, serves also to identify and prioritize requests for Economic Studies to be performed by the ISO, and provides input and feedback to the ISO concerning the conduct of Economic Studies, including the criteria and assumptions for such studies.” (Attachment K, §</w:t>
                  </w:r>
                  <w:r>
                    <w:t xml:space="preserve"> </w:t>
                  </w:r>
                  <w:r w:rsidRPr="000D27C1">
                    <w:t>2.2)</w:t>
                  </w:r>
                </w:p>
                <w:p w:rsidR="003C78A4" w:rsidRDefault="003C78A4" w:rsidP="001035C0">
                  <w:pPr>
                    <w:pStyle w:val="BodyText1"/>
                  </w:pPr>
                  <w:r w:rsidRPr="000D27C1">
                    <w:t xml:space="preserve"> “Any entity, including State regulators or agencies and, if in existence, a Regional State Committee or similarly situated entity, as specified in Attachment</w:t>
                  </w:r>
                  <w:r>
                    <w:t> </w:t>
                  </w:r>
                  <w:r w:rsidRPr="000D27C1">
                    <w:t>N of the OATT, may designate a member to the Planning Advisory Committee</w:t>
                  </w:r>
                  <w:r>
                    <w:t xml:space="preserve"> . . . </w:t>
                  </w:r>
                  <w:r w:rsidRPr="000D27C1">
                    <w:t>”</w:t>
                  </w:r>
                  <w:r>
                    <w:t xml:space="preserve"> </w:t>
                  </w:r>
                  <w:r w:rsidRPr="000D27C1">
                    <w:t>(Attachment K, §</w:t>
                  </w:r>
                  <w:r>
                    <w:t xml:space="preserve"> </w:t>
                  </w:r>
                  <w:r w:rsidRPr="000D27C1">
                    <w:t xml:space="preserve">2.3) </w:t>
                  </w:r>
                </w:p>
                <w:p w:rsidR="003C78A4" w:rsidRPr="00575155" w:rsidRDefault="003C78A4" w:rsidP="001035C0">
                  <w:pPr>
                    <w:pStyle w:val="BodyText1"/>
                  </w:pPr>
                  <w:r w:rsidRPr="000D27C1">
                    <w:t>“Meetings of the Planning Advisory Committee shall be held as frequently as necessary to serve the purposes stated in Section 2.2 of this Attachment and as further specified elsewhere in this Attachment, generally expected to be no less than four (4) times per year.” (Attachment K, §</w:t>
                  </w:r>
                  <w:r>
                    <w:t xml:space="preserve"> </w:t>
                  </w:r>
                  <w:r w:rsidRPr="000D27C1">
                    <w:t>2.4)</w:t>
                  </w:r>
                </w:p>
              </w:txbxContent>
            </v:textbox>
            <w10:wrap type="square"/>
          </v:shape>
        </w:pict>
      </w:r>
      <w:r w:rsidR="002A6C4D" w:rsidRPr="00891B35">
        <w:t xml:space="preserve">The primary means of conducting the </w:t>
      </w:r>
      <w:r w:rsidR="005C503D">
        <w:t xml:space="preserve">system planning </w:t>
      </w:r>
      <w:r w:rsidR="002A6C4D" w:rsidRPr="00891B35">
        <w:t xml:space="preserve">process is through the open </w:t>
      </w:r>
      <w:r w:rsidR="00BE654F">
        <w:t xml:space="preserve">and transparent </w:t>
      </w:r>
      <w:r w:rsidR="002A6C4D" w:rsidRPr="00891B35">
        <w:t xml:space="preserve">stakeholder forum with the </w:t>
      </w:r>
      <w:r w:rsidR="002A6C4D" w:rsidRPr="00103A26">
        <w:t>PA</w:t>
      </w:r>
      <w:r w:rsidR="002A6C4D" w:rsidRPr="000778A9">
        <w:t>C</w:t>
      </w:r>
      <w:r w:rsidR="005E4A8B">
        <w:t>. T</w:t>
      </w:r>
      <w:r w:rsidR="003174D8" w:rsidRPr="003174D8">
        <w:t xml:space="preserve">he ISO has worked closely with the region’s stakeholders through </w:t>
      </w:r>
      <w:r w:rsidR="00BE654F">
        <w:t xml:space="preserve">this </w:t>
      </w:r>
      <w:r w:rsidR="003174D8" w:rsidRPr="003174D8">
        <w:t xml:space="preserve">process. </w:t>
      </w:r>
      <w:r w:rsidR="00D3293B">
        <w:t>Several PAC sessions for RSP10 focused on particular issues, such as</w:t>
      </w:r>
      <w:r w:rsidR="00DF2C60" w:rsidRPr="00DF2C60">
        <w:t xml:space="preserve"> </w:t>
      </w:r>
      <w:r w:rsidR="00DF2C60">
        <w:t>the planning process (March 8),</w:t>
      </w:r>
      <w:r w:rsidR="00D3293B">
        <w:t xml:space="preserve"> the effect of the economy on the load forecast (March 18), and environmental issues (May 25).</w:t>
      </w:r>
      <w:r w:rsidR="00DF2C60">
        <w:t xml:space="preserve"> </w:t>
      </w:r>
      <w:r w:rsidR="00C872B1">
        <w:t>For RSP10, t</w:t>
      </w:r>
      <w:r w:rsidR="00D3293B">
        <w:t xml:space="preserve">he </w:t>
      </w:r>
      <w:r w:rsidR="00D3293B" w:rsidRPr="00297714">
        <w:t>ISO and the PAC have discussed all draft study scopes of work, assumptions, draft results, and final study results</w:t>
      </w:r>
      <w:r w:rsidR="00D3293B">
        <w:t>.</w:t>
      </w:r>
      <w:r w:rsidR="000625A5" w:rsidRPr="00342A84">
        <w:rPr>
          <w:rStyle w:val="FootnoteReference"/>
          <w:sz w:val="22"/>
        </w:rPr>
        <w:footnoteReference w:id="43"/>
      </w:r>
      <w:r w:rsidR="00D3293B" w:rsidRPr="00342A84">
        <w:t xml:space="preserve"> </w:t>
      </w:r>
      <w:r w:rsidR="00D3293B">
        <w:t xml:space="preserve">They also have </w:t>
      </w:r>
      <w:r w:rsidR="00D3293B" w:rsidRPr="004F7B72">
        <w:t xml:space="preserve">discussed </w:t>
      </w:r>
      <w:r w:rsidR="004F7B72" w:rsidRPr="004F7B72">
        <w:t>e</w:t>
      </w:r>
      <w:r w:rsidR="003174D8" w:rsidRPr="004F7B72">
        <w:t xml:space="preserve">conomic </w:t>
      </w:r>
      <w:r w:rsidR="004F7B72" w:rsidRPr="004F7B72">
        <w:t>s</w:t>
      </w:r>
      <w:r w:rsidR="003174D8" w:rsidRPr="004F7B72">
        <w:t>tudy</w:t>
      </w:r>
      <w:r w:rsidR="00D3293B" w:rsidRPr="004F7B72">
        <w:t xml:space="preserve"> proposals</w:t>
      </w:r>
      <w:r w:rsidR="00D3293B" w:rsidRPr="00297714">
        <w:t xml:space="preserve">, scopes of work, assumptions, </w:t>
      </w:r>
      <w:r w:rsidR="00D3293B">
        <w:t xml:space="preserve">and </w:t>
      </w:r>
      <w:r w:rsidR="00D3293B" w:rsidRPr="00297714">
        <w:t xml:space="preserve">draft and final results. </w:t>
      </w:r>
      <w:r w:rsidR="00D3293B">
        <w:t>For RSP10, as in past years, f</w:t>
      </w:r>
      <w:r w:rsidR="00D3293B" w:rsidRPr="00297714">
        <w:t>eedback from the PAC has been referred to NEPOOL technical committees.</w:t>
      </w:r>
      <w:r w:rsidR="00C872B1" w:rsidRPr="00C323B0">
        <w:t xml:space="preserve"> </w:t>
      </w:r>
    </w:p>
    <w:p w:rsidR="00FC0261" w:rsidRDefault="009807A0" w:rsidP="00235A65">
      <w:pPr>
        <w:pStyle w:val="Heading4"/>
      </w:pPr>
      <w:r w:rsidRPr="00FC0920">
        <w:t>Forecasting Demand</w:t>
      </w:r>
      <w:r w:rsidR="008C42F4">
        <w:t xml:space="preserve"> and Determining System Needs</w:t>
      </w:r>
    </w:p>
    <w:p w:rsidR="002A6C4D" w:rsidRPr="00FC0920" w:rsidRDefault="00832C7A" w:rsidP="008C42F4">
      <w:r>
        <w:pict>
          <v:shape id="_x0000_s1040" type="#_x0000_t202" style="position:absolute;margin-left:3103.4pt;margin-top:46pt;width:298.6pt;height:414.75pt;z-index:251740160;mso-wrap-distance-top:7.2pt;mso-wrap-distance-bottom:7.2pt;mso-position-horizontal:right;mso-width-relative:margin;mso-height-relative:margin" fillcolor="#ebe8e6 [665]" strokecolor="black [3213]" strokeweight=".25pt">
            <v:fill color2="#ebe8e6 [665]"/>
            <v:shadow type="perspective" color="#4e473f [1609]" opacity=".5" offset="1pt" offset2="-3pt"/>
            <v:textbox style="mso-next-textbox:#_x0000_s1040" inset="8.64pt,8.64pt,8.64pt,8.64pt">
              <w:txbxContent>
                <w:p w:rsidR="003C78A4" w:rsidRDefault="003C78A4" w:rsidP="00624E91">
                  <w:pPr>
                    <w:pStyle w:val="BodyText1"/>
                    <w:rPr>
                      <w:rFonts w:cs="Arial"/>
                      <w:szCs w:val="16"/>
                    </w:rPr>
                  </w:pPr>
                  <w:r w:rsidRPr="00656652">
                    <w:rPr>
                      <w:rFonts w:cs="Arial"/>
                      <w:szCs w:val="16"/>
                    </w:rPr>
                    <w:t xml:space="preserve">“The RSP shall address needs of the PTF system determined by the ISO </w:t>
                  </w:r>
                  <w:r w:rsidRPr="000E3F0C">
                    <w:rPr>
                      <w:rFonts w:cs="Arial"/>
                      <w:szCs w:val="16"/>
                    </w:rPr>
                    <w:t>through Needs Assessments</w:t>
                  </w:r>
                  <w:r w:rsidRPr="00656652">
                    <w:rPr>
                      <w:rFonts w:cs="Arial"/>
                      <w:szCs w:val="16"/>
                    </w:rPr>
                    <w:t xml:space="preserve"> initiated and updated on an ongoing basis by the ISO to:  (i) account for changes in the PTF system conditions; (ii) ensure reliability of the PTF system; (iii) comply with national and regional planning standards, criteria and procedures; and (iv) account for market performance and economic, environmental and other considerations as may be agreed upon from time to time.”  (Attachment K, §</w:t>
                  </w:r>
                  <w:r>
                    <w:rPr>
                      <w:rFonts w:cs="Arial"/>
                      <w:szCs w:val="16"/>
                    </w:rPr>
                    <w:t xml:space="preserve"> </w:t>
                  </w:r>
                  <w:r w:rsidRPr="00656652">
                    <w:rPr>
                      <w:rFonts w:cs="Arial"/>
                      <w:szCs w:val="16"/>
                    </w:rPr>
                    <w:t xml:space="preserve">1) </w:t>
                  </w:r>
                </w:p>
                <w:p w:rsidR="003C78A4" w:rsidRDefault="003C78A4" w:rsidP="00624E91">
                  <w:pPr>
                    <w:pStyle w:val="BodyText1"/>
                  </w:pPr>
                  <w:r w:rsidRPr="000D27C1">
                    <w:rPr>
                      <w:i/>
                      <w:sz w:val="14"/>
                      <w:szCs w:val="14"/>
                    </w:rPr>
                    <w:t>“</w:t>
                  </w:r>
                  <w:r w:rsidRPr="00156D15">
                    <w:t>In addition, the RSP shall also provide information on a broad variety of power system requirements that serves as input for reviewing the design of the markets and the overall economic performance of the system</w:t>
                  </w:r>
                  <w:r w:rsidRPr="00947047">
                    <w:t>.</w:t>
                  </w:r>
                  <w:r>
                    <w:t>”</w:t>
                  </w:r>
                  <w:r w:rsidRPr="00947047">
                    <w:t xml:space="preserve"> (Attachment K, §</w:t>
                  </w:r>
                  <w:r>
                    <w:t> </w:t>
                  </w:r>
                  <w:r w:rsidRPr="00947047">
                    <w:t>1)</w:t>
                  </w:r>
                </w:p>
                <w:p w:rsidR="003C78A4" w:rsidRPr="00A61EB4" w:rsidRDefault="003C78A4" w:rsidP="00F41D66">
                  <w:pPr>
                    <w:pStyle w:val="BodyText1"/>
                    <w:rPr>
                      <w:rFonts w:cs="Arial"/>
                      <w:szCs w:val="16"/>
                    </w:rPr>
                  </w:pPr>
                  <w:r w:rsidRPr="00656652">
                    <w:rPr>
                      <w:rFonts w:cs="Arial"/>
                      <w:szCs w:val="16"/>
                    </w:rPr>
                    <w:t>“The ISO shall incorporate market responses that have met the criteria</w:t>
                  </w:r>
                  <w:r>
                    <w:rPr>
                      <w:rFonts w:cs="Arial"/>
                      <w:szCs w:val="16"/>
                    </w:rPr>
                    <w:t xml:space="preserve">  . . </w:t>
                  </w:r>
                  <w:r w:rsidRPr="00656652">
                    <w:rPr>
                      <w:rFonts w:cs="Arial"/>
                      <w:szCs w:val="16"/>
                    </w:rPr>
                    <w:t>into the Needs Assessments or the Regional System Plan (“RSP”) . . . Where market responses incorporated into the Need Assessments do not eliminate or address the needs identified by the ISO in Needs Assessments or the R</w:t>
                  </w:r>
                  <w:r>
                    <w:rPr>
                      <w:rFonts w:cs="Arial"/>
                      <w:szCs w:val="16"/>
                    </w:rPr>
                    <w:t>S</w:t>
                  </w:r>
                  <w:r w:rsidRPr="00656652">
                    <w:rPr>
                      <w:rFonts w:cs="Arial"/>
                      <w:szCs w:val="16"/>
                    </w:rPr>
                    <w:t xml:space="preserve">P, the ISO shall develop or evaluate . . . regulated transmission solutions proposed in </w:t>
                  </w:r>
                  <w:r w:rsidRPr="00D4331C">
                    <w:rPr>
                      <w:rFonts w:cs="Arial"/>
                      <w:szCs w:val="16"/>
                    </w:rPr>
                    <w:t>response to the needs identified by the ISO.” (Attachment K, §</w:t>
                  </w:r>
                  <w:r>
                    <w:rPr>
                      <w:rFonts w:cs="Arial"/>
                      <w:szCs w:val="16"/>
                    </w:rPr>
                    <w:t xml:space="preserve"> </w:t>
                  </w:r>
                  <w:r w:rsidRPr="00D4331C">
                    <w:rPr>
                      <w:rFonts w:cs="Arial"/>
                      <w:szCs w:val="16"/>
                    </w:rPr>
                    <w:t>1)</w:t>
                  </w:r>
                </w:p>
                <w:p w:rsidR="003C78A4" w:rsidRDefault="003C78A4" w:rsidP="00624E91">
                  <w:pPr>
                    <w:pStyle w:val="BodyText1"/>
                  </w:pPr>
                  <w:r w:rsidRPr="00D4331C">
                    <w:t xml:space="preserve">“The RSP </w:t>
                  </w:r>
                  <w:r w:rsidRPr="00A964CE">
                    <w:t>shall, among other things . . . (iii) specify</w:t>
                  </w:r>
                  <w:r w:rsidRPr="00D4331C">
                    <w:t xml:space="preserve"> the physical characteristics of the physical solutions that can meet the needs defined in the Needs Assessments and include information on market responses that can address them; (iv) provide sufficient information to allow Market Participants to assess the quantity, general locations, operating characteristics and required availability criteria of the type of incremental supply or demand-side resources, or merchant transmission projects, that would satisfy the identified needs or that may serve to modify, offset or defer proposed regulated transmission upgrades.” (Attachment K, §</w:t>
                  </w:r>
                  <w:r>
                    <w:t xml:space="preserve"> </w:t>
                  </w:r>
                  <w:r w:rsidRPr="00D4331C">
                    <w:t>3.1)</w:t>
                  </w:r>
                </w:p>
                <w:p w:rsidR="003C78A4" w:rsidRDefault="003C78A4" w:rsidP="00403E4C">
                  <w:pPr>
                    <w:pStyle w:val="BodyText1"/>
                  </w:pPr>
                  <w:r w:rsidRPr="000D27C1">
                    <w:t xml:space="preserve">”On a regular and ongoing basis, the ISO, in coordination with the PTOs and the Planning Advisory Committee, shall conduct assessments (i.e., </w:t>
                  </w:r>
                  <w:r w:rsidRPr="000E3F0C">
                    <w:t>Needs Assessments) of the</w:t>
                  </w:r>
                  <w:r w:rsidRPr="000D27C1">
                    <w:t xml:space="preserve"> adequacy of the PTF system, as a whole or in part, to maintain the reliability of such facilities while promoting the operation of efficient wholesale electric markets in New England</w:t>
                  </w:r>
                  <w:r>
                    <w:t xml:space="preserve">. </w:t>
                  </w:r>
                  <w:r w:rsidRPr="000D27C1">
                    <w:t>A Needs Assessment shall also identify: (i) the location and nature of any potential problems with respect to the PTF and (ii) situations that significantly affect the reliable and efficient operation of the PTF along with any critical time constraints for addressing the needs of the PTF to facilitate the development of market responses and to initiate the pursuit of regulated transmission solutions.” (Attachment</w:t>
                  </w:r>
                  <w:r>
                    <w:t> </w:t>
                  </w:r>
                  <w:r w:rsidRPr="000D27C1">
                    <w:t>K, §</w:t>
                  </w:r>
                  <w:r>
                    <w:t xml:space="preserve"> </w:t>
                  </w:r>
                  <w:r w:rsidRPr="000D27C1">
                    <w:t>4.1)</w:t>
                  </w:r>
                </w:p>
                <w:p w:rsidR="003C78A4" w:rsidRDefault="003C78A4">
                  <w:pPr>
                    <w:pStyle w:val="BodyText1"/>
                  </w:pPr>
                </w:p>
              </w:txbxContent>
            </v:textbox>
            <w10:wrap type="square"/>
          </v:shape>
        </w:pict>
      </w:r>
      <w:r w:rsidR="003174D8" w:rsidRPr="003174D8">
        <w:t xml:space="preserve">The key drivers for determining </w:t>
      </w:r>
      <w:r w:rsidR="003647E5">
        <w:t xml:space="preserve">whether and where system improvements are </w:t>
      </w:r>
      <w:r w:rsidR="003174D8" w:rsidRPr="003174D8">
        <w:t>need</w:t>
      </w:r>
      <w:r w:rsidR="003647E5">
        <w:t>ed</w:t>
      </w:r>
      <w:r w:rsidR="003174D8" w:rsidRPr="003174D8">
        <w:t xml:space="preserve"> are the forecasts of the annual and peak use of electric energy over a five- to 10-year planning period.</w:t>
      </w:r>
      <w:r w:rsidR="009E4D2D">
        <w:t xml:space="preserve"> </w:t>
      </w:r>
      <w:r w:rsidR="003174D8" w:rsidRPr="003174D8">
        <w:t>RSP10 projects electric energy use for 2010 to 2019.</w:t>
      </w:r>
    </w:p>
    <w:p w:rsidR="00FC0920" w:rsidRPr="00F3534D" w:rsidRDefault="00D3293B" w:rsidP="008D66F1">
      <w:r w:rsidRPr="00E74313">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varied and complex interactions that occur among the </w:t>
      </w:r>
      <w:r w:rsidR="00D4331C" w:rsidRPr="00D4331C">
        <w:t>components and affect the overall performance of the system. Specifically, the electric power planning process in New England assesses the amounts and general locations of resources the overall system and individual areas of the system need, the types of resources that can satisfy these needs, and any critical time constraints for addressing them.</w:t>
      </w:r>
    </w:p>
    <w:p w:rsidR="00FC0261" w:rsidRPr="00F3534D" w:rsidRDefault="00D4331C" w:rsidP="00235A65">
      <w:pPr>
        <w:pStyle w:val="Heading4"/>
      </w:pPr>
      <w:r w:rsidRPr="00D4331C">
        <w:t>Developing Transmission and Nontransmission Alternatives to Address System Needs</w:t>
      </w:r>
    </w:p>
    <w:p w:rsidR="00BA5A1A" w:rsidRDefault="00D4331C" w:rsidP="00235A65">
      <w:r w:rsidRPr="00D4331C">
        <w:t xml:space="preserve"> </w:t>
      </w:r>
      <w:r w:rsidRPr="00D4331C">
        <w:rPr>
          <w:rFonts w:cs="Times New Roman"/>
        </w:rPr>
        <w:t>U</w:t>
      </w:r>
      <w:r w:rsidRPr="00D4331C">
        <w:t>sing information on defined system needs developed during the system planning process, a variety of established signals from ISO-administered markets, and other factors, stakeholders responsib</w:t>
      </w:r>
      <w:r w:rsidR="008B6D11" w:rsidRPr="00BA5A1A">
        <w:t xml:space="preserve">le for developing needed </w:t>
      </w:r>
      <w:r w:rsidRPr="00D4331C">
        <w:t>resources can assess their options for satisfying these needs and commit to developing projects.</w:t>
      </w:r>
      <w:r w:rsidR="0001370A" w:rsidRPr="00BA5A1A">
        <w:t xml:space="preserve"> </w:t>
      </w:r>
      <w:r w:rsidR="008B6D11" w:rsidRPr="00BA5A1A">
        <w:t>Stakeholders can, for example, build a new power plant to provide additional system capacity, participate in ISO programs to reduce the amount of electric energy used, or provide merchant transmission upgrades.</w:t>
      </w:r>
      <w:r w:rsidR="008B6D11" w:rsidRPr="00BA5A1A">
        <w:rPr>
          <w:rStyle w:val="FootnoteReference"/>
          <w:sz w:val="22"/>
        </w:rPr>
        <w:footnoteReference w:id="44"/>
      </w:r>
      <w:r w:rsidR="008B6D11" w:rsidRPr="00BA5A1A">
        <w:t xml:space="preserve"> </w:t>
      </w:r>
      <w:r w:rsidRPr="00D4331C">
        <w:t xml:space="preserve">These merchant transmission and </w:t>
      </w:r>
      <w:r w:rsidR="00A61EB4">
        <w:t>nontr</w:t>
      </w:r>
      <w:r w:rsidRPr="00D4331C">
        <w:t xml:space="preserve">ansmission alternatives </w:t>
      </w:r>
      <w:r w:rsidR="00A61EB4">
        <w:t xml:space="preserve">(NTAs) </w:t>
      </w:r>
      <w:r w:rsidR="003174D8" w:rsidRPr="00A61EB4">
        <w:t>could</w:t>
      </w:r>
      <w:r w:rsidR="003174D8" w:rsidRPr="00BA5A1A">
        <w:t xml:space="preserve"> result in modifying, offsetting, or deferring proposed regulated transmission </w:t>
      </w:r>
      <w:r w:rsidRPr="00D4331C">
        <w:t>upgrades.</w:t>
      </w:r>
      <w:bookmarkStart w:id="48" w:name="_Ref266446748"/>
      <w:r w:rsidRPr="00D4331C">
        <w:rPr>
          <w:rStyle w:val="FootnoteReference"/>
        </w:rPr>
        <w:t xml:space="preserve"> </w:t>
      </w:r>
      <w:r w:rsidRPr="00C527EB">
        <w:rPr>
          <w:rStyle w:val="FootnoteReference"/>
          <w:sz w:val="22"/>
        </w:rPr>
        <w:footnoteReference w:id="45"/>
      </w:r>
    </w:p>
    <w:p w:rsidR="00FC0261" w:rsidRDefault="00AB032F" w:rsidP="00235A65">
      <w:pPr>
        <w:pStyle w:val="Heading4"/>
      </w:pPr>
      <w:r w:rsidRPr="009E4D2D">
        <w:t>Developing Needs Assessments</w:t>
      </w:r>
      <w:r w:rsidR="00600BE9" w:rsidRPr="009E4D2D">
        <w:t>,</w:t>
      </w:r>
      <w:r w:rsidRPr="009E4D2D">
        <w:t xml:space="preserve"> Solutions Studies</w:t>
      </w:r>
      <w:r w:rsidR="00600BE9" w:rsidRPr="009E4D2D">
        <w:t xml:space="preserve">, and the </w:t>
      </w:r>
      <w:r w:rsidR="003174D8" w:rsidRPr="009E4D2D">
        <w:t>RSP Project List</w:t>
      </w:r>
      <w:bookmarkEnd w:id="48"/>
    </w:p>
    <w:p w:rsidR="00195F78" w:rsidRPr="002C67F6" w:rsidRDefault="00832C7A">
      <w:pPr>
        <w:pStyle w:val="CommentText"/>
        <w:rPr>
          <w:sz w:val="22"/>
          <w:szCs w:val="22"/>
        </w:rPr>
      </w:pPr>
      <w:r w:rsidRPr="00832C7A">
        <w:rPr>
          <w:noProof/>
        </w:rPr>
        <w:pict>
          <v:shape id="_x0000_s1038" type="#_x0000_t202" style="position:absolute;margin-left:6825.1pt;margin-top:65.95pt;width:212.9pt;height:147.3pt;z-index:251735040;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8" inset="8.64pt,8.64pt,8.64pt,8.64pt">
              <w:txbxContent>
                <w:p w:rsidR="003C78A4" w:rsidRPr="008B11F0" w:rsidRDefault="003C78A4" w:rsidP="000B2B18">
                  <w:pPr>
                    <w:pStyle w:val="BodyText1"/>
                  </w:pPr>
                  <w:r w:rsidRPr="008B11F0">
                    <w:t>“The RSP Project List shall identify regulated transmission solutions proposed in response to the needs identified in a RSP or Needs Assessments conducted pursuant to Section 4.1 of this Attachment. The RSP Project List shall identify the proposed regulated transmission solutions separately as either a Reliability Transmission Upgrade or a Market Efficiency Transmission Upgrade</w:t>
                  </w:r>
                  <w:r>
                    <w:t xml:space="preserve">. </w:t>
                  </w:r>
                  <w:r w:rsidRPr="008B11F0">
                    <w:t>The RSP Project List will be updated by the ISO periodically by adding, removing or revising regulated transmission solutions or Transmission Upgrades in consultation with the Planning Advisory Committee and, as appropriate, the Reliability Committee.</w:t>
                  </w:r>
                  <w:r>
                    <w:t>”</w:t>
                  </w:r>
                  <w:r w:rsidRPr="008B11F0">
                    <w:t xml:space="preserve"> (Attachment K, §</w:t>
                  </w:r>
                  <w:r>
                    <w:t xml:space="preserve"> </w:t>
                  </w:r>
                  <w:r w:rsidRPr="008B11F0">
                    <w:t>3.6)</w:t>
                  </w:r>
                </w:p>
                <w:p w:rsidR="003C78A4" w:rsidRPr="00575155" w:rsidRDefault="003C78A4" w:rsidP="000B2B18">
                  <w:pPr>
                    <w:rPr>
                      <w:szCs w:val="14"/>
                    </w:rPr>
                  </w:pPr>
                </w:p>
              </w:txbxContent>
            </v:textbox>
            <w10:wrap type="square" anchorx="margin" anchory="margin"/>
          </v:shape>
        </w:pict>
      </w:r>
      <w:r w:rsidR="00CC4FB3" w:rsidRPr="002C67F6">
        <w:rPr>
          <w:sz w:val="22"/>
          <w:szCs w:val="22"/>
        </w:rPr>
        <w:t>To the extent that stakeholder responses to market signals are not forthcoming or adequate to meet identified system needs, the planning process requires the ISO, through the open stakeholder process, to conduct subsequent transmission planning to develop regulated transmission solutions that determine transmission infrastructure that can meet the identified needs.</w:t>
      </w:r>
      <w:r w:rsidR="003174D8" w:rsidRPr="002C67F6">
        <w:rPr>
          <w:sz w:val="22"/>
          <w:szCs w:val="22"/>
        </w:rPr>
        <w:t xml:space="preserve"> The ISO</w:t>
      </w:r>
      <w:r w:rsidR="000451B5" w:rsidRPr="002C67F6">
        <w:rPr>
          <w:sz w:val="22"/>
          <w:szCs w:val="22"/>
        </w:rPr>
        <w:t xml:space="preserve"> does not, however, have the authority to build needed resources or transmission</w:t>
      </w:r>
      <w:r w:rsidR="003174D8" w:rsidRPr="002C67F6">
        <w:rPr>
          <w:sz w:val="22"/>
          <w:szCs w:val="22"/>
        </w:rPr>
        <w:t>. With input from stakeholders, the ISO prepares Needs Assessments, which identify the need</w:t>
      </w:r>
      <w:r w:rsidR="00B14C5D" w:rsidRPr="002C67F6">
        <w:rPr>
          <w:sz w:val="22"/>
          <w:szCs w:val="22"/>
        </w:rPr>
        <w:t>s</w:t>
      </w:r>
      <w:r w:rsidR="003174D8" w:rsidRPr="002C67F6">
        <w:rPr>
          <w:sz w:val="22"/>
          <w:szCs w:val="22"/>
        </w:rPr>
        <w:t xml:space="preserve"> for transmission solutions, and Solutions Studies, which describe options for meeting the identified needs. Subsequent assessments report on the status of these solutions, which typically are implemented over several years. These</w:t>
      </w:r>
      <w:r w:rsidR="000451B5" w:rsidRPr="002C67F6">
        <w:rPr>
          <w:sz w:val="22"/>
          <w:szCs w:val="22"/>
        </w:rPr>
        <w:t xml:space="preserve"> transmission projects are part of the ISO’s </w:t>
      </w:r>
      <w:r w:rsidR="000451B5" w:rsidRPr="002C67F6">
        <w:rPr>
          <w:i/>
          <w:sz w:val="22"/>
          <w:szCs w:val="22"/>
        </w:rPr>
        <w:t>RSP Project List</w:t>
      </w:r>
      <w:r w:rsidR="000451B5" w:rsidRPr="002C67F6">
        <w:rPr>
          <w:sz w:val="22"/>
          <w:szCs w:val="22"/>
        </w:rPr>
        <w:t xml:space="preserve"> (see Section</w:t>
      </w:r>
      <w:r w:rsidR="00663230" w:rsidRPr="002C67F6">
        <w:rPr>
          <w:sz w:val="22"/>
          <w:szCs w:val="22"/>
        </w:rPr>
        <w:t xml:space="preserve"> </w:t>
      </w:r>
      <w:fldSimple w:instr=" REF _Ref267384963 \r \h  \* MERGEFORMAT ">
        <w:r w:rsidR="00E5699E" w:rsidRPr="00E5699E">
          <w:rPr>
            <w:sz w:val="22"/>
            <w:szCs w:val="22"/>
          </w:rPr>
          <w:t>6.3</w:t>
        </w:r>
      </w:fldSimple>
      <w:r w:rsidR="002E3FB4" w:rsidRPr="002C67F6">
        <w:rPr>
          <w:sz w:val="22"/>
          <w:szCs w:val="22"/>
        </w:rPr>
        <w:t xml:space="preserve">), </w:t>
      </w:r>
      <w:r w:rsidR="00946544" w:rsidRPr="002C67F6">
        <w:rPr>
          <w:sz w:val="22"/>
          <w:szCs w:val="22"/>
        </w:rPr>
        <w:t>which is updated several times per year</w:t>
      </w:r>
      <w:r w:rsidR="002E3FB4" w:rsidRPr="002C67F6">
        <w:rPr>
          <w:sz w:val="22"/>
          <w:szCs w:val="22"/>
        </w:rPr>
        <w:t xml:space="preserve"> and </w:t>
      </w:r>
      <w:r w:rsidR="00FE253A" w:rsidRPr="002C67F6">
        <w:rPr>
          <w:sz w:val="22"/>
          <w:szCs w:val="22"/>
        </w:rPr>
        <w:t xml:space="preserve">can be accessed in </w:t>
      </w:r>
      <w:r w:rsidR="002E3FB4" w:rsidRPr="002C67F6">
        <w:rPr>
          <w:sz w:val="22"/>
          <w:szCs w:val="22"/>
        </w:rPr>
        <w:t>Appendix A of this document</w:t>
      </w:r>
      <w:r w:rsidR="000451B5" w:rsidRPr="002C67F6">
        <w:rPr>
          <w:sz w:val="22"/>
          <w:szCs w:val="22"/>
        </w:rPr>
        <w:t>.</w:t>
      </w:r>
      <w:r w:rsidR="000451B5" w:rsidRPr="002C67F6">
        <w:rPr>
          <w:rStyle w:val="FootnoteReference"/>
          <w:sz w:val="22"/>
          <w:szCs w:val="22"/>
        </w:rPr>
        <w:footnoteReference w:id="46"/>
      </w:r>
      <w:r w:rsidR="000F3FB0" w:rsidRPr="002C67F6">
        <w:rPr>
          <w:sz w:val="22"/>
          <w:szCs w:val="22"/>
        </w:rPr>
        <w:t xml:space="preserve"> </w:t>
      </w:r>
    </w:p>
    <w:p w:rsidR="00FC0261" w:rsidRDefault="001035C0" w:rsidP="00235A65">
      <w:pPr>
        <w:pStyle w:val="Heading4"/>
      </w:pPr>
      <w:r>
        <w:t>Providing Information to Stakeholders</w:t>
      </w:r>
    </w:p>
    <w:p w:rsidR="00946544" w:rsidRDefault="001035C0" w:rsidP="00946544">
      <w:r w:rsidRPr="003174D8">
        <w:t xml:space="preserve">To </w:t>
      </w:r>
      <w:r>
        <w:t xml:space="preserve">provide </w:t>
      </w:r>
      <w:r w:rsidRPr="003174D8">
        <w:t>th</w:t>
      </w:r>
      <w:r>
        <w:t>e needed information to stakeholders</w:t>
      </w:r>
      <w:r w:rsidRPr="006347B3">
        <w:t xml:space="preserve">, </w:t>
      </w:r>
      <w:r w:rsidR="00946544" w:rsidRPr="006347B3">
        <w:t xml:space="preserve">including developers interested in </w:t>
      </w:r>
      <w:r w:rsidR="00D4331C" w:rsidRPr="00D4331C">
        <w:t>developing supply and demand resource alternatives to transmission projects, the ISO issues the comprehensive annual</w:t>
      </w:r>
      <w:r w:rsidRPr="003174D8">
        <w:t xml:space="preserve"> Regional System Plan</w:t>
      </w:r>
      <w:r w:rsidR="006347B3">
        <w:t xml:space="preserve">, the </w:t>
      </w:r>
      <w:r w:rsidRPr="003174D8">
        <w:rPr>
          <w:i/>
        </w:rPr>
        <w:t xml:space="preserve">RSP Project </w:t>
      </w:r>
      <w:r w:rsidRPr="006347B3">
        <w:rPr>
          <w:i/>
        </w:rPr>
        <w:t>List</w:t>
      </w:r>
      <w:r w:rsidR="00946544" w:rsidRPr="006347B3">
        <w:t>, Needs Assessments, and Solutions Studies</w:t>
      </w:r>
      <w:r w:rsidR="009E4D2D">
        <w:t>.</w:t>
      </w:r>
      <w:r w:rsidR="00946544" w:rsidRPr="006347B3">
        <w:t xml:space="preserve"> In addition</w:t>
      </w:r>
      <w:r w:rsidR="00946544" w:rsidRPr="003174D8">
        <w:t>, the ISO posts on its Web site detailed supplemental information to the RSP process, such as the Annual Markets Report, presentations, and other reports.</w:t>
      </w:r>
      <w:r w:rsidR="00946544" w:rsidRPr="003174D8">
        <w:rPr>
          <w:rStyle w:val="FootnoteReference"/>
          <w:sz w:val="22"/>
        </w:rPr>
        <w:footnoteReference w:id="47"/>
      </w:r>
      <w:r w:rsidR="00946544" w:rsidRPr="003174D8">
        <w:t xml:space="preserve"> The ISO also makes available databases used in its analyses</w:t>
      </w:r>
      <w:r w:rsidR="00946544">
        <w:t>,</w:t>
      </w:r>
      <w:r w:rsidR="00946544" w:rsidRPr="003174D8">
        <w:t xml:space="preserve"> consistent with FERC policies and the ISO Information Policy requirements pertaining to both confidential information and critical energy infrastructure information (CEII) requirements.</w:t>
      </w:r>
      <w:r w:rsidR="00946544" w:rsidRPr="00787E82">
        <w:rPr>
          <w:rStyle w:val="FootnoteReference"/>
          <w:sz w:val="22"/>
        </w:rPr>
        <w:footnoteReference w:id="48"/>
      </w:r>
      <w:r w:rsidR="00946544" w:rsidRPr="003174D8">
        <w:t xml:space="preserve"> </w:t>
      </w:r>
    </w:p>
    <w:p w:rsidR="00FC0261" w:rsidRDefault="00832C7A" w:rsidP="00235A65">
      <w:pPr>
        <w:pStyle w:val="Heading4"/>
      </w:pPr>
      <w:r>
        <w:rPr>
          <w:noProof/>
        </w:rPr>
        <w:pict>
          <v:shape id="_x0000_s1041" type="#_x0000_t202" style="position:absolute;left:0;text-align:left;margin-left:5402.55pt;margin-top:12.6pt;width:182.15pt;height:58.25pt;z-index:251742208;mso-wrap-distance-top:7.2pt;mso-wrap-distance-bottom:7.2pt;mso-position-horizontal:right;mso-width-relative:margin;mso-height-relative:margin" fillcolor="#ebe8e6 [665]" strokecolor="black [3213]" strokeweight=".25pt">
            <v:fill color2="#ebe8e6 [665]"/>
            <v:shadow type="perspective" color="#4e473f [1609]" opacity=".5" offset="1pt" offset2="-3pt"/>
            <v:textbox style="mso-next-textbox:#_x0000_s1041" inset="8.64pt,8.64pt,8.64pt,8.64pt">
              <w:txbxContent>
                <w:p w:rsidR="003C78A4" w:rsidRPr="00CB2EA7" w:rsidRDefault="003C78A4" w:rsidP="0024646D">
                  <w:pPr>
                    <w:pStyle w:val="BodyText1"/>
                    <w:rPr>
                      <w:sz w:val="14"/>
                      <w:szCs w:val="14"/>
                    </w:rPr>
                  </w:pPr>
                  <w:r>
                    <w:t>“</w:t>
                  </w:r>
                  <w:r w:rsidRPr="00947047">
                    <w:t>The RSP shall also describe the coordination of the ISO’s regional system plans with regional, local and inter-area planning activities.”  (Attachment K, §</w:t>
                  </w:r>
                  <w:r>
                    <w:t xml:space="preserve"> </w:t>
                  </w:r>
                  <w:r w:rsidRPr="00947047">
                    <w:t>1)</w:t>
                  </w:r>
                </w:p>
              </w:txbxContent>
            </v:textbox>
            <w10:wrap type="square"/>
          </v:shape>
        </w:pict>
      </w:r>
      <w:r w:rsidR="00FE6018" w:rsidRPr="00FC0920">
        <w:t>Coordinating with Neighboring Areas</w:t>
      </w:r>
    </w:p>
    <w:p w:rsidR="00EE7CBB" w:rsidRDefault="00403E4C" w:rsidP="00EE7CBB">
      <w:r w:rsidRPr="002E7A00">
        <w:t xml:space="preserve">In developing the Regional System Plans, the ISO also is required to coordinate study efforts with surrounding RTOs and balancing authority areas and </w:t>
      </w:r>
      <w:r w:rsidR="00075498">
        <w:t xml:space="preserve">to </w:t>
      </w:r>
      <w:r w:rsidRPr="002E7A00">
        <w:t>analyze information and data presented in neighboring plans.</w:t>
      </w:r>
      <w:r w:rsidR="00947FB7" w:rsidRPr="00BC2A84">
        <w:rPr>
          <w:rStyle w:val="FootnoteReference"/>
          <w:sz w:val="22"/>
        </w:rPr>
        <w:footnoteReference w:id="49"/>
      </w:r>
      <w:r w:rsidR="00EE7CBB">
        <w:t xml:space="preserve"> This is achieved through a number of interregional agreements and joint studies with neighboring regions and across the entire Eastern Interconnection. </w:t>
      </w:r>
    </w:p>
    <w:p w:rsidR="00FC0261" w:rsidRDefault="00832C7A" w:rsidP="00235A65">
      <w:pPr>
        <w:pStyle w:val="Heading4"/>
      </w:pPr>
      <w:r>
        <w:pict>
          <v:shape id="_x0000_s1039" type="#_x0000_t202" style="position:absolute;left:0;text-align:left;margin-left:7813.05pt;margin-top:29.55pt;width:239.6pt;height:156pt;z-index:251738112;mso-wrap-distance-top:7.2pt;mso-wrap-distance-bottom:7.2pt;mso-position-horizontal:right;mso-width-relative:margin;mso-height-relative:margin;v-text-anchor:middle" fillcolor="#ebe8e6 [665]" strokecolor="black [3213]" strokeweight=".25pt">
            <v:fill color2="#ebe8e6 [665]"/>
            <v:shadow type="perspective" color="#4e473f [1609]" opacity=".5" offset="1pt" offset2="-3pt"/>
            <v:textbox style="mso-next-textbox:#_x0000_s1039" inset="8.64pt,8.64pt,8.64pt,8.64pt">
              <w:txbxContent>
                <w:p w:rsidR="003C78A4" w:rsidRDefault="003C78A4" w:rsidP="003207E3">
                  <w:pPr>
                    <w:pStyle w:val="BodyText1"/>
                  </w:pPr>
                  <w:r w:rsidRPr="000D27C1">
                    <w:t>”The RSP shall conform to:  Good Utility Practice; applicable Commission compliance requirements related to the regional system planning process; applicable reliability principles, guidelines, criteria, rules, procedures and standards of the ERO, NPCC, and any of their successors; planning criteria adopted and/or developed by the ISO; Transmission Owner criteria, rules, standards, guides and policies developed by the Transmission Owner for its facilities consistent with the ISO planning criteria, the applicable criteria of the ERO and NPCC; local transmission planning criteria; and the ISO New England Planning Procedures and ISO New England Operating Procedures, as they may be amended from time to time (collectively, the “Planning and Reliability Criteria”).” (Attachment</w:t>
                  </w:r>
                  <w:r>
                    <w:t> </w:t>
                  </w:r>
                  <w:r w:rsidRPr="000D27C1">
                    <w:t>K, §</w:t>
                  </w:r>
                  <w:r>
                    <w:t xml:space="preserve"> </w:t>
                  </w:r>
                  <w:r w:rsidRPr="000D27C1">
                    <w:t>3.3)</w:t>
                  </w:r>
                </w:p>
                <w:p w:rsidR="003C78A4" w:rsidRPr="00575155" w:rsidRDefault="003C78A4" w:rsidP="003207E3">
                  <w:pPr>
                    <w:pStyle w:val="BodyText1"/>
                  </w:pPr>
                </w:p>
              </w:txbxContent>
            </v:textbox>
            <w10:wrap type="square"/>
          </v:shape>
        </w:pict>
      </w:r>
      <w:r w:rsidR="003174D8" w:rsidRPr="003174D8">
        <w:t>Meeting All Requirements</w:t>
      </w:r>
    </w:p>
    <w:p w:rsidR="00403E4C" w:rsidRDefault="003174D8" w:rsidP="00073277">
      <w:r w:rsidRPr="003174D8">
        <w:t xml:space="preserve">In addition to complying with the ISO tariffs, </w:t>
      </w:r>
      <w:r w:rsidR="00FE3919">
        <w:t>which reflect the improvements to the regional planning process adopted in 2008 to comply with the planning principles required by FERC Order</w:t>
      </w:r>
      <w:r w:rsidR="005549D1">
        <w:t> </w:t>
      </w:r>
      <w:r w:rsidR="00FE3919">
        <w:t>890, R</w:t>
      </w:r>
      <w:r w:rsidRPr="003174D8">
        <w:t>SP10 complies with North American Electric Reliability Corporation (NERC) and Northeast Power Coordinating Council (NPCC) criteria and standards</w:t>
      </w:r>
      <w:r w:rsidR="00FE3919">
        <w:t>,</w:t>
      </w:r>
      <w:r w:rsidRPr="003174D8">
        <w:t xml:space="preserve"> as well as ISO planning and operating procedures.</w:t>
      </w:r>
      <w:r w:rsidR="004D6764">
        <w:rPr>
          <w:rStyle w:val="FootnoteReference"/>
          <w:sz w:val="22"/>
        </w:rPr>
        <w:footnoteReference w:id="50"/>
      </w:r>
      <w:r w:rsidRPr="003174D8">
        <w:t xml:space="preserve"> RSP10 also conforms to transmission owner criteria, rules, standards, guides, and policies consistent with NERC, NPCC, and ISO criteria, standards, and procedures.</w:t>
      </w:r>
    </w:p>
    <w:p w:rsidR="003207E3" w:rsidRDefault="00D3293B" w:rsidP="00073277">
      <w:r>
        <w:t xml:space="preserve">Regional system planning must account for the uncertainty in assumptions made about the next 10 years stemming from changing demand, fuel prices, technologies, market rules, and environmental requirements; other relevant events; and the physical conditions under which the system might be </w:t>
      </w:r>
      <w:r w:rsidRPr="002E7A00">
        <w:t xml:space="preserve">operating. </w:t>
      </w:r>
      <w:r w:rsidR="0028386B">
        <w:t xml:space="preserve">The development and retirement of resources and changes in the load forecast are major factors affecting the development and timing of needed transmission facilities. </w:t>
      </w:r>
      <w:r w:rsidRPr="00D93D8A">
        <w:t>While each</w:t>
      </w:r>
      <w:r>
        <w:t xml:space="preserve"> RSP represents a snapshot in </w:t>
      </w:r>
      <w:r w:rsidR="00D4331C" w:rsidRPr="00D4331C">
        <w:t>time, the</w:t>
      </w:r>
      <w:r>
        <w:t xml:space="preserve"> planning process is continuous, and the results are revisited as </w:t>
      </w:r>
      <w:r w:rsidR="00D4331C" w:rsidRPr="00D4331C">
        <w:t xml:space="preserve">needed as new </w:t>
      </w:r>
      <w:r w:rsidR="00D4331C" w:rsidRPr="00D4331C">
        <w:rPr>
          <w:rFonts w:cs="Times New Roman"/>
        </w:rPr>
        <w:t>information becomes available.</w:t>
      </w:r>
    </w:p>
    <w:p w:rsidR="002878A4" w:rsidRDefault="00D3293B" w:rsidP="009D1346">
      <w:pPr>
        <w:pStyle w:val="Heading2"/>
      </w:pPr>
      <w:bookmarkStart w:id="49" w:name="_Ref173210348"/>
      <w:bookmarkStart w:id="50" w:name="_Toc176244985"/>
      <w:bookmarkStart w:id="51" w:name="_Toc201669902"/>
      <w:bookmarkStart w:id="52" w:name="_Toc207531802"/>
      <w:bookmarkStart w:id="53" w:name="_Toc239157046"/>
      <w:bookmarkStart w:id="54" w:name="_Toc271632205"/>
      <w:r w:rsidRPr="009E3456">
        <w:t xml:space="preserve">Overview of the New England </w:t>
      </w:r>
      <w:r w:rsidR="00A62E87">
        <w:t xml:space="preserve">Electric </w:t>
      </w:r>
      <w:r w:rsidRPr="009E3456">
        <w:t>Power System</w:t>
      </w:r>
      <w:bookmarkEnd w:id="49"/>
      <w:bookmarkEnd w:id="50"/>
      <w:bookmarkEnd w:id="51"/>
      <w:bookmarkEnd w:id="52"/>
      <w:bookmarkEnd w:id="53"/>
      <w:bookmarkEnd w:id="54"/>
    </w:p>
    <w:p w:rsidR="00D3293B" w:rsidRDefault="00D3293B" w:rsidP="00073277">
      <w:r w:rsidRPr="00D93D8A">
        <w:t>Since 1971, New England’s electric power grid has been planned and operated as a unified system of its NEPOOL members.</w:t>
      </w:r>
      <w:r w:rsidR="00FE3919" w:rsidRPr="00165BAE">
        <w:rPr>
          <w:rStyle w:val="FootnoteReference"/>
          <w:sz w:val="22"/>
        </w:rPr>
        <w:footnoteReference w:id="51"/>
      </w:r>
      <w:r>
        <w:t xml:space="preserve"> The New England </w:t>
      </w:r>
      <w:r w:rsidRPr="002E7A00">
        <w:t>system integrates resources with the transmission system</w:t>
      </w:r>
      <w:r>
        <w:t xml:space="preserve"> to serve all regional </w:t>
      </w:r>
      <w:r w:rsidRPr="003A319D">
        <w:t xml:space="preserve">load </w:t>
      </w:r>
      <w:r>
        <w:t>regardless of state boundaries. Most of the transmission lines are relatively short and networked as a grid. Therefore, the electrical performance in one part of the system affects all areas of the system.</w:t>
      </w:r>
    </w:p>
    <w:p w:rsidR="00D3293B" w:rsidRDefault="00D3293B" w:rsidP="00073277">
      <w:r>
        <w:t xml:space="preserve">As shown in </w:t>
      </w:r>
      <w:fldSimple w:instr=" REF _Ref173207023 \h  \* MERGEFORMAT ">
        <w:r w:rsidR="00E5699E">
          <w:t xml:space="preserve">Figure </w:t>
        </w:r>
        <w:r w:rsidR="00E5699E">
          <w:rPr>
            <w:noProof/>
          </w:rPr>
          <w:t>2</w:t>
        </w:r>
        <w:r w:rsidR="00E5699E">
          <w:rPr>
            <w:noProof/>
          </w:rPr>
          <w:noBreakHyphen/>
          <w:t>1</w:t>
        </w:r>
      </w:fldSimple>
      <w:r>
        <w:t xml:space="preserve">, the New England regional electric power system serves </w:t>
      </w:r>
      <w:r w:rsidRPr="00267BCF">
        <w:t>14 m</w:t>
      </w:r>
      <w:r>
        <w:t xml:space="preserve">illion people living in a 68,000 square-mile area. </w:t>
      </w:r>
      <w:r w:rsidRPr="00152E89">
        <w:t>More than 300 generating units, representing approximately 32,000 </w:t>
      </w:r>
      <w:r w:rsidR="00BC2A84">
        <w:t>megawatts (</w:t>
      </w:r>
      <w:r w:rsidRPr="00152E89">
        <w:t>MW</w:t>
      </w:r>
      <w:r w:rsidR="00BC2A84">
        <w:t>)</w:t>
      </w:r>
      <w:r w:rsidRPr="00152E89">
        <w:t xml:space="preserve"> of total generating capacity, produce </w:t>
      </w:r>
      <w:r w:rsidR="00D4331C" w:rsidRPr="00D4331C">
        <w:t>electric energy</w:t>
      </w:r>
      <w:r w:rsidR="00AF07A5">
        <w:t xml:space="preserve">, </w:t>
      </w:r>
      <w:r w:rsidR="00D4331C" w:rsidRPr="00D4331C">
        <w:t>measured in megawatt-hours (MWh). Most of these facilities are</w:t>
      </w:r>
      <w:r w:rsidRPr="00152E89">
        <w:t xml:space="preserve"> connected </w:t>
      </w:r>
      <w:r w:rsidR="009123E6">
        <w:t>through</w:t>
      </w:r>
      <w:r w:rsidRPr="00152E89">
        <w:t xml:space="preserve"> over 8,000 miles of</w:t>
      </w:r>
      <w:r>
        <w:t xml:space="preserve"> high-voltage transmission </w:t>
      </w:r>
      <w:r w:rsidRPr="00D93D8A">
        <w:t xml:space="preserve">lines. </w:t>
      </w:r>
      <w:r w:rsidRPr="000B0192">
        <w:t>Thirteen</w:t>
      </w:r>
      <w:r>
        <w:t xml:space="preserve"> </w:t>
      </w:r>
      <w:r w:rsidRPr="00C61DD4">
        <w:t>tie lines</w:t>
      </w:r>
      <w:r w:rsidRPr="001A4375">
        <w:t xml:space="preserve"> interconnect</w:t>
      </w:r>
      <w:r>
        <w:t xml:space="preserve"> </w:t>
      </w:r>
      <w:r w:rsidRPr="00D93D8A">
        <w:t xml:space="preserve">New England with neighboring </w:t>
      </w:r>
      <w:r w:rsidR="003133C2">
        <w:t>New York S</w:t>
      </w:r>
      <w:r w:rsidRPr="00D93D8A">
        <w:t xml:space="preserve">tate and </w:t>
      </w:r>
      <w:r w:rsidR="003133C2">
        <w:t xml:space="preserve">the </w:t>
      </w:r>
      <w:r w:rsidRPr="00D93D8A">
        <w:t xml:space="preserve">provinces of New Brunswick and Québec, </w:t>
      </w:r>
      <w:r w:rsidRPr="00E61901">
        <w:t xml:space="preserve">Canada. </w:t>
      </w:r>
      <w:r w:rsidR="00DF2C60" w:rsidRPr="00E61901">
        <w:t xml:space="preserve">Demand resources now play a significant role in operating the New England power system. </w:t>
      </w:r>
      <w:r w:rsidRPr="00E61901">
        <w:t xml:space="preserve">As of summer 2010, </w:t>
      </w:r>
      <w:r w:rsidR="003174D8" w:rsidRPr="003174D8">
        <w:t>approximately 1,</w:t>
      </w:r>
      <w:r w:rsidR="004A41CE" w:rsidRPr="003174D8">
        <w:t>900</w:t>
      </w:r>
      <w:r w:rsidR="004A41CE">
        <w:t> </w:t>
      </w:r>
      <w:r w:rsidR="00FE6018" w:rsidRPr="00FE6018">
        <w:t>MW of</w:t>
      </w:r>
      <w:r w:rsidRPr="00E61901">
        <w:t xml:space="preserve"> demand resources representing load reductions and </w:t>
      </w:r>
      <w:r w:rsidR="00977C19">
        <w:t>“</w:t>
      </w:r>
      <w:r w:rsidRPr="00E61901">
        <w:t>behind-the-meter</w:t>
      </w:r>
      <w:r w:rsidR="00977C19">
        <w:t>”</w:t>
      </w:r>
      <w:r w:rsidRPr="00E61901">
        <w:t xml:space="preserve"> generators are registered as part of ISO’s Forward Capacity Market.</w:t>
      </w:r>
      <w:r w:rsidRPr="00E61901">
        <w:rPr>
          <w:rStyle w:val="FootnoteReference"/>
          <w:sz w:val="22"/>
        </w:rPr>
        <w:footnoteReference w:id="52"/>
      </w:r>
      <w:r w:rsidR="004A41CE">
        <w:t xml:space="preserve"> </w:t>
      </w:r>
    </w:p>
    <w:tbl>
      <w:tblPr>
        <w:tblpPr w:leftFromText="180" w:rightFromText="180" w:vertAnchor="text" w:tblpXSpec="center" w:tblpY="1"/>
        <w:tblOverlap w:val="never"/>
        <w:tblW w:w="8519" w:type="dxa"/>
        <w:tblBorders>
          <w:top w:val="single" w:sz="2" w:space="0" w:color="auto"/>
          <w:left w:val="single" w:sz="2" w:space="0" w:color="auto"/>
          <w:bottom w:val="single" w:sz="2" w:space="0" w:color="auto"/>
          <w:right w:val="single" w:sz="2" w:space="0" w:color="auto"/>
        </w:tblBorders>
        <w:tblLook w:val="01E0"/>
      </w:tblPr>
      <w:tblGrid>
        <w:gridCol w:w="5411"/>
        <w:gridCol w:w="3108"/>
      </w:tblGrid>
      <w:tr w:rsidR="00D3293B" w:rsidRPr="00D24E77" w:rsidTr="00140DD3">
        <w:trPr>
          <w:trHeight w:val="6270"/>
        </w:trPr>
        <w:tc>
          <w:tcPr>
            <w:tcW w:w="5411" w:type="dxa"/>
          </w:tcPr>
          <w:p w:rsidR="00D3293B" w:rsidRDefault="00D3293B" w:rsidP="00B14C5D">
            <w:r>
              <w:rPr>
                <w:noProof/>
              </w:rPr>
              <w:drawing>
                <wp:inline distT="0" distB="0" distL="0" distR="0">
                  <wp:extent cx="3025140" cy="3954780"/>
                  <wp:effectExtent l="19050" t="0" r="3810" b="0"/>
                  <wp:docPr id="5"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20" cstate="print"/>
                          <a:srcRect/>
                          <a:stretch>
                            <a:fillRect/>
                          </a:stretch>
                        </pic:blipFill>
                        <pic:spPr bwMode="auto">
                          <a:xfrm>
                            <a:off x="0" y="0"/>
                            <a:ext cx="3025140" cy="3954780"/>
                          </a:xfrm>
                          <a:prstGeom prst="rect">
                            <a:avLst/>
                          </a:prstGeom>
                          <a:noFill/>
                          <a:ln w="9525">
                            <a:noFill/>
                            <a:miter lim="800000"/>
                            <a:headEnd/>
                            <a:tailEnd/>
                          </a:ln>
                        </pic:spPr>
                      </pic:pic>
                    </a:graphicData>
                  </a:graphic>
                </wp:inline>
              </w:drawing>
            </w:r>
          </w:p>
        </w:tc>
        <w:tc>
          <w:tcPr>
            <w:tcW w:w="3108" w:type="dxa"/>
            <w:vAlign w:val="center"/>
          </w:tcPr>
          <w:p w:rsidR="00825060" w:rsidRDefault="00D3293B" w:rsidP="00BB34F0">
            <w:pPr>
              <w:numPr>
                <w:ilvl w:val="0"/>
                <w:numId w:val="32"/>
              </w:numPr>
              <w:spacing w:before="120" w:after="120" w:line="240" w:lineRule="auto"/>
              <w:ind w:left="360"/>
              <w:rPr>
                <w:rFonts w:ascii="Arial" w:hAnsi="Arial" w:cs="Arial"/>
                <w:sz w:val="16"/>
                <w:szCs w:val="16"/>
              </w:rPr>
            </w:pPr>
            <w:r w:rsidRPr="007A7641">
              <w:rPr>
                <w:rFonts w:ascii="Arial" w:hAnsi="Arial" w:cs="Arial"/>
                <w:sz w:val="16"/>
                <w:szCs w:val="16"/>
              </w:rPr>
              <w:t>6.5 million households and businesses; population 14 million</w:t>
            </w:r>
          </w:p>
          <w:p w:rsidR="00675663" w:rsidRDefault="00D3293B" w:rsidP="00BB34F0">
            <w:pPr>
              <w:numPr>
                <w:ilvl w:val="0"/>
                <w:numId w:val="32"/>
              </w:numPr>
              <w:spacing w:after="120" w:line="240" w:lineRule="auto"/>
              <w:ind w:left="360"/>
              <w:rPr>
                <w:rFonts w:ascii="Arial" w:hAnsi="Arial" w:cs="Arial"/>
                <w:sz w:val="16"/>
                <w:szCs w:val="16"/>
              </w:rPr>
            </w:pPr>
            <w:r w:rsidRPr="007A7641">
              <w:rPr>
                <w:rFonts w:ascii="Arial" w:hAnsi="Arial" w:cs="Arial"/>
                <w:sz w:val="16"/>
                <w:szCs w:val="16"/>
              </w:rPr>
              <w:t xml:space="preserve">Over 300 generators </w:t>
            </w:r>
          </w:p>
          <w:p w:rsidR="00404577" w:rsidRPr="009A19C5" w:rsidRDefault="0076739E" w:rsidP="00BB34F0">
            <w:pPr>
              <w:numPr>
                <w:ilvl w:val="0"/>
                <w:numId w:val="32"/>
              </w:numPr>
              <w:spacing w:after="120" w:line="240" w:lineRule="auto"/>
              <w:ind w:left="360"/>
              <w:rPr>
                <w:rFonts w:ascii="Arial" w:hAnsi="Arial" w:cs="Arial"/>
                <w:sz w:val="16"/>
                <w:szCs w:val="16"/>
              </w:rPr>
            </w:pPr>
            <w:r>
              <w:rPr>
                <w:rFonts w:ascii="Arial" w:hAnsi="Arial" w:cs="Arial"/>
                <w:sz w:val="16"/>
                <w:szCs w:val="16"/>
              </w:rPr>
              <w:t>32,000 MW of total generation</w:t>
            </w:r>
            <w:r w:rsidR="00404577" w:rsidRPr="00A12257">
              <w:rPr>
                <w:rFonts w:ascii="Arial" w:hAnsi="Arial" w:cs="Arial"/>
                <w:sz w:val="16"/>
                <w:szCs w:val="16"/>
              </w:rPr>
              <w:t xml:space="preserve"> </w:t>
            </w:r>
          </w:p>
          <w:p w:rsidR="00675663" w:rsidRDefault="00D3293B" w:rsidP="00BB34F0">
            <w:pPr>
              <w:numPr>
                <w:ilvl w:val="0"/>
                <w:numId w:val="32"/>
              </w:numPr>
              <w:spacing w:after="120" w:line="240" w:lineRule="auto"/>
              <w:ind w:left="360"/>
              <w:rPr>
                <w:rFonts w:ascii="Arial" w:hAnsi="Arial" w:cs="Arial"/>
                <w:sz w:val="16"/>
                <w:szCs w:val="16"/>
              </w:rPr>
            </w:pPr>
            <w:r w:rsidRPr="007A7641">
              <w:rPr>
                <w:rFonts w:ascii="Arial" w:hAnsi="Arial" w:cs="Arial"/>
                <w:sz w:val="16"/>
                <w:szCs w:val="16"/>
              </w:rPr>
              <w:t>Over 8,000 miles of transmission lines</w:t>
            </w:r>
          </w:p>
          <w:p w:rsidR="0046242C" w:rsidRDefault="0046242C" w:rsidP="0046242C">
            <w:pPr>
              <w:numPr>
                <w:ilvl w:val="0"/>
                <w:numId w:val="32"/>
              </w:numPr>
              <w:spacing w:after="120" w:line="240" w:lineRule="auto"/>
              <w:ind w:left="360"/>
              <w:rPr>
                <w:rFonts w:ascii="Arial" w:hAnsi="Arial" w:cs="Arial"/>
                <w:sz w:val="16"/>
                <w:szCs w:val="16"/>
              </w:rPr>
            </w:pPr>
            <w:r w:rsidRPr="007A7641">
              <w:rPr>
                <w:rFonts w:ascii="Arial" w:hAnsi="Arial" w:cs="Arial"/>
                <w:sz w:val="16"/>
                <w:szCs w:val="16"/>
              </w:rPr>
              <w:t>13 interconnections to electricity systems in New York and Canada</w:t>
            </w:r>
          </w:p>
          <w:p w:rsidR="00675663" w:rsidRPr="009A19C5" w:rsidRDefault="00A12257" w:rsidP="00BB34F0">
            <w:pPr>
              <w:numPr>
                <w:ilvl w:val="0"/>
                <w:numId w:val="32"/>
              </w:numPr>
              <w:spacing w:after="120" w:line="240" w:lineRule="auto"/>
              <w:ind w:left="360"/>
              <w:rPr>
                <w:rFonts w:ascii="Arial" w:hAnsi="Arial" w:cs="Arial"/>
                <w:sz w:val="16"/>
                <w:szCs w:val="16"/>
              </w:rPr>
            </w:pPr>
            <w:r w:rsidRPr="00A12257">
              <w:rPr>
                <w:rFonts w:ascii="Arial" w:hAnsi="Arial" w:cs="Arial"/>
                <w:sz w:val="16"/>
                <w:szCs w:val="16"/>
              </w:rPr>
              <w:t>About 1,900 MW of demand-resources</w:t>
            </w:r>
          </w:p>
          <w:p w:rsidR="00675663" w:rsidRDefault="00D3293B" w:rsidP="00BB34F0">
            <w:pPr>
              <w:numPr>
                <w:ilvl w:val="0"/>
                <w:numId w:val="32"/>
              </w:numPr>
              <w:spacing w:after="120" w:line="240" w:lineRule="auto"/>
              <w:ind w:left="360"/>
              <w:rPr>
                <w:rFonts w:ascii="Arial" w:hAnsi="Arial" w:cs="Arial"/>
                <w:sz w:val="16"/>
                <w:szCs w:val="16"/>
              </w:rPr>
            </w:pPr>
            <w:r w:rsidRPr="007A7641">
              <w:rPr>
                <w:rFonts w:ascii="Arial" w:hAnsi="Arial" w:cs="Arial"/>
                <w:sz w:val="16"/>
                <w:szCs w:val="16"/>
              </w:rPr>
              <w:t>All-time peak demand of 28,130 MW, set on August 2, 2006</w:t>
            </w:r>
          </w:p>
          <w:p w:rsidR="00675663" w:rsidRPr="00D604A4" w:rsidRDefault="00D3293B" w:rsidP="00BB34F0">
            <w:pPr>
              <w:numPr>
                <w:ilvl w:val="0"/>
                <w:numId w:val="32"/>
              </w:numPr>
              <w:spacing w:after="120" w:line="240" w:lineRule="auto"/>
              <w:ind w:left="360"/>
              <w:rPr>
                <w:rFonts w:ascii="Arial" w:hAnsi="Arial" w:cs="Arial"/>
                <w:sz w:val="16"/>
                <w:szCs w:val="16"/>
              </w:rPr>
            </w:pPr>
            <w:r w:rsidRPr="007A7641">
              <w:rPr>
                <w:rFonts w:ascii="Arial" w:hAnsi="Arial" w:cs="Arial"/>
                <w:sz w:val="16"/>
                <w:szCs w:val="16"/>
              </w:rPr>
              <w:t xml:space="preserve">More than 400 participants in the marketplace (those who generate, buy, sell, transport, and use wholesale electricity and implement </w:t>
            </w:r>
            <w:r w:rsidRPr="00D604A4">
              <w:rPr>
                <w:rFonts w:ascii="Arial" w:hAnsi="Arial" w:cs="Arial"/>
                <w:sz w:val="16"/>
                <w:szCs w:val="16"/>
              </w:rPr>
              <w:t>demand resources)</w:t>
            </w:r>
          </w:p>
          <w:p w:rsidR="00675663" w:rsidRPr="00D604A4" w:rsidRDefault="00960E6C" w:rsidP="00BB34F0">
            <w:pPr>
              <w:numPr>
                <w:ilvl w:val="0"/>
                <w:numId w:val="32"/>
              </w:numPr>
              <w:spacing w:after="120" w:line="240" w:lineRule="auto"/>
              <w:ind w:left="360"/>
              <w:rPr>
                <w:rFonts w:ascii="Arial" w:hAnsi="Arial" w:cs="Arial"/>
                <w:sz w:val="16"/>
                <w:szCs w:val="16"/>
              </w:rPr>
            </w:pPr>
            <w:r w:rsidRPr="00D604A4">
              <w:rPr>
                <w:rFonts w:ascii="Arial" w:hAnsi="Arial" w:cs="Arial"/>
                <w:sz w:val="16"/>
                <w:szCs w:val="16"/>
              </w:rPr>
              <w:t>$7.5 billion t</w:t>
            </w:r>
            <w:r w:rsidR="001C57D4" w:rsidRPr="00D604A4">
              <w:rPr>
                <w:rFonts w:ascii="Arial" w:hAnsi="Arial" w:cs="Arial"/>
                <w:sz w:val="16"/>
                <w:szCs w:val="16"/>
              </w:rPr>
              <w:t>otal market value;</w:t>
            </w:r>
            <w:r w:rsidR="006C5496">
              <w:rPr>
                <w:rFonts w:ascii="Arial" w:hAnsi="Arial" w:cs="Arial"/>
                <w:sz w:val="16"/>
                <w:szCs w:val="16"/>
              </w:rPr>
              <w:br/>
            </w:r>
            <w:r w:rsidR="00A12257" w:rsidRPr="00D604A4">
              <w:rPr>
                <w:rFonts w:ascii="Arial" w:hAnsi="Arial" w:cs="Arial"/>
                <w:sz w:val="16"/>
                <w:szCs w:val="16"/>
              </w:rPr>
              <w:t>$5.3 billion energy market</w:t>
            </w:r>
          </w:p>
          <w:p w:rsidR="00675663" w:rsidRDefault="00D3293B" w:rsidP="00BB34F0">
            <w:pPr>
              <w:numPr>
                <w:ilvl w:val="0"/>
                <w:numId w:val="32"/>
              </w:numPr>
              <w:spacing w:after="120" w:line="240" w:lineRule="auto"/>
              <w:ind w:left="360"/>
              <w:rPr>
                <w:rFonts w:ascii="Arial" w:hAnsi="Arial" w:cs="Arial"/>
                <w:sz w:val="16"/>
                <w:szCs w:val="16"/>
              </w:rPr>
            </w:pPr>
            <w:r w:rsidRPr="007A7641">
              <w:rPr>
                <w:rFonts w:ascii="Arial" w:hAnsi="Arial" w:cs="Arial"/>
                <w:sz w:val="16"/>
                <w:szCs w:val="16"/>
              </w:rPr>
              <w:t xml:space="preserve">More </w:t>
            </w:r>
            <w:r w:rsidR="00BC6F21" w:rsidRPr="00BC6F21">
              <w:rPr>
                <w:rFonts w:ascii="Arial" w:hAnsi="Arial" w:cs="Arial"/>
                <w:sz w:val="16"/>
                <w:szCs w:val="16"/>
              </w:rPr>
              <w:t>than $4.0 billion</w:t>
            </w:r>
            <w:r w:rsidRPr="007A7641">
              <w:rPr>
                <w:rFonts w:ascii="Arial" w:hAnsi="Arial" w:cs="Arial"/>
                <w:sz w:val="16"/>
                <w:szCs w:val="16"/>
              </w:rPr>
              <w:t xml:space="preserve"> in transmission investment from 2002 through </w:t>
            </w:r>
            <w:r w:rsidR="00E706F2">
              <w:rPr>
                <w:rFonts w:ascii="Arial" w:hAnsi="Arial" w:cs="Arial"/>
                <w:sz w:val="16"/>
                <w:szCs w:val="16"/>
              </w:rPr>
              <w:t>2010</w:t>
            </w:r>
            <w:r w:rsidRPr="007A7641">
              <w:rPr>
                <w:rFonts w:ascii="Arial" w:hAnsi="Arial" w:cs="Arial"/>
                <w:sz w:val="16"/>
                <w:szCs w:val="16"/>
              </w:rPr>
              <w:t xml:space="preserve"> to enhance system reliability</w:t>
            </w:r>
            <w:r w:rsidR="00D4331C" w:rsidRPr="00D4331C">
              <w:rPr>
                <w:rFonts w:ascii="Arial" w:hAnsi="Arial" w:cs="Arial"/>
                <w:sz w:val="16"/>
                <w:szCs w:val="16"/>
              </w:rPr>
              <w:t>; approximately $5 billion</w:t>
            </w:r>
            <w:r w:rsidR="00A238D1">
              <w:rPr>
                <w:rFonts w:ascii="Arial" w:hAnsi="Arial" w:cs="Arial"/>
                <w:sz w:val="16"/>
                <w:szCs w:val="16"/>
              </w:rPr>
              <w:t xml:space="preserve"> </w:t>
            </w:r>
            <w:r w:rsidRPr="007A7641">
              <w:rPr>
                <w:rFonts w:ascii="Arial" w:hAnsi="Arial" w:cs="Arial"/>
                <w:sz w:val="16"/>
                <w:szCs w:val="16"/>
              </w:rPr>
              <w:t>planned over the next 10 years</w:t>
            </w:r>
          </w:p>
          <w:p w:rsidR="006C5496" w:rsidRDefault="006C5496" w:rsidP="00BB34F0">
            <w:pPr>
              <w:numPr>
                <w:ilvl w:val="0"/>
                <w:numId w:val="32"/>
              </w:numPr>
              <w:spacing w:after="0" w:line="240" w:lineRule="auto"/>
              <w:ind w:left="360"/>
              <w:rPr>
                <w:rFonts w:ascii="Arial" w:hAnsi="Arial" w:cs="Arial"/>
                <w:sz w:val="16"/>
                <w:szCs w:val="16"/>
              </w:rPr>
            </w:pPr>
            <w:r w:rsidRPr="007A7641">
              <w:rPr>
                <w:rFonts w:ascii="Arial" w:hAnsi="Arial" w:cs="Arial"/>
                <w:sz w:val="16"/>
                <w:szCs w:val="16"/>
              </w:rPr>
              <w:t>S</w:t>
            </w:r>
            <w:r w:rsidR="00525507">
              <w:rPr>
                <w:rFonts w:ascii="Arial" w:hAnsi="Arial" w:cs="Arial"/>
                <w:sz w:val="16"/>
                <w:szCs w:val="16"/>
              </w:rPr>
              <w:t>even</w:t>
            </w:r>
            <w:r w:rsidRPr="007A7641">
              <w:rPr>
                <w:rFonts w:ascii="Arial" w:hAnsi="Arial" w:cs="Arial"/>
                <w:sz w:val="16"/>
                <w:szCs w:val="16"/>
              </w:rPr>
              <w:t xml:space="preserve"> major 345-kilovolt projects</w:t>
            </w:r>
            <w:r w:rsidRPr="002E7A00">
              <w:t xml:space="preserve"> </w:t>
            </w:r>
            <w:r w:rsidRPr="007A7641">
              <w:rPr>
                <w:rFonts w:ascii="Arial" w:hAnsi="Arial" w:cs="Arial"/>
                <w:sz w:val="16"/>
                <w:szCs w:val="16"/>
              </w:rPr>
              <w:t>constructed in four states</w:t>
            </w:r>
          </w:p>
          <w:p w:rsidR="00675663" w:rsidRDefault="00675663" w:rsidP="00B14C5D">
            <w:pPr>
              <w:spacing w:after="120" w:line="240" w:lineRule="auto"/>
              <w:ind w:left="360"/>
            </w:pPr>
          </w:p>
        </w:tc>
      </w:tr>
    </w:tbl>
    <w:p w:rsidR="00D3293B" w:rsidRDefault="00DE768C" w:rsidP="002D7763">
      <w:pPr>
        <w:pStyle w:val="Caption-Figure"/>
        <w:spacing w:before="80" w:after="80"/>
        <w:ind w:left="446" w:right="360"/>
        <w:rPr>
          <w:rStyle w:val="Caption-Figure-Text"/>
          <w:b/>
          <w:bCs w:val="0"/>
          <w:sz w:val="16"/>
          <w:szCs w:val="16"/>
        </w:rPr>
      </w:pPr>
      <w:bookmarkStart w:id="55" w:name="_Ref173207023"/>
      <w:bookmarkStart w:id="56" w:name="_Toc176244955"/>
      <w:bookmarkStart w:id="57" w:name="_Toc200440095"/>
      <w:bookmarkStart w:id="58" w:name="_Toc207531926"/>
      <w:bookmarkStart w:id="59" w:name="_Toc239157181"/>
      <w:bookmarkStart w:id="60" w:name="_Toc271552366"/>
      <w:r>
        <w:t xml:space="preserve">Figure </w:t>
      </w:r>
      <w:r w:rsidR="00832C7A">
        <w:fldChar w:fldCharType="begin"/>
      </w:r>
      <w:r w:rsidR="00807C8D">
        <w:instrText xml:space="preserve"> STYLEREF 1 \s </w:instrText>
      </w:r>
      <w:r w:rsidR="00832C7A">
        <w:fldChar w:fldCharType="separate"/>
      </w:r>
      <w:r w:rsidR="00E5699E">
        <w:rPr>
          <w:noProof/>
        </w:rPr>
        <w:t>2</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55"/>
      <w:r w:rsidR="00D3293B" w:rsidRPr="00D24E77">
        <w:t xml:space="preserve">: Key facts about New England’s electric power system and wholesale electricity </w:t>
      </w:r>
      <w:r w:rsidR="00D3293B" w:rsidRPr="0001368A">
        <w:t>market</w:t>
      </w:r>
      <w:r w:rsidR="00A674BE">
        <w:t>s</w:t>
      </w:r>
      <w:r w:rsidR="00D3293B" w:rsidRPr="0001368A">
        <w:t>, 2009</w:t>
      </w:r>
      <w:bookmarkEnd w:id="56"/>
      <w:bookmarkEnd w:id="57"/>
      <w:bookmarkEnd w:id="58"/>
      <w:bookmarkEnd w:id="59"/>
      <w:r w:rsidR="00662103">
        <w:t>.</w:t>
      </w:r>
      <w:bookmarkEnd w:id="60"/>
      <w:r w:rsidR="00662103">
        <w:t xml:space="preserve"> </w:t>
      </w:r>
    </w:p>
    <w:p w:rsidR="00D3293B" w:rsidRPr="007A7641" w:rsidRDefault="00D3293B" w:rsidP="006B255C">
      <w:pPr>
        <w:spacing w:line="240" w:lineRule="auto"/>
        <w:ind w:left="450" w:right="360"/>
        <w:rPr>
          <w:rFonts w:ascii="Arial" w:hAnsi="Arial" w:cs="Arial"/>
          <w:sz w:val="16"/>
          <w:szCs w:val="16"/>
        </w:rPr>
      </w:pPr>
      <w:r w:rsidRPr="007A7641">
        <w:rPr>
          <w:rFonts w:ascii="Arial" w:hAnsi="Arial" w:cs="Arial"/>
          <w:b/>
          <w:sz w:val="16"/>
          <w:szCs w:val="16"/>
        </w:rPr>
        <w:t>Note:</w:t>
      </w:r>
      <w:r w:rsidRPr="007A7641">
        <w:rPr>
          <w:rFonts w:ascii="Arial" w:hAnsi="Arial" w:cs="Arial"/>
          <w:sz w:val="16"/>
          <w:szCs w:val="16"/>
        </w:rPr>
        <w:t xml:space="preserve"> The total load on August 2, 2006, would have been 28,770 MW had it not been reduced by approximately 640 MW, which included a 490 MW demand reduction in response to ISO Operating Procedure No. 4, </w:t>
      </w:r>
      <w:r w:rsidRPr="007A7641">
        <w:rPr>
          <w:rFonts w:ascii="Arial" w:hAnsi="Arial" w:cs="Arial"/>
          <w:i/>
          <w:sz w:val="16"/>
          <w:szCs w:val="16"/>
        </w:rPr>
        <w:t xml:space="preserve">Action during a Capacity Deficiency </w:t>
      </w:r>
      <w:r w:rsidRPr="007A7641">
        <w:rPr>
          <w:rFonts w:ascii="Arial" w:hAnsi="Arial" w:cs="Arial"/>
          <w:sz w:val="16"/>
          <w:szCs w:val="16"/>
        </w:rPr>
        <w:t xml:space="preserve">(OP 4); a 45 MW reduction of other interruptible OP 4 loads; and a 107 MW reduction of load as a result of price-response programs, which are outside of OP 4 actions. More information on OP 4 is available at </w:t>
      </w:r>
      <w:hyperlink r:id="rId21" w:history="1">
        <w:r w:rsidRPr="007A7641">
          <w:rPr>
            <w:rStyle w:val="Hyperlink"/>
            <w:rFonts w:ascii="Arial" w:hAnsi="Arial" w:cs="Arial"/>
            <w:color w:val="000000" w:themeColor="text1"/>
            <w:sz w:val="16"/>
            <w:szCs w:val="16"/>
            <w:u w:val="none"/>
          </w:rPr>
          <w:t>http://www.iso-ne.com/rules_proceds/operating/isone/op4/OP4_RTO_FIN.doc</w:t>
        </w:r>
      </w:hyperlink>
      <w:r w:rsidRPr="007A7641">
        <w:rPr>
          <w:rFonts w:ascii="Arial" w:hAnsi="Arial" w:cs="Arial"/>
          <w:color w:val="000000" w:themeColor="text1"/>
          <w:sz w:val="16"/>
          <w:szCs w:val="16"/>
        </w:rPr>
        <w:t>.</w:t>
      </w:r>
      <w:r w:rsidRPr="007A7641">
        <w:rPr>
          <w:rFonts w:ascii="Arial" w:hAnsi="Arial" w:cs="Arial"/>
          <w:sz w:val="16"/>
          <w:szCs w:val="16"/>
        </w:rPr>
        <w:t xml:space="preserve"> Also see </w:t>
      </w:r>
      <w:r w:rsidR="00832C7A">
        <w:rPr>
          <w:rFonts w:ascii="Arial" w:hAnsi="Arial" w:cs="Arial"/>
          <w:sz w:val="16"/>
          <w:szCs w:val="16"/>
        </w:rPr>
        <w:fldChar w:fldCharType="begin"/>
      </w:r>
      <w:r w:rsidR="0093639D">
        <w:rPr>
          <w:rFonts w:ascii="Arial" w:hAnsi="Arial" w:cs="Arial"/>
          <w:sz w:val="16"/>
          <w:szCs w:val="16"/>
        </w:rPr>
        <w:instrText xml:space="preserve"> REF _Ref262722844 \r \h </w:instrText>
      </w:r>
      <w:r w:rsidR="00832C7A">
        <w:rPr>
          <w:rFonts w:ascii="Arial" w:hAnsi="Arial" w:cs="Arial"/>
          <w:sz w:val="16"/>
          <w:szCs w:val="16"/>
        </w:rPr>
      </w:r>
      <w:r w:rsidR="00832C7A">
        <w:rPr>
          <w:rFonts w:ascii="Arial" w:hAnsi="Arial" w:cs="Arial"/>
          <w:sz w:val="16"/>
          <w:szCs w:val="16"/>
        </w:rPr>
        <w:fldChar w:fldCharType="separate"/>
      </w:r>
      <w:r w:rsidR="00E5699E">
        <w:rPr>
          <w:rFonts w:ascii="Arial" w:hAnsi="Arial" w:cs="Arial"/>
          <w:sz w:val="16"/>
          <w:szCs w:val="16"/>
        </w:rPr>
        <w:t>Section 4</w:t>
      </w:r>
      <w:r w:rsidR="00832C7A">
        <w:rPr>
          <w:rFonts w:ascii="Arial" w:hAnsi="Arial" w:cs="Arial"/>
          <w:sz w:val="16"/>
          <w:szCs w:val="16"/>
        </w:rPr>
        <w:fldChar w:fldCharType="end"/>
      </w:r>
      <w:r w:rsidR="0093639D">
        <w:rPr>
          <w:rFonts w:ascii="Arial" w:hAnsi="Arial" w:cs="Arial"/>
          <w:sz w:val="16"/>
          <w:szCs w:val="16"/>
        </w:rPr>
        <w:t>.</w:t>
      </w:r>
    </w:p>
    <w:p w:rsidR="00D3293B" w:rsidRDefault="00D3293B" w:rsidP="00073277">
      <w:r w:rsidRPr="0032426B">
        <w:t>The ISO’s all-time actual summer peak demand was 28,130 MW on August 2, 2006, which was due to extreme temperatures and humidity regionwide. In accordance with ISO operating procedures, demand-response programs were activated</w:t>
      </w:r>
      <w:r w:rsidR="003133C2" w:rsidRPr="0032426B">
        <w:t xml:space="preserve"> during this period</w:t>
      </w:r>
      <w:r w:rsidRPr="0032426B">
        <w:t>, which lowered th</w:t>
      </w:r>
      <w:r w:rsidR="00F91E38" w:rsidRPr="0032426B">
        <w:t>is</w:t>
      </w:r>
      <w:r w:rsidRPr="0032426B">
        <w:t xml:space="preserve"> peak by approximately 640 MW. Without these programs, the peak would have been approximately 28,770 MW.</w:t>
      </w:r>
      <w:r w:rsidRPr="0032426B">
        <w:rPr>
          <w:b/>
        </w:rPr>
        <w:t xml:space="preserve"> </w:t>
      </w:r>
      <w:r w:rsidRPr="0032426B">
        <w:t xml:space="preserve">The 2009 summer peak was much lower at </w:t>
      </w:r>
      <w:r w:rsidR="0032426B" w:rsidRPr="0032426B">
        <w:t xml:space="preserve">about </w:t>
      </w:r>
      <w:r w:rsidR="00A73FE0" w:rsidRPr="0032426B">
        <w:t xml:space="preserve">25,100 </w:t>
      </w:r>
      <w:r w:rsidRPr="0032426B">
        <w:t>MW</w:t>
      </w:r>
      <w:r w:rsidR="003133C2" w:rsidRPr="0032426B">
        <w:t>,</w:t>
      </w:r>
      <w:r w:rsidRPr="0032426B">
        <w:t xml:space="preserve"> </w:t>
      </w:r>
      <w:r w:rsidR="003133C2" w:rsidRPr="0032426B">
        <w:t xml:space="preserve">primarily because of mild summer weather conditions, </w:t>
      </w:r>
      <w:r w:rsidRPr="0032426B">
        <w:t>and would have been 682 MW higher without demand resources. The ISO’s all-time actual winter peak of 22,818</w:t>
      </w:r>
      <w:r w:rsidR="00451BBB">
        <w:t> </w:t>
      </w:r>
      <w:r w:rsidRPr="0032426B">
        <w:t xml:space="preserve">MW occurred on January 15, 2004. The 2009/2010 winter peak was much lower at 20,791 MW, </w:t>
      </w:r>
      <w:r w:rsidR="003133C2" w:rsidRPr="0032426B">
        <w:t xml:space="preserve">also because of less extreme weather conditions, </w:t>
      </w:r>
      <w:r w:rsidR="00075498">
        <w:t>and</w:t>
      </w:r>
      <w:r w:rsidRPr="0032426B">
        <w:t xml:space="preserve"> would have been 766 MW higher without demand resources.</w:t>
      </w:r>
    </w:p>
    <w:p w:rsidR="002878A4" w:rsidRDefault="00D3293B" w:rsidP="009D1346">
      <w:pPr>
        <w:pStyle w:val="Heading2"/>
      </w:pPr>
      <w:bookmarkStart w:id="61" w:name="_Ref234811928"/>
      <w:bookmarkStart w:id="62" w:name="_Toc239157047"/>
      <w:bookmarkStart w:id="63" w:name="_Toc271632206"/>
      <w:r>
        <w:t>Overview of t</w:t>
      </w:r>
      <w:r w:rsidRPr="00F33BD5">
        <w:t>he New England Wholesale Electricity Market Structure</w:t>
      </w:r>
      <w:bookmarkEnd w:id="61"/>
      <w:bookmarkEnd w:id="62"/>
      <w:bookmarkEnd w:id="63"/>
    </w:p>
    <w:p w:rsidR="00D3293B" w:rsidRPr="00647585" w:rsidRDefault="001A2332" w:rsidP="00073277">
      <w:r>
        <w:t xml:space="preserve">New England’s wholesale electricity </w:t>
      </w:r>
      <w:r w:rsidR="00D3293B" w:rsidRPr="00C56DB5">
        <w:t xml:space="preserve">markets </w:t>
      </w:r>
      <w:r w:rsidR="00F91E38">
        <w:t xml:space="preserve">facilitate the </w:t>
      </w:r>
      <w:r w:rsidR="00D3293B" w:rsidRPr="00C56DB5">
        <w:t>buy</w:t>
      </w:r>
      <w:r w:rsidR="00F91E38">
        <w:t>ing</w:t>
      </w:r>
      <w:r w:rsidR="00D3293B" w:rsidRPr="00C56DB5">
        <w:t>, sell</w:t>
      </w:r>
      <w:r w:rsidR="00F91E38">
        <w:t>ing</w:t>
      </w:r>
      <w:r w:rsidR="00D3293B" w:rsidRPr="00C56DB5">
        <w:t>, and transport</w:t>
      </w:r>
      <w:r w:rsidR="00F91E38">
        <w:t xml:space="preserve">ing of </w:t>
      </w:r>
      <w:r w:rsidR="00D3293B" w:rsidRPr="00C56DB5">
        <w:t>wholesale electricity</w:t>
      </w:r>
      <w:r w:rsidR="00D3293B">
        <w:t>,</w:t>
      </w:r>
      <w:r w:rsidR="00D3293B" w:rsidRPr="00C56DB5">
        <w:t xml:space="preserve"> as well as ensure proper system frequency and voltage, sufficient future capacity, seasonal and real-time reserve capacity, and system restoration capability after a blackout. Stakeholders</w:t>
      </w:r>
      <w:r w:rsidR="00D3293B">
        <w:t xml:space="preserve"> also have the opportunity to hedge against the costs associated with transmission congestion. </w:t>
      </w:r>
      <w:r w:rsidRPr="004B3C3C">
        <w:t xml:space="preserve">As shown in </w:t>
      </w:r>
      <w:fldSimple w:instr=" REF _Ref173207023 \h  \* MERGEFORMAT ">
        <w:r w:rsidR="00E5699E">
          <w:t xml:space="preserve">Figure </w:t>
        </w:r>
        <w:r w:rsidR="00E5699E">
          <w:rPr>
            <w:noProof/>
          </w:rPr>
          <w:t>2</w:t>
        </w:r>
        <w:r w:rsidR="00E5699E">
          <w:rPr>
            <w:noProof/>
          </w:rPr>
          <w:noBreakHyphen/>
          <w:t>1</w:t>
        </w:r>
      </w:fldSimple>
      <w:r>
        <w:t xml:space="preserve">, </w:t>
      </w:r>
      <w:r w:rsidRPr="00EC34B8">
        <w:t xml:space="preserve">in 2009, </w:t>
      </w:r>
      <w:r w:rsidRPr="00C56DB5">
        <w:t xml:space="preserve">over 400 market participants completed transactions in </w:t>
      </w:r>
      <w:r>
        <w:t xml:space="preserve">New England’s </w:t>
      </w:r>
      <w:r w:rsidRPr="00C56DB5">
        <w:t>wholesale electric</w:t>
      </w:r>
      <w:r>
        <w:t>it</w:t>
      </w:r>
      <w:r w:rsidRPr="00C56DB5">
        <w:t xml:space="preserve">y markets totaling $7.5 billion. </w:t>
      </w:r>
      <w:r w:rsidR="00D3293B">
        <w:t xml:space="preserve">The wholesale </w:t>
      </w:r>
      <w:r w:rsidR="00D3293B" w:rsidRPr="00647585">
        <w:t xml:space="preserve">electricity markets </w:t>
      </w:r>
      <w:r w:rsidR="00D3293B" w:rsidRPr="00AC7D76">
        <w:t>and market products</w:t>
      </w:r>
      <w:r w:rsidR="00D3293B">
        <w:t xml:space="preserve"> </w:t>
      </w:r>
      <w:r w:rsidR="00D3293B" w:rsidRPr="00647585">
        <w:t>in New England are as follows:</w:t>
      </w:r>
      <w:r w:rsidR="00D3293B" w:rsidRPr="002E7A00">
        <w:rPr>
          <w:color w:val="211D1E"/>
          <w:vertAlign w:val="superscript"/>
        </w:rPr>
        <w:footnoteReference w:id="53"/>
      </w:r>
      <w:r w:rsidR="00D3293B" w:rsidRPr="002E7A00">
        <w:t xml:space="preserve"> </w:t>
      </w:r>
    </w:p>
    <w:p w:rsidR="00675663" w:rsidRDefault="00D3293B" w:rsidP="00BB34F0">
      <w:pPr>
        <w:numPr>
          <w:ilvl w:val="0"/>
          <w:numId w:val="33"/>
        </w:numPr>
      </w:pPr>
      <w:r w:rsidRPr="00DB331F">
        <w:rPr>
          <w:b/>
          <w:bCs/>
        </w:rPr>
        <w:t>Day-Ahead Energy Market</w:t>
      </w:r>
      <w:r w:rsidRPr="00DB331F">
        <w:t>—</w:t>
      </w:r>
      <w:r w:rsidRPr="00647585">
        <w:t xml:space="preserve">allows market participants to secure </w:t>
      </w:r>
      <w:r w:rsidRPr="009E768F">
        <w:t xml:space="preserve">prices </w:t>
      </w:r>
      <w:r w:rsidRPr="00B41868">
        <w:t>for electric energy</w:t>
      </w:r>
      <w:r>
        <w:t xml:space="preserve"> </w:t>
      </w:r>
      <w:r w:rsidRPr="00647585">
        <w:t>the day before the operating day and hedge against price fluctuations that can occur in real tim</w:t>
      </w:r>
      <w:r w:rsidRPr="00267BCF">
        <w:t>e.</w:t>
      </w:r>
    </w:p>
    <w:p w:rsidR="00675663" w:rsidRDefault="00D3293B" w:rsidP="00BB34F0">
      <w:pPr>
        <w:numPr>
          <w:ilvl w:val="0"/>
          <w:numId w:val="33"/>
        </w:numPr>
      </w:pPr>
      <w:r w:rsidRPr="00DB331F">
        <w:rPr>
          <w:b/>
          <w:bCs/>
        </w:rPr>
        <w:t>Real-Time Energy Market</w:t>
      </w:r>
      <w:r w:rsidRPr="00647585">
        <w:t>—coordinat</w:t>
      </w:r>
      <w:r>
        <w:t>es</w:t>
      </w:r>
      <w:r w:rsidRPr="00647585">
        <w:t xml:space="preserve"> </w:t>
      </w:r>
      <w:r>
        <w:t>the</w:t>
      </w:r>
      <w:r w:rsidRPr="00647585">
        <w:t xml:space="preserve"> dispatch of generation and demand resources </w:t>
      </w:r>
      <w:r>
        <w:t>to</w:t>
      </w:r>
      <w:r w:rsidRPr="00647585">
        <w:t xml:space="preserve"> meet the instantaneous demand for electricity.</w:t>
      </w:r>
    </w:p>
    <w:p w:rsidR="00675663" w:rsidRDefault="00D3293B" w:rsidP="00BB34F0">
      <w:pPr>
        <w:numPr>
          <w:ilvl w:val="0"/>
          <w:numId w:val="33"/>
        </w:numPr>
      </w:pPr>
      <w:r w:rsidRPr="00267BCF">
        <w:rPr>
          <w:b/>
          <w:bCs/>
        </w:rPr>
        <w:t>Forward Capacity Market (FCM)</w:t>
      </w:r>
      <w:r w:rsidRPr="00267BCF">
        <w:t>—ensures th</w:t>
      </w:r>
      <w:r>
        <w:t xml:space="preserve">e sufficiency of </w:t>
      </w:r>
      <w:r w:rsidRPr="00267BCF">
        <w:t xml:space="preserve">installed capacity, which includes demand resources, to meet the future demand for electricity by </w:t>
      </w:r>
      <w:r w:rsidRPr="003111A3">
        <w:t>sending appropriate price signals to attract new investment and maintain existing investment both where and when needed.</w:t>
      </w:r>
      <w:r w:rsidRPr="007C099B">
        <w:rPr>
          <w:rStyle w:val="FootnoteReference"/>
          <w:sz w:val="22"/>
        </w:rPr>
        <w:footnoteReference w:id="54"/>
      </w:r>
    </w:p>
    <w:p w:rsidR="00675663" w:rsidRDefault="00D3293B" w:rsidP="00BB34F0">
      <w:pPr>
        <w:numPr>
          <w:ilvl w:val="0"/>
          <w:numId w:val="33"/>
        </w:numPr>
        <w:rPr>
          <w:color w:val="211D1E"/>
        </w:rPr>
      </w:pPr>
      <w:r w:rsidRPr="00CC3EBF">
        <w:rPr>
          <w:b/>
          <w:bCs/>
          <w:color w:val="211D1E"/>
        </w:rPr>
        <w:t xml:space="preserve">Financial </w:t>
      </w:r>
      <w:r w:rsidR="00F91E38" w:rsidRPr="00CC3EBF">
        <w:rPr>
          <w:b/>
          <w:bCs/>
          <w:color w:val="211D1E"/>
        </w:rPr>
        <w:t>T</w:t>
      </w:r>
      <w:r w:rsidRPr="00CC3EBF">
        <w:rPr>
          <w:b/>
          <w:bCs/>
          <w:color w:val="211D1E"/>
        </w:rPr>
        <w:t xml:space="preserve">ransmission </w:t>
      </w:r>
      <w:r w:rsidR="00F91E38" w:rsidRPr="00CC3EBF">
        <w:rPr>
          <w:b/>
          <w:bCs/>
          <w:color w:val="211D1E"/>
        </w:rPr>
        <w:t>R</w:t>
      </w:r>
      <w:r w:rsidRPr="00CC3EBF">
        <w:rPr>
          <w:b/>
          <w:bCs/>
          <w:color w:val="211D1E"/>
        </w:rPr>
        <w:t>ights</w:t>
      </w:r>
      <w:r w:rsidRPr="00DB331F">
        <w:rPr>
          <w:b/>
          <w:bCs/>
          <w:color w:val="211D1E"/>
        </w:rPr>
        <w:t xml:space="preserve"> (FTRs)</w:t>
      </w:r>
      <w:r>
        <w:rPr>
          <w:color w:val="211D1E"/>
        </w:rPr>
        <w:t xml:space="preserve">—allows participants </w:t>
      </w:r>
      <w:r>
        <w:t>to hedge against the economic impacts associated with transmission congestion and provides a financial instrument to arbitrage differences between expected and actual day-ahead congestion</w:t>
      </w:r>
      <w:r w:rsidRPr="00FE217A">
        <w:t>.</w:t>
      </w:r>
    </w:p>
    <w:p w:rsidR="00675663" w:rsidRDefault="00D3293B" w:rsidP="00BB34F0">
      <w:pPr>
        <w:numPr>
          <w:ilvl w:val="0"/>
          <w:numId w:val="33"/>
        </w:numPr>
        <w:rPr>
          <w:b/>
        </w:rPr>
      </w:pPr>
      <w:r w:rsidRPr="00F4259E">
        <w:rPr>
          <w:b/>
        </w:rPr>
        <w:t>Ancillary services</w:t>
      </w:r>
    </w:p>
    <w:p w:rsidR="00675663" w:rsidRDefault="00D3293B" w:rsidP="00BB34F0">
      <w:pPr>
        <w:numPr>
          <w:ilvl w:val="0"/>
          <w:numId w:val="34"/>
        </w:numPr>
        <w:ind w:left="1080"/>
      </w:pPr>
      <w:r w:rsidRPr="00DB331F">
        <w:rPr>
          <w:b/>
          <w:bCs/>
        </w:rPr>
        <w:t>Regulation Market</w:t>
      </w:r>
      <w:r>
        <w:t xml:space="preserve">—compensates resources that </w:t>
      </w:r>
      <w:r w:rsidRPr="004A2B17">
        <w:t xml:space="preserve">the ISO instructs to </w:t>
      </w:r>
      <w:r w:rsidRPr="007F3508">
        <w:t>increase</w:t>
      </w:r>
      <w:r>
        <w:t xml:space="preserve"> or decrease output moment by moment to balance the variations in demand and system frequency to meet industry standards.</w:t>
      </w:r>
      <w:r w:rsidRPr="007C099B">
        <w:rPr>
          <w:rStyle w:val="FootnoteReference"/>
          <w:color w:val="211D1E"/>
          <w:sz w:val="22"/>
        </w:rPr>
        <w:footnoteReference w:id="55"/>
      </w:r>
    </w:p>
    <w:p w:rsidR="00675663" w:rsidRDefault="00D3293B" w:rsidP="00BB34F0">
      <w:pPr>
        <w:numPr>
          <w:ilvl w:val="0"/>
          <w:numId w:val="34"/>
        </w:numPr>
        <w:ind w:left="1080"/>
        <w:rPr>
          <w:color w:val="211D1E"/>
        </w:rPr>
      </w:pPr>
      <w:r w:rsidRPr="00DB331F">
        <w:rPr>
          <w:b/>
          <w:bCs/>
          <w:color w:val="211D1E"/>
        </w:rPr>
        <w:t>Forward Reserve Market (FRM)</w:t>
      </w:r>
      <w:r>
        <w:rPr>
          <w:color w:val="211D1E"/>
        </w:rPr>
        <w:t>—</w:t>
      </w:r>
      <w:r w:rsidRPr="0085160D">
        <w:t xml:space="preserve">compensates </w:t>
      </w:r>
      <w:r>
        <w:t xml:space="preserve">generators for the availability of their </w:t>
      </w:r>
      <w:r w:rsidRPr="006E1B10">
        <w:t xml:space="preserve">unloaded </w:t>
      </w:r>
      <w:r w:rsidRPr="0085160D">
        <w:t>operating</w:t>
      </w:r>
      <w:r>
        <w:t xml:space="preserve"> capacity that can be converted into electric energy within 10 or 30 </w:t>
      </w:r>
      <w:r w:rsidRPr="00267BCF">
        <w:t xml:space="preserve">minutes when needed to </w:t>
      </w:r>
      <w:r>
        <w:t>respond to</w:t>
      </w:r>
      <w:r w:rsidRPr="00267BCF">
        <w:t xml:space="preserve"> system contingencies, such as unexpected outages.</w:t>
      </w:r>
      <w:r w:rsidRPr="007C099B">
        <w:rPr>
          <w:rStyle w:val="FootnoteReference"/>
          <w:sz w:val="22"/>
        </w:rPr>
        <w:footnoteReference w:id="56"/>
      </w:r>
    </w:p>
    <w:p w:rsidR="00675663" w:rsidRDefault="00D3293B" w:rsidP="00BB34F0">
      <w:pPr>
        <w:numPr>
          <w:ilvl w:val="0"/>
          <w:numId w:val="34"/>
        </w:numPr>
        <w:ind w:left="1080"/>
      </w:pPr>
      <w:r w:rsidRPr="00267BCF">
        <w:rPr>
          <w:b/>
          <w:bCs/>
        </w:rPr>
        <w:t>Real-time reserve pricing</w:t>
      </w:r>
      <w:r w:rsidRPr="00267BCF">
        <w:t>—</w:t>
      </w:r>
      <w:r w:rsidRPr="00170A3C">
        <w:t xml:space="preserve">compensates on-line generators that offer </w:t>
      </w:r>
      <w:r>
        <w:t xml:space="preserve">their electric energy </w:t>
      </w:r>
      <w:r w:rsidRPr="00170A3C">
        <w:t>above the marginal cost for the i</w:t>
      </w:r>
      <w:r w:rsidRPr="00267BCF">
        <w:t>ncreased value of their energy when the system or portions of the system are short of reserves. It also provides efficient price signals to generators when redispatch is needed to provide additional reserves to meet requirements.</w:t>
      </w:r>
    </w:p>
    <w:p w:rsidR="00675663" w:rsidRDefault="00D3293B" w:rsidP="00BB34F0">
      <w:pPr>
        <w:numPr>
          <w:ilvl w:val="0"/>
          <w:numId w:val="34"/>
        </w:numPr>
        <w:ind w:left="1080"/>
      </w:pPr>
      <w:r w:rsidRPr="00DB331F">
        <w:rPr>
          <w:b/>
          <w:bCs/>
        </w:rPr>
        <w:t>Vo</w:t>
      </w:r>
      <w:r>
        <w:rPr>
          <w:b/>
          <w:bCs/>
        </w:rPr>
        <w:t>l</w:t>
      </w:r>
      <w:r w:rsidRPr="00DB331F">
        <w:rPr>
          <w:b/>
          <w:bCs/>
        </w:rPr>
        <w:t>tage support</w:t>
      </w:r>
      <w:r>
        <w:t xml:space="preserve">—compensates resources for maintaining voltage-control capability, which allows system operators to maintain transmission voltages within </w:t>
      </w:r>
      <w:r w:rsidRPr="005F782F">
        <w:t>acceptable limits.</w:t>
      </w:r>
    </w:p>
    <w:p w:rsidR="002E5A03" w:rsidRPr="00204738" w:rsidRDefault="00D3293B" w:rsidP="00EF1EDF">
      <w:r w:rsidRPr="00267BCF">
        <w:t xml:space="preserve">The market structure for </w:t>
      </w:r>
      <w:r>
        <w:t xml:space="preserve">conducting </w:t>
      </w:r>
      <w:r w:rsidRPr="00267BCF">
        <w:t>wholesale electric</w:t>
      </w:r>
      <w:r w:rsidR="003133C2">
        <w:t xml:space="preserve"> energy</w:t>
      </w:r>
      <w:r w:rsidRPr="00267BCF">
        <w:t xml:space="preserve"> transactions in New England is Standard Market Design (</w:t>
      </w:r>
      <w:smartTag w:uri="urn:schemas-microsoft-com:office:smarttags" w:element="stockticker">
        <w:r w:rsidRPr="00267BCF">
          <w:t>SMD</w:t>
        </w:r>
      </w:smartTag>
      <w:r w:rsidRPr="00267BCF">
        <w:t xml:space="preserve">). </w:t>
      </w:r>
      <w:r>
        <w:t xml:space="preserve">One key feature of SMD is locational marginal pricing, which </w:t>
      </w:r>
      <w:r w:rsidRPr="00253BE5">
        <w:t xml:space="preserve">is a way for electric energy prices </w:t>
      </w:r>
      <w:r w:rsidRPr="0069529F">
        <w:rPr>
          <w:bCs/>
        </w:rPr>
        <w:t>to reflect</w:t>
      </w:r>
      <w:r w:rsidRPr="00253BE5">
        <w:t xml:space="preserve"> the </w:t>
      </w:r>
      <w:r w:rsidRPr="00B44948">
        <w:t xml:space="preserve">variations in supply, demand, and transmission system limitations </w:t>
      </w:r>
      <w:r w:rsidR="00075498">
        <w:t xml:space="preserve">effectively </w:t>
      </w:r>
      <w:r w:rsidRPr="00B44948">
        <w:t xml:space="preserve">at every location </w:t>
      </w:r>
      <w:r>
        <w:t xml:space="preserve">where electric energy </w:t>
      </w:r>
      <w:r w:rsidR="00A73FE0" w:rsidRPr="00A73FE0">
        <w:t xml:space="preserve">enters or exits the wholesale network. In New England, wholesale electricity prices are set at approximately 900 pricing points (i.e., </w:t>
      </w:r>
      <w:r w:rsidR="00A73FE0" w:rsidRPr="00A73FE0">
        <w:rPr>
          <w:i/>
          <w:iCs/>
        </w:rPr>
        <w:t>pnodes</w:t>
      </w:r>
      <w:r w:rsidR="00A73FE0" w:rsidRPr="00A73FE0">
        <w:t>) on</w:t>
      </w:r>
      <w:r>
        <w:t xml:space="preserve"> </w:t>
      </w:r>
      <w:r w:rsidRPr="007571C6">
        <w:t xml:space="preserve">the </w:t>
      </w:r>
      <w:r w:rsidRPr="00B41868">
        <w:t>power grid</w:t>
      </w:r>
      <w:r w:rsidRPr="007571C6">
        <w:t xml:space="preserve">. </w:t>
      </w:r>
      <w:r w:rsidRPr="00E31B31">
        <w:rPr>
          <w:i/>
        </w:rPr>
        <w:t>Locational marginal prices</w:t>
      </w:r>
      <w:r>
        <w:t xml:space="preserve"> (</w:t>
      </w:r>
      <w:r w:rsidRPr="007571C6">
        <w:t>LMPs</w:t>
      </w:r>
      <w:r>
        <w:t xml:space="preserve">) </w:t>
      </w:r>
      <w:r w:rsidR="00A73FE0" w:rsidRPr="00A73FE0">
        <w:t xml:space="preserve">differ among these locations as a result of each location’s marginal </w:t>
      </w:r>
      <w:r w:rsidR="00A73FE0" w:rsidRPr="00204738">
        <w:t xml:space="preserve">cost of congestion and marginal cost of line losses. </w:t>
      </w:r>
    </w:p>
    <w:p w:rsidR="00D3293B" w:rsidRPr="00DD4403" w:rsidRDefault="00A73FE0" w:rsidP="00073277">
      <w:r w:rsidRPr="00204738">
        <w:t>The congestion cost component of an LMP arises because of transmission system constraints that limit the flow of the least-cost generation, which results in</w:t>
      </w:r>
      <w:r w:rsidR="007137A3" w:rsidRPr="00204738">
        <w:t xml:space="preserve"> </w:t>
      </w:r>
      <w:r w:rsidRPr="00204738">
        <w:t xml:space="preserve">the need to dispatch more </w:t>
      </w:r>
      <w:r w:rsidR="00B15534" w:rsidRPr="00204738">
        <w:t>costly</w:t>
      </w:r>
      <w:r w:rsidRPr="00204738">
        <w:t xml:space="preserve"> generation.</w:t>
      </w:r>
      <w:r w:rsidR="002E5A03" w:rsidRPr="00204738">
        <w:t xml:space="preserve"> </w:t>
      </w:r>
      <w:r w:rsidR="00D3293B" w:rsidRPr="00204738">
        <w:t xml:space="preserve">Line losses are caused by physical resistance in the transmission system as electricity travels through </w:t>
      </w:r>
      <w:r w:rsidR="00FE6018" w:rsidRPr="00204738">
        <w:t xml:space="preserve">transformers, reactors, and other </w:t>
      </w:r>
      <w:r w:rsidR="00C730B0" w:rsidRPr="00204738">
        <w:t xml:space="preserve">types of </w:t>
      </w:r>
      <w:r w:rsidR="00FE6018" w:rsidRPr="00204738">
        <w:t>equipment,</w:t>
      </w:r>
      <w:r w:rsidR="00D3293B" w:rsidRPr="00204738">
        <w:t xml:space="preserve"> which produces heat and results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w:t>
      </w:r>
      <w:r w:rsidR="006E5E70" w:rsidRPr="00204738">
        <w:t xml:space="preserve">affects </w:t>
      </w:r>
      <w:r w:rsidR="00D3293B" w:rsidRPr="00204738">
        <w:t>the amount of generation that must be dispatched. The ISO operates the system to minimize total system costs</w:t>
      </w:r>
      <w:r w:rsidR="00007728" w:rsidRPr="00204738">
        <w:t xml:space="preserve">, while recognizing physical limitations of the </w:t>
      </w:r>
      <w:r w:rsidR="00007728" w:rsidRPr="00DD4403">
        <w:t>system</w:t>
      </w:r>
      <w:r w:rsidR="00D3293B" w:rsidRPr="00DD4403">
        <w:t>.</w:t>
      </w:r>
      <w:r w:rsidR="007137A3" w:rsidRPr="00DD4403">
        <w:t xml:space="preserve"> </w:t>
      </w:r>
      <w:r w:rsidRPr="00DD4403">
        <w:t xml:space="preserve">If the system were entirely unconstrained and had no losses, all LMPs would be the same, reflecting only the cost of serving the next </w:t>
      </w:r>
      <w:r w:rsidR="007137A3" w:rsidRPr="00DD4403">
        <w:t xml:space="preserve">megawatt </w:t>
      </w:r>
      <w:r w:rsidRPr="00DD4403">
        <w:t>increment of load</w:t>
      </w:r>
      <w:r w:rsidR="007137A3" w:rsidRPr="00DD4403">
        <w:t xml:space="preserve"> </w:t>
      </w:r>
      <w:r w:rsidRPr="00DD4403">
        <w:t>by the generator with the lowest-cost electric energy available</w:t>
      </w:r>
      <w:r w:rsidR="007137A3" w:rsidRPr="00DD4403">
        <w:t xml:space="preserve">, which </w:t>
      </w:r>
      <w:r w:rsidRPr="00DD4403">
        <w:t xml:space="preserve">would be able to flow to any </w:t>
      </w:r>
      <w:r w:rsidR="007137A3" w:rsidRPr="00DD4403">
        <w:t xml:space="preserve">point on </w:t>
      </w:r>
      <w:r w:rsidRPr="00DD4403">
        <w:t>the transmission system.</w:t>
      </w:r>
    </w:p>
    <w:p w:rsidR="00D3293B" w:rsidRDefault="00A73FE0" w:rsidP="00073277">
      <w:r w:rsidRPr="00DD4403">
        <w:t>The p</w:t>
      </w:r>
      <w:r w:rsidR="00EF1EDF" w:rsidRPr="00DD4403">
        <w:t xml:space="preserve">ricing points </w:t>
      </w:r>
      <w:r w:rsidR="007137A3" w:rsidRPr="00DD4403">
        <w:t xml:space="preserve">on the system </w:t>
      </w:r>
      <w:r w:rsidRPr="00DD4403">
        <w:t>include individual generat</w:t>
      </w:r>
      <w:r w:rsidR="00EF1EDF" w:rsidRPr="00DD4403">
        <w:t xml:space="preserve">ing </w:t>
      </w:r>
      <w:r w:rsidRPr="00DD4403">
        <w:t>unit</w:t>
      </w:r>
      <w:r w:rsidR="007137A3" w:rsidRPr="00DD4403">
        <w:t>s</w:t>
      </w:r>
      <w:r w:rsidRPr="00DD4403">
        <w:t xml:space="preserve">, load nodes, </w:t>
      </w:r>
      <w:r w:rsidRPr="00DD4403">
        <w:rPr>
          <w:i/>
          <w:iCs/>
        </w:rPr>
        <w:t>load zones</w:t>
      </w:r>
      <w:r w:rsidRPr="00DD4403">
        <w:t xml:space="preserve"> (i.e., aggregations of load pnodes within a specific area), and the Hub.</w:t>
      </w:r>
      <w:r w:rsidR="00CD5793" w:rsidRPr="00345C6A">
        <w:rPr>
          <w:rStyle w:val="FootnoteReference"/>
          <w:sz w:val="22"/>
        </w:rPr>
        <w:footnoteReference w:id="57"/>
      </w:r>
      <w:r w:rsidRPr="00DD4403">
        <w:t xml:space="preserve"> The </w:t>
      </w:r>
      <w:r w:rsidRPr="00DD4403">
        <w:rPr>
          <w:i/>
        </w:rPr>
        <w:t>Hub</w:t>
      </w:r>
      <w:r w:rsidRPr="00DD4403">
        <w:t xml:space="preserve"> is a collection of locations that has a price intended to represent an uncongested price for electric energy, facilitate trading, and enhance transparency and liquidity in the marketplace. In New England, generators are paid the LMP for electric energy at their respective nodes, and participants serving demand pay the price at their respective load zones.</w:t>
      </w:r>
      <w:r w:rsidRPr="00DD4403">
        <w:rPr>
          <w:rStyle w:val="FootnoteReference"/>
          <w:sz w:val="22"/>
        </w:rPr>
        <w:footnoteReference w:id="58"/>
      </w:r>
    </w:p>
    <w:p w:rsidR="00D3293B" w:rsidRDefault="00D3293B" w:rsidP="00073277">
      <w:r w:rsidRPr="00263D6F">
        <w:rPr>
          <w:i/>
        </w:rPr>
        <w:t>Import-constrained</w:t>
      </w:r>
      <w:r>
        <w:t xml:space="preserve"> load zones are areas within New England that do not have enough local resources and transmission-import capability to serve local demand</w:t>
      </w:r>
      <w:r w:rsidRPr="007F4196">
        <w:t xml:space="preserve"> </w:t>
      </w:r>
      <w:r>
        <w:t xml:space="preserve">reliably or economically. </w:t>
      </w:r>
      <w:r w:rsidRPr="00263D6F">
        <w:rPr>
          <w:i/>
        </w:rPr>
        <w:t>Export-constrained</w:t>
      </w:r>
      <w:r>
        <w:t xml:space="preserve"> load zones are areas within New England where the available resources, after serving local load, exceed the areas’ </w:t>
      </w:r>
      <w:r w:rsidRPr="00C67A8C">
        <w:t xml:space="preserve">transmission capability to </w:t>
      </w:r>
      <w:r w:rsidRPr="007F3508">
        <w:t xml:space="preserve">export </w:t>
      </w:r>
      <w:r w:rsidR="001B5A86">
        <w:t xml:space="preserve">the </w:t>
      </w:r>
      <w:r w:rsidRPr="007F3508">
        <w:t xml:space="preserve">excess </w:t>
      </w:r>
      <w:r w:rsidRPr="004A2B17">
        <w:t>electric</w:t>
      </w:r>
      <w:r w:rsidRPr="007F3508">
        <w:t xml:space="preserve"> energy</w:t>
      </w:r>
      <w:r w:rsidRPr="00C67A8C">
        <w:t>.</w:t>
      </w:r>
      <w:r>
        <w:t xml:space="preserve"> </w:t>
      </w:r>
      <w:r w:rsidRPr="00CD7318">
        <w:t>New</w:t>
      </w:r>
      <w:r w:rsidRPr="00C67A8C">
        <w:t xml:space="preserve"> England is divided into the following </w:t>
      </w:r>
      <w:r>
        <w:t xml:space="preserve">eight </w:t>
      </w:r>
      <w:r w:rsidRPr="00C67A8C">
        <w:t>load zones</w:t>
      </w:r>
      <w:r w:rsidR="001F4C78">
        <w:t xml:space="preserve"> used for wholesale market billing</w:t>
      </w:r>
      <w:r w:rsidRPr="00C67A8C">
        <w:t>: Maine</w:t>
      </w:r>
      <w:r>
        <w:t xml:space="preserve"> (ME)</w:t>
      </w:r>
      <w:r w:rsidRPr="00C67A8C">
        <w:t>, New Hampshire</w:t>
      </w:r>
      <w:r>
        <w:t xml:space="preserve"> (NH)</w:t>
      </w:r>
      <w:r w:rsidRPr="00C67A8C">
        <w:t>,</w:t>
      </w:r>
      <w:r w:rsidRPr="00E80557">
        <w:t xml:space="preserve"> Vermont</w:t>
      </w:r>
      <w:r>
        <w:t xml:space="preserve"> (VT)</w:t>
      </w:r>
      <w:r w:rsidRPr="00E80557">
        <w:t>, Rhode Island</w:t>
      </w:r>
      <w:r>
        <w:t xml:space="preserve"> (RI)</w:t>
      </w:r>
      <w:r w:rsidRPr="00E80557">
        <w:t>, Connecticut (CT), Western/Central Massachusetts (WCMA), Northeast Massachusetts and Boston (NEMA), and Southeast Massachusetts (SEMA</w:t>
      </w:r>
      <w:r w:rsidRPr="00CD7318">
        <w:t>).</w:t>
      </w:r>
    </w:p>
    <w:p w:rsidR="00D3293B" w:rsidRPr="00203736" w:rsidRDefault="00D3293B" w:rsidP="00073277">
      <w:r w:rsidRPr="00660882">
        <w:t xml:space="preserve">A </w:t>
      </w:r>
      <w:r w:rsidRPr="00660882">
        <w:rPr>
          <w:i/>
        </w:rPr>
        <w:t>capacity zone</w:t>
      </w:r>
      <w:r w:rsidRPr="00660882">
        <w:t xml:space="preserve"> is a geographic subregion of the New England Balancing Authority Area that may represent load zones that are export constrained, import constrained, or contiguous—neither export nor import constrained. Capacity zones are used in the Forward Capacity Auctions (FCA</w:t>
      </w:r>
      <w:r w:rsidR="00075498">
        <w:t>s</w:t>
      </w:r>
      <w:r w:rsidRPr="00660882">
        <w:t>) (see Section </w:t>
      </w:r>
      <w:fldSimple w:instr=" REF _Ref266712567 \r \h  \* MERGEFORMAT ">
        <w:r w:rsidR="00E5699E">
          <w:t>4.2</w:t>
        </w:r>
      </w:fldSimple>
      <w:r w:rsidRPr="00660882">
        <w:t>).</w:t>
      </w:r>
      <w:r w:rsidR="005469ED" w:rsidRPr="00660882">
        <w:t xml:space="preserve"> </w:t>
      </w:r>
      <w:r w:rsidR="001F4C78" w:rsidRPr="00660882">
        <w:t xml:space="preserve">The region </w:t>
      </w:r>
      <w:r w:rsidR="00FE42AB">
        <w:t xml:space="preserve">also </w:t>
      </w:r>
      <w:r w:rsidR="001F4C78" w:rsidRPr="00660882">
        <w:t xml:space="preserve">currently has </w:t>
      </w:r>
      <w:r w:rsidR="003174D8" w:rsidRPr="00660882">
        <w:t xml:space="preserve">four </w:t>
      </w:r>
      <w:r w:rsidR="003174D8" w:rsidRPr="00263D6F">
        <w:rPr>
          <w:i/>
        </w:rPr>
        <w:t>reserve zones</w:t>
      </w:r>
      <w:r w:rsidR="003174D8" w:rsidRPr="00660882">
        <w:t>—Connecticut (CT), Southwest Connecticut (SWCT), NEMA/Boston, and the rest of the system (Rest-of-System, ROS) (i.e., the area excluding the other, local reserve zones).</w:t>
      </w:r>
      <w:r w:rsidR="00F554FF">
        <w:t xml:space="preserve"> </w:t>
      </w:r>
      <w:r w:rsidR="00263D6F">
        <w:t>Additionally, t</w:t>
      </w:r>
      <w:r w:rsidR="00F554FF">
        <w:t xml:space="preserve">he region is divided into </w:t>
      </w:r>
      <w:r w:rsidR="00007728">
        <w:t xml:space="preserve">19 </w:t>
      </w:r>
      <w:r w:rsidR="00007728" w:rsidRPr="0065356B">
        <w:rPr>
          <w:i/>
        </w:rPr>
        <w:t>demand-resource dispatch zones</w:t>
      </w:r>
      <w:r w:rsidR="00007728">
        <w:t xml:space="preserve">, which are groups of nodes used to </w:t>
      </w:r>
      <w:r w:rsidR="00007728" w:rsidRPr="00C026EE">
        <w:t>dispatch real-time demand-response</w:t>
      </w:r>
      <w:r w:rsidR="00007728">
        <w:t xml:space="preserve"> resources or real-time emergency generation (RTEG) resources</w:t>
      </w:r>
      <w:r w:rsidR="005D730D">
        <w:t xml:space="preserve"> (see Section </w:t>
      </w:r>
      <w:r w:rsidR="005D730D" w:rsidRPr="005D730D">
        <w:t>4.2.1.1</w:t>
      </w:r>
      <w:r w:rsidR="005D730D">
        <w:t>)</w:t>
      </w:r>
      <w:r w:rsidR="00007728">
        <w:t>.</w:t>
      </w:r>
      <w:r w:rsidR="00FE6283" w:rsidRPr="005D730D">
        <w:rPr>
          <w:rStyle w:val="FootnoteReference"/>
          <w:sz w:val="22"/>
        </w:rPr>
        <w:footnoteReference w:id="59"/>
      </w:r>
    </w:p>
    <w:p w:rsidR="002878A4" w:rsidRDefault="00D3293B" w:rsidP="009D1346">
      <w:pPr>
        <w:pStyle w:val="Heading2"/>
      </w:pPr>
      <w:bookmarkStart w:id="64" w:name="_Toc239157048"/>
      <w:bookmarkStart w:id="65" w:name="_Ref262125935"/>
      <w:bookmarkStart w:id="66" w:name="_Ref266560997"/>
      <w:bookmarkStart w:id="67" w:name="_Toc271632207"/>
      <w:r>
        <w:t>RSP Subareas</w:t>
      </w:r>
      <w:bookmarkEnd w:id="64"/>
      <w:bookmarkEnd w:id="65"/>
      <w:bookmarkEnd w:id="66"/>
      <w:bookmarkEnd w:id="67"/>
    </w:p>
    <w:p w:rsidR="00D3293B" w:rsidRDefault="00D3293B" w:rsidP="00E04D59">
      <w:r>
        <w:t xml:space="preserve">To assist in modeling and planning electricity resources in New England, the ISO established 13 </w:t>
      </w:r>
      <w:r w:rsidRPr="00D809AD">
        <w:rPr>
          <w:i/>
        </w:rPr>
        <w:t>subareas</w:t>
      </w:r>
      <w:r>
        <w:t xml:space="preserve"> of the region’s electric power system. These subareas form a simplified model of load areas connected by the major transmission interfaces across the system. The simplified model illustrates possible physical limitations to the reliable flow of power that can evolve over time as the system changes. </w:t>
      </w:r>
    </w:p>
    <w:p w:rsidR="00D3293B" w:rsidRDefault="00832C7A" w:rsidP="007C39C6">
      <w:fldSimple w:instr=" REF _Ref229901815 \h  \* MERGEFORMAT ">
        <w:r w:rsidR="00E5699E" w:rsidRPr="00E5699E">
          <w:rPr>
            <w:rFonts w:cs="Times New Roman"/>
          </w:rPr>
          <w:t>Figure 2</w:t>
        </w:r>
        <w:r w:rsidR="00E5699E" w:rsidRPr="00E5699E">
          <w:rPr>
            <w:rFonts w:cs="Times New Roman"/>
          </w:rPr>
          <w:noBreakHyphen/>
          <w:t>2</w:t>
        </w:r>
      </w:fldSimple>
      <w:r w:rsidR="00D3293B">
        <w:t xml:space="preserve"> shows the ISO subareas and three external balancing authority areas. While more detailed models are used for transmission planning studies and for the real-time operation of the system, the subarea representation shown in </w:t>
      </w:r>
      <w:fldSimple w:instr=" REF _Ref229901815 \h  \* MERGEFORMAT ">
        <w:r w:rsidR="00E5699E" w:rsidRPr="00E5699E">
          <w:rPr>
            <w:rFonts w:cs="Times New Roman"/>
          </w:rPr>
          <w:t>Figure 2</w:t>
        </w:r>
        <w:r w:rsidR="00E5699E" w:rsidRPr="00E5699E">
          <w:rPr>
            <w:rFonts w:cs="Times New Roman"/>
          </w:rPr>
          <w:noBreakHyphen/>
          <w:t>2</w:t>
        </w:r>
      </w:fldSimple>
      <w:r w:rsidR="00D3293B">
        <w:rPr>
          <w:rFonts w:cs="Times New Roman"/>
        </w:rPr>
        <w:t xml:space="preserve"> </w:t>
      </w:r>
      <w:r w:rsidR="00D3293B" w:rsidRPr="00251CE5">
        <w:t>is suitable for RSP</w:t>
      </w:r>
      <w:r w:rsidR="00D3293B">
        <w:t>1</w:t>
      </w:r>
      <w:r w:rsidR="00D3293B" w:rsidRPr="00251CE5">
        <w:t xml:space="preserve">0 studies of resource </w:t>
      </w:r>
      <w:r w:rsidR="00D3293B" w:rsidRPr="00C730B0">
        <w:t xml:space="preserve">adequacy, </w:t>
      </w:r>
      <w:r w:rsidR="00C47FC1" w:rsidRPr="00C730B0">
        <w:t>pro</w:t>
      </w:r>
      <w:r w:rsidR="00205075" w:rsidRPr="00C730B0">
        <w:t>duction cost,</w:t>
      </w:r>
      <w:r w:rsidR="00D3293B" w:rsidRPr="00C730B0">
        <w:t xml:space="preserve"> and</w:t>
      </w:r>
      <w:r w:rsidR="00D3293B" w:rsidRPr="00251CE5">
        <w:t xml:space="preserve"> environmental emissions.</w:t>
      </w:r>
      <w:r w:rsidR="00D3293B" w:rsidRPr="00251CE5">
        <w:rPr>
          <w:vertAlign w:val="superscript"/>
        </w:rPr>
        <w:footnoteReference w:id="60"/>
      </w:r>
    </w:p>
    <w:tbl>
      <w:tblPr>
        <w:tblStyle w:val="MediumShading1-Accent12"/>
        <w:tblW w:w="907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4" w:type="dxa"/>
          <w:bottom w:w="14" w:type="dxa"/>
        </w:tblCellMar>
        <w:tblLook w:val="0000"/>
      </w:tblPr>
      <w:tblGrid>
        <w:gridCol w:w="4974"/>
        <w:gridCol w:w="1305"/>
        <w:gridCol w:w="2797"/>
      </w:tblGrid>
      <w:tr w:rsidR="00D3293B" w:rsidTr="007C39C6">
        <w:trPr>
          <w:cnfStyle w:val="000000100000"/>
          <w:trHeight w:val="438"/>
        </w:trPr>
        <w:tc>
          <w:tcPr>
            <w:cnfStyle w:val="000010000000"/>
            <w:tcW w:w="4974" w:type="dxa"/>
            <w:vMerge w:val="restart"/>
          </w:tcPr>
          <w:p w:rsidR="00D3293B" w:rsidRDefault="002C550E" w:rsidP="00DD4403">
            <w:pPr>
              <w:pStyle w:val="TablefontHeading"/>
            </w:pPr>
            <w:r w:rsidRPr="002C550E">
              <w:rPr>
                <w:noProof/>
              </w:rPr>
              <w:drawing>
                <wp:inline distT="0" distB="0" distL="0" distR="0">
                  <wp:extent cx="3074670" cy="42823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086964" cy="4299466"/>
                          </a:xfrm>
                          <a:prstGeom prst="rect">
                            <a:avLst/>
                          </a:prstGeom>
                          <a:noFill/>
                          <a:ln w="9525">
                            <a:noFill/>
                            <a:miter lim="800000"/>
                            <a:headEnd/>
                            <a:tailEnd/>
                          </a:ln>
                        </pic:spPr>
                      </pic:pic>
                    </a:graphicData>
                  </a:graphic>
                </wp:inline>
              </w:drawing>
            </w:r>
          </w:p>
        </w:tc>
        <w:tc>
          <w:tcPr>
            <w:cnfStyle w:val="000001000000"/>
            <w:tcW w:w="1305" w:type="dxa"/>
            <w:shd w:val="clear" w:color="auto" w:fill="4987EB" w:themeFill="text2" w:themeFillTint="99"/>
            <w:noWrap/>
          </w:tcPr>
          <w:p w:rsidR="00D3293B" w:rsidRPr="00E83F42" w:rsidRDefault="00D3293B" w:rsidP="007C39C6">
            <w:pPr>
              <w:pStyle w:val="TablefontHeading"/>
              <w:spacing w:before="0" w:after="0"/>
              <w:rPr>
                <w:color w:val="FFFFFF" w:themeColor="background1"/>
              </w:rPr>
            </w:pPr>
            <w:r w:rsidRPr="00E83F42">
              <w:rPr>
                <w:color w:val="FFFFFF" w:themeColor="background1"/>
              </w:rPr>
              <w:t>Subarea Designation</w:t>
            </w:r>
          </w:p>
        </w:tc>
        <w:tc>
          <w:tcPr>
            <w:cnfStyle w:val="000010000000"/>
            <w:tcW w:w="2797" w:type="dxa"/>
            <w:shd w:val="clear" w:color="auto" w:fill="4987EB" w:themeFill="text2" w:themeFillTint="99"/>
          </w:tcPr>
          <w:p w:rsidR="00D3293B" w:rsidRPr="00E83F42" w:rsidRDefault="00D3293B" w:rsidP="007C39C6">
            <w:pPr>
              <w:pStyle w:val="TablefontHeading"/>
              <w:spacing w:before="0" w:after="0"/>
              <w:rPr>
                <w:color w:val="FFFFFF" w:themeColor="background1"/>
              </w:rPr>
            </w:pPr>
            <w:r w:rsidRPr="00E83F42">
              <w:rPr>
                <w:color w:val="FFFFFF" w:themeColor="background1"/>
              </w:rPr>
              <w:t>Region or State</w:t>
            </w:r>
          </w:p>
        </w:tc>
      </w:tr>
      <w:tr w:rsidR="00D3293B" w:rsidTr="00EC73A7">
        <w:trPr>
          <w:cnfStyle w:val="000000010000"/>
          <w:trHeight w:val="272"/>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r w:rsidRPr="007B6DC6">
              <w:t>BHE</w:t>
            </w:r>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Northeastern Maine</w:t>
            </w:r>
          </w:p>
        </w:tc>
      </w:tr>
      <w:tr w:rsidR="00D3293B" w:rsidTr="0006317B">
        <w:trPr>
          <w:cnfStyle w:val="000000100000"/>
          <w:trHeight w:val="412"/>
        </w:trPr>
        <w:tc>
          <w:tcPr>
            <w:cnfStyle w:val="000010000000"/>
            <w:tcW w:w="4974" w:type="dxa"/>
            <w:vMerge/>
          </w:tcPr>
          <w:p w:rsidR="00D3293B" w:rsidRPr="00073EEF" w:rsidRDefault="00D3293B" w:rsidP="00DD4403">
            <w:pPr>
              <w:pStyle w:val="Tablefont"/>
            </w:pPr>
          </w:p>
        </w:tc>
        <w:tc>
          <w:tcPr>
            <w:cnfStyle w:val="000001000000"/>
            <w:tcW w:w="1305" w:type="dxa"/>
            <w:tcBorders>
              <w:bottom w:val="single" w:sz="2" w:space="0" w:color="000000" w:themeColor="text1"/>
            </w:tcBorders>
            <w:shd w:val="clear" w:color="auto" w:fill="C2D7F8" w:themeFill="text2" w:themeFillTint="33"/>
            <w:noWrap/>
          </w:tcPr>
          <w:p w:rsidR="00D3293B" w:rsidRPr="007B6DC6" w:rsidRDefault="00D3293B" w:rsidP="007C39C6">
            <w:pPr>
              <w:pStyle w:val="Tablefont"/>
              <w:spacing w:before="0" w:after="0"/>
            </w:pPr>
            <w:r w:rsidRPr="007B6DC6">
              <w:t>ME</w:t>
            </w:r>
          </w:p>
        </w:tc>
        <w:tc>
          <w:tcPr>
            <w:cnfStyle w:val="000010000000"/>
            <w:tcW w:w="2797" w:type="dxa"/>
            <w:tcBorders>
              <w:bottom w:val="single" w:sz="2" w:space="0" w:color="000000" w:themeColor="text1"/>
            </w:tcBorders>
            <w:shd w:val="clear" w:color="auto" w:fill="C2D7F8" w:themeFill="text2" w:themeFillTint="33"/>
          </w:tcPr>
          <w:p w:rsidR="00D3293B" w:rsidRPr="007B6DC6" w:rsidRDefault="00D3293B" w:rsidP="007C39C6">
            <w:pPr>
              <w:pStyle w:val="Tablefont"/>
              <w:spacing w:before="0" w:after="0"/>
            </w:pPr>
            <w:r w:rsidRPr="007B6DC6">
              <w:t>Western and central Maine/</w:t>
            </w:r>
            <w:r w:rsidRPr="007B6DC6">
              <w:br/>
              <w:t>Saco Valley, New Hampshire</w:t>
            </w:r>
          </w:p>
        </w:tc>
      </w:tr>
      <w:tr w:rsidR="00D3293B" w:rsidTr="0006317B">
        <w:trPr>
          <w:cnfStyle w:val="000000010000"/>
          <w:trHeight w:val="371"/>
        </w:trPr>
        <w:tc>
          <w:tcPr>
            <w:cnfStyle w:val="000010000000"/>
            <w:tcW w:w="4974" w:type="dxa"/>
            <w:vMerge/>
          </w:tcPr>
          <w:p w:rsidR="00D3293B" w:rsidRPr="00073EEF" w:rsidRDefault="00D3293B" w:rsidP="00DD4403">
            <w:pPr>
              <w:pStyle w:val="Tablefont"/>
            </w:pPr>
          </w:p>
        </w:tc>
        <w:tc>
          <w:tcPr>
            <w:cnfStyle w:val="000001000000"/>
            <w:tcW w:w="1305" w:type="dxa"/>
            <w:tcBorders>
              <w:bottom w:val="single" w:sz="4" w:space="0" w:color="auto"/>
            </w:tcBorders>
            <w:shd w:val="clear" w:color="auto" w:fill="FFFFFF" w:themeFill="background1"/>
            <w:noWrap/>
          </w:tcPr>
          <w:p w:rsidR="00D3293B" w:rsidRPr="007B6DC6" w:rsidRDefault="00D3293B" w:rsidP="007C39C6">
            <w:pPr>
              <w:pStyle w:val="Tablefont"/>
              <w:spacing w:before="0" w:after="0"/>
            </w:pPr>
            <w:r w:rsidRPr="007B6DC6">
              <w:t>SME</w:t>
            </w:r>
          </w:p>
        </w:tc>
        <w:tc>
          <w:tcPr>
            <w:cnfStyle w:val="000010000000"/>
            <w:tcW w:w="2797" w:type="dxa"/>
            <w:tcBorders>
              <w:bottom w:val="single" w:sz="4" w:space="0" w:color="auto"/>
            </w:tcBorders>
            <w:shd w:val="clear" w:color="auto" w:fill="FFFFFF" w:themeFill="background1"/>
          </w:tcPr>
          <w:p w:rsidR="00D3293B" w:rsidRPr="007B6DC6" w:rsidRDefault="00D3293B" w:rsidP="007C39C6">
            <w:pPr>
              <w:pStyle w:val="Tablefont"/>
              <w:spacing w:before="0" w:after="0"/>
            </w:pPr>
            <w:r w:rsidRPr="007B6DC6">
              <w:t>Southeastern Maine</w:t>
            </w:r>
          </w:p>
        </w:tc>
      </w:tr>
      <w:tr w:rsidR="00D3293B" w:rsidTr="0006317B">
        <w:trPr>
          <w:cnfStyle w:val="000000100000"/>
          <w:trHeight w:val="659"/>
        </w:trPr>
        <w:tc>
          <w:tcPr>
            <w:cnfStyle w:val="000010000000"/>
            <w:tcW w:w="4974" w:type="dxa"/>
            <w:vMerge/>
          </w:tcPr>
          <w:p w:rsidR="00D3293B" w:rsidRPr="00073EEF" w:rsidRDefault="00D3293B" w:rsidP="00DD4403">
            <w:pPr>
              <w:pStyle w:val="Tablefont"/>
            </w:pPr>
          </w:p>
        </w:tc>
        <w:tc>
          <w:tcPr>
            <w:cnfStyle w:val="000001000000"/>
            <w:tcW w:w="1305" w:type="dxa"/>
            <w:tcBorders>
              <w:top w:val="single" w:sz="4" w:space="0" w:color="auto"/>
            </w:tcBorders>
            <w:shd w:val="clear" w:color="auto" w:fill="C2D7F8" w:themeFill="text2" w:themeFillTint="33"/>
            <w:noWrap/>
          </w:tcPr>
          <w:p w:rsidR="00D3293B" w:rsidRPr="007B6DC6" w:rsidRDefault="00D3293B" w:rsidP="007C39C6">
            <w:pPr>
              <w:pStyle w:val="Tablefont"/>
              <w:spacing w:before="0" w:after="0"/>
            </w:pPr>
            <w:r w:rsidRPr="007B6DC6">
              <w:t>NH</w:t>
            </w:r>
          </w:p>
        </w:tc>
        <w:tc>
          <w:tcPr>
            <w:cnfStyle w:val="000010000000"/>
            <w:tcW w:w="2797" w:type="dxa"/>
            <w:tcBorders>
              <w:top w:val="single" w:sz="4" w:space="0" w:color="auto"/>
            </w:tcBorders>
            <w:shd w:val="clear" w:color="auto" w:fill="C2D7F8" w:themeFill="text2" w:themeFillTint="33"/>
          </w:tcPr>
          <w:p w:rsidR="00D3293B" w:rsidRPr="007B6DC6" w:rsidRDefault="00D3293B" w:rsidP="007C39C6">
            <w:pPr>
              <w:pStyle w:val="Tablefont"/>
              <w:spacing w:before="0" w:after="0"/>
            </w:pPr>
            <w:r w:rsidRPr="007B6DC6">
              <w:t xml:space="preserve">Northern, eastern, and central </w:t>
            </w:r>
            <w:r w:rsidRPr="007B6DC6">
              <w:br/>
              <w:t>New Hampshire/eastern Vermont and southwestern Maine</w:t>
            </w:r>
          </w:p>
        </w:tc>
      </w:tr>
      <w:tr w:rsidR="00D3293B" w:rsidTr="0006317B">
        <w:trPr>
          <w:cnfStyle w:val="000000010000"/>
          <w:trHeight w:val="461"/>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r w:rsidRPr="007B6DC6">
              <w:t>VT</w:t>
            </w:r>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Vermont/southwestern New Hampshire</w:t>
            </w:r>
          </w:p>
        </w:tc>
      </w:tr>
      <w:tr w:rsidR="00D3293B" w:rsidTr="007C39C6">
        <w:trPr>
          <w:cnfStyle w:val="000000100000"/>
          <w:trHeight w:val="488"/>
        </w:trPr>
        <w:tc>
          <w:tcPr>
            <w:cnfStyle w:val="000010000000"/>
            <w:tcW w:w="4974" w:type="dxa"/>
            <w:vMerge/>
          </w:tcPr>
          <w:p w:rsidR="00D3293B" w:rsidRPr="001477EB" w:rsidRDefault="00D3293B" w:rsidP="00DD4403">
            <w:pPr>
              <w:pStyle w:val="Tablefont"/>
            </w:pPr>
          </w:p>
        </w:tc>
        <w:tc>
          <w:tcPr>
            <w:cnfStyle w:val="000001000000"/>
            <w:tcW w:w="1305" w:type="dxa"/>
            <w:shd w:val="clear" w:color="auto" w:fill="C2D7F8" w:themeFill="text2" w:themeFillTint="33"/>
            <w:noWrap/>
          </w:tcPr>
          <w:p w:rsidR="00D3293B" w:rsidRPr="007B6DC6" w:rsidRDefault="00D3293B" w:rsidP="007C39C6">
            <w:pPr>
              <w:pStyle w:val="Tablefont"/>
              <w:spacing w:before="0" w:after="0"/>
            </w:pPr>
            <w:r w:rsidRPr="007B6DC6">
              <w:rPr>
                <w:caps/>
              </w:rPr>
              <w:t>Boston</w:t>
            </w:r>
            <w:r w:rsidRPr="007B6DC6">
              <w:rPr>
                <w:caps/>
              </w:rPr>
              <w:br/>
            </w:r>
            <w:r w:rsidRPr="007B6DC6">
              <w:t>(all capitalized)</w:t>
            </w:r>
          </w:p>
        </w:tc>
        <w:tc>
          <w:tcPr>
            <w:cnfStyle w:val="000010000000"/>
            <w:tcW w:w="2797" w:type="dxa"/>
            <w:shd w:val="clear" w:color="auto" w:fill="C2D7F8" w:themeFill="text2" w:themeFillTint="33"/>
          </w:tcPr>
          <w:p w:rsidR="00D3293B" w:rsidRPr="007B6DC6" w:rsidRDefault="00D3293B" w:rsidP="007C39C6">
            <w:pPr>
              <w:pStyle w:val="Tablefont"/>
              <w:spacing w:before="0" w:after="0"/>
            </w:pPr>
            <w:r w:rsidRPr="007B6DC6">
              <w:t>Greater Boston, including the North Shore</w:t>
            </w:r>
          </w:p>
        </w:tc>
      </w:tr>
      <w:tr w:rsidR="00D3293B" w:rsidTr="0006317B">
        <w:trPr>
          <w:cnfStyle w:val="000000010000"/>
          <w:trHeight w:val="421"/>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smartTag w:uri="urn:schemas-microsoft-com:office:smarttags" w:element="stockticker">
              <w:r w:rsidRPr="007B6DC6">
                <w:t>CMA</w:t>
              </w:r>
            </w:smartTag>
            <w:r w:rsidRPr="007B6DC6">
              <w:t>/NEMA</w:t>
            </w:r>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 xml:space="preserve">Central Massachusetts/ </w:t>
            </w:r>
            <w:r w:rsidRPr="007B6DC6">
              <w:br/>
              <w:t>northeastern Massachusetts</w:t>
            </w:r>
          </w:p>
        </w:tc>
      </w:tr>
      <w:tr w:rsidR="00D3293B" w:rsidTr="007C39C6">
        <w:trPr>
          <w:cnfStyle w:val="000000100000"/>
          <w:trHeight w:val="263"/>
        </w:trPr>
        <w:tc>
          <w:tcPr>
            <w:cnfStyle w:val="000010000000"/>
            <w:tcW w:w="4974" w:type="dxa"/>
            <w:vMerge/>
          </w:tcPr>
          <w:p w:rsidR="00D3293B" w:rsidRPr="00073EEF" w:rsidRDefault="00D3293B" w:rsidP="00DD4403">
            <w:pPr>
              <w:pStyle w:val="Tablefont"/>
            </w:pPr>
          </w:p>
        </w:tc>
        <w:tc>
          <w:tcPr>
            <w:cnfStyle w:val="000001000000"/>
            <w:tcW w:w="1305" w:type="dxa"/>
            <w:shd w:val="clear" w:color="auto" w:fill="C2D7F8" w:themeFill="text2" w:themeFillTint="33"/>
            <w:noWrap/>
          </w:tcPr>
          <w:p w:rsidR="00D3293B" w:rsidRPr="007B6DC6" w:rsidRDefault="00D3293B" w:rsidP="007C39C6">
            <w:pPr>
              <w:pStyle w:val="Tablefont"/>
              <w:spacing w:before="0" w:after="0"/>
            </w:pPr>
            <w:r w:rsidRPr="007B6DC6">
              <w:t>WMA</w:t>
            </w:r>
          </w:p>
        </w:tc>
        <w:tc>
          <w:tcPr>
            <w:cnfStyle w:val="000010000000"/>
            <w:tcW w:w="2797" w:type="dxa"/>
            <w:shd w:val="clear" w:color="auto" w:fill="C2D7F8" w:themeFill="text2" w:themeFillTint="33"/>
          </w:tcPr>
          <w:p w:rsidR="00D3293B" w:rsidRPr="007B6DC6" w:rsidRDefault="00D3293B" w:rsidP="007C39C6">
            <w:pPr>
              <w:pStyle w:val="Tablefont"/>
              <w:spacing w:before="0" w:after="0"/>
            </w:pPr>
            <w:r w:rsidRPr="007B6DC6">
              <w:t>Western Massachusetts</w:t>
            </w:r>
          </w:p>
        </w:tc>
      </w:tr>
      <w:tr w:rsidR="00D3293B" w:rsidTr="0006317B">
        <w:trPr>
          <w:cnfStyle w:val="000000010000"/>
          <w:trHeight w:val="421"/>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smartTag w:uri="urn:schemas-microsoft-com:office:smarttags" w:element="stockticker">
              <w:r w:rsidRPr="007B6DC6">
                <w:t>SEMA</w:t>
              </w:r>
            </w:smartTag>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Southeastern Massachusetts/</w:t>
            </w:r>
            <w:r w:rsidRPr="007B6DC6">
              <w:br/>
              <w:t>Newport, Rhode Island</w:t>
            </w:r>
          </w:p>
        </w:tc>
      </w:tr>
      <w:tr w:rsidR="00D3293B" w:rsidTr="007C39C6">
        <w:trPr>
          <w:cnfStyle w:val="000000100000"/>
          <w:trHeight w:val="421"/>
        </w:trPr>
        <w:tc>
          <w:tcPr>
            <w:cnfStyle w:val="000010000000"/>
            <w:tcW w:w="4974" w:type="dxa"/>
            <w:vMerge/>
          </w:tcPr>
          <w:p w:rsidR="00D3293B" w:rsidRPr="00073EEF" w:rsidRDefault="00D3293B" w:rsidP="00DD4403">
            <w:pPr>
              <w:pStyle w:val="Tablefont"/>
            </w:pPr>
          </w:p>
        </w:tc>
        <w:tc>
          <w:tcPr>
            <w:cnfStyle w:val="000001000000"/>
            <w:tcW w:w="1305" w:type="dxa"/>
            <w:shd w:val="clear" w:color="auto" w:fill="C2D7F8" w:themeFill="text2" w:themeFillTint="33"/>
            <w:noWrap/>
          </w:tcPr>
          <w:p w:rsidR="00D3293B" w:rsidRPr="007B6DC6" w:rsidRDefault="00D3293B" w:rsidP="007C39C6">
            <w:pPr>
              <w:pStyle w:val="Tablefont"/>
              <w:spacing w:before="0" w:after="0"/>
            </w:pPr>
            <w:r w:rsidRPr="007B6DC6">
              <w:t>RI</w:t>
            </w:r>
          </w:p>
        </w:tc>
        <w:tc>
          <w:tcPr>
            <w:cnfStyle w:val="000010000000"/>
            <w:tcW w:w="2797" w:type="dxa"/>
            <w:shd w:val="clear" w:color="auto" w:fill="C2D7F8" w:themeFill="text2" w:themeFillTint="33"/>
          </w:tcPr>
          <w:p w:rsidR="00D3293B" w:rsidRPr="007B6DC6" w:rsidRDefault="00D3293B" w:rsidP="007C39C6">
            <w:pPr>
              <w:pStyle w:val="Tablefont"/>
              <w:spacing w:before="0" w:after="0"/>
            </w:pPr>
            <w:r w:rsidRPr="007B6DC6">
              <w:t>Rhode Island/bordering Massachusetts</w:t>
            </w:r>
          </w:p>
        </w:tc>
      </w:tr>
      <w:tr w:rsidR="00D3293B" w:rsidTr="0006317B">
        <w:trPr>
          <w:cnfStyle w:val="000000010000"/>
          <w:trHeight w:val="317"/>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r w:rsidRPr="007B6DC6">
              <w:t>CT</w:t>
            </w:r>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Northern and eastern Connecticut</w:t>
            </w:r>
          </w:p>
        </w:tc>
      </w:tr>
      <w:tr w:rsidR="00D3293B" w:rsidTr="007C39C6">
        <w:trPr>
          <w:cnfStyle w:val="000000100000"/>
          <w:trHeight w:val="299"/>
        </w:trPr>
        <w:tc>
          <w:tcPr>
            <w:cnfStyle w:val="000010000000"/>
            <w:tcW w:w="4974" w:type="dxa"/>
            <w:vMerge/>
          </w:tcPr>
          <w:p w:rsidR="00D3293B" w:rsidRPr="00073EEF" w:rsidRDefault="00D3293B" w:rsidP="00DD4403">
            <w:pPr>
              <w:pStyle w:val="Tablefont"/>
            </w:pPr>
          </w:p>
        </w:tc>
        <w:tc>
          <w:tcPr>
            <w:cnfStyle w:val="000001000000"/>
            <w:tcW w:w="1305" w:type="dxa"/>
            <w:shd w:val="clear" w:color="auto" w:fill="C2D7F8" w:themeFill="text2" w:themeFillTint="33"/>
            <w:noWrap/>
          </w:tcPr>
          <w:p w:rsidR="00D3293B" w:rsidRPr="007B6DC6" w:rsidRDefault="00D3293B" w:rsidP="007C39C6">
            <w:pPr>
              <w:pStyle w:val="Tablefont"/>
              <w:spacing w:before="0" w:after="0"/>
            </w:pPr>
            <w:r w:rsidRPr="007B6DC6">
              <w:t>SWCT</w:t>
            </w:r>
          </w:p>
        </w:tc>
        <w:tc>
          <w:tcPr>
            <w:cnfStyle w:val="000010000000"/>
            <w:tcW w:w="2797" w:type="dxa"/>
            <w:shd w:val="clear" w:color="auto" w:fill="C2D7F8" w:themeFill="text2" w:themeFillTint="33"/>
          </w:tcPr>
          <w:p w:rsidR="00D3293B" w:rsidRPr="007B6DC6" w:rsidRDefault="00D3293B" w:rsidP="007C39C6">
            <w:pPr>
              <w:pStyle w:val="Tablefont"/>
              <w:spacing w:before="0" w:after="0"/>
            </w:pPr>
            <w:r w:rsidRPr="007B6DC6">
              <w:t>Southwestern Connecticut</w:t>
            </w:r>
          </w:p>
        </w:tc>
      </w:tr>
      <w:tr w:rsidR="00D3293B" w:rsidTr="0006317B">
        <w:trPr>
          <w:cnfStyle w:val="000000010000"/>
          <w:trHeight w:val="389"/>
        </w:trPr>
        <w:tc>
          <w:tcPr>
            <w:cnfStyle w:val="000010000000"/>
            <w:tcW w:w="4974" w:type="dxa"/>
            <w:vMerge/>
          </w:tcPr>
          <w:p w:rsidR="00D3293B" w:rsidRPr="00073EEF" w:rsidRDefault="00D3293B" w:rsidP="00DD4403">
            <w:pPr>
              <w:pStyle w:val="Tablefont"/>
            </w:pPr>
          </w:p>
        </w:tc>
        <w:tc>
          <w:tcPr>
            <w:cnfStyle w:val="000001000000"/>
            <w:tcW w:w="1305" w:type="dxa"/>
            <w:shd w:val="clear" w:color="auto" w:fill="FFFFFF" w:themeFill="background1"/>
            <w:noWrap/>
          </w:tcPr>
          <w:p w:rsidR="00D3293B" w:rsidRPr="007B6DC6" w:rsidRDefault="00D3293B" w:rsidP="007C39C6">
            <w:pPr>
              <w:pStyle w:val="Tablefont"/>
              <w:spacing w:before="0" w:after="0"/>
            </w:pPr>
            <w:smartTag w:uri="urn:schemas-microsoft-com:office:smarttags" w:element="stockticker">
              <w:r w:rsidRPr="007B6DC6">
                <w:t>NOR</w:t>
              </w:r>
            </w:smartTag>
          </w:p>
        </w:tc>
        <w:tc>
          <w:tcPr>
            <w:cnfStyle w:val="000010000000"/>
            <w:tcW w:w="2797" w:type="dxa"/>
            <w:shd w:val="clear" w:color="auto" w:fill="FFFFFF" w:themeFill="background1"/>
          </w:tcPr>
          <w:p w:rsidR="00D3293B" w:rsidRPr="007B6DC6" w:rsidRDefault="00D3293B" w:rsidP="007C39C6">
            <w:pPr>
              <w:pStyle w:val="Tablefont"/>
              <w:spacing w:before="0" w:after="0"/>
            </w:pPr>
            <w:r w:rsidRPr="007B6DC6">
              <w:t>Norwalk/Stamford, Connecticut</w:t>
            </w:r>
          </w:p>
        </w:tc>
      </w:tr>
      <w:tr w:rsidR="00D3293B" w:rsidTr="007C39C6">
        <w:trPr>
          <w:cnfStyle w:val="000000100000"/>
          <w:trHeight w:val="659"/>
        </w:trPr>
        <w:tc>
          <w:tcPr>
            <w:cnfStyle w:val="000010000000"/>
            <w:tcW w:w="4974" w:type="dxa"/>
            <w:vMerge/>
          </w:tcPr>
          <w:p w:rsidR="00D3293B" w:rsidRPr="00073EEF" w:rsidRDefault="00D3293B" w:rsidP="00DD4403">
            <w:pPr>
              <w:pStyle w:val="Tablefont"/>
            </w:pPr>
          </w:p>
        </w:tc>
        <w:tc>
          <w:tcPr>
            <w:cnfStyle w:val="000001000000"/>
            <w:tcW w:w="1305" w:type="dxa"/>
            <w:shd w:val="clear" w:color="auto" w:fill="C2D7F8" w:themeFill="text2" w:themeFillTint="33"/>
            <w:noWrap/>
          </w:tcPr>
          <w:p w:rsidR="00D3293B" w:rsidRPr="007B6DC6" w:rsidRDefault="00D3293B" w:rsidP="007C39C6">
            <w:pPr>
              <w:pStyle w:val="Tablefont"/>
              <w:spacing w:before="0" w:after="0"/>
            </w:pPr>
            <w:r w:rsidRPr="007B6DC6">
              <w:t>NB, HQ,</w:t>
            </w:r>
            <w:r w:rsidRPr="007B6DC6">
              <w:br/>
              <w:t>and NY</w:t>
            </w:r>
          </w:p>
        </w:tc>
        <w:tc>
          <w:tcPr>
            <w:cnfStyle w:val="000010000000"/>
            <w:tcW w:w="2797" w:type="dxa"/>
            <w:shd w:val="clear" w:color="auto" w:fill="C2D7F8" w:themeFill="text2" w:themeFillTint="33"/>
          </w:tcPr>
          <w:p w:rsidR="00D3293B" w:rsidRPr="007B6DC6" w:rsidRDefault="00D3293B" w:rsidP="007C39C6">
            <w:pPr>
              <w:pStyle w:val="Tablefont"/>
              <w:spacing w:before="0" w:after="0"/>
            </w:pPr>
            <w:r w:rsidRPr="007B6DC6">
              <w:t>New Brunswick (Maritimes), Hydro</w:t>
            </w:r>
            <w:r w:rsidRPr="007B6DC6">
              <w:rPr>
                <w:rFonts w:cs="Arial"/>
              </w:rPr>
              <w:t>­</w:t>
            </w:r>
            <w:r w:rsidRPr="007B6DC6">
              <w:t>Québec, and New York external balancing authority areas</w:t>
            </w:r>
          </w:p>
        </w:tc>
      </w:tr>
    </w:tbl>
    <w:p w:rsidR="00D3293B" w:rsidRDefault="00D3293B" w:rsidP="009B5502">
      <w:pPr>
        <w:pStyle w:val="Caption-Figure"/>
        <w:ind w:left="187" w:right="187"/>
      </w:pPr>
      <w:bookmarkStart w:id="68" w:name="_Ref229901815"/>
      <w:bookmarkStart w:id="69" w:name="_Toc239157182"/>
      <w:bookmarkStart w:id="70" w:name="_Toc271552367"/>
      <w:r>
        <w:t>Figure </w:t>
      </w:r>
      <w:r w:rsidR="00832C7A">
        <w:fldChar w:fldCharType="begin"/>
      </w:r>
      <w:r w:rsidR="00807C8D">
        <w:instrText xml:space="preserve"> STYLEREF 1 \s </w:instrText>
      </w:r>
      <w:r w:rsidR="00832C7A">
        <w:fldChar w:fldCharType="separate"/>
      </w:r>
      <w:r w:rsidR="00E5699E">
        <w:rPr>
          <w:noProof/>
        </w:rPr>
        <w:t>2</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68"/>
      <w:r>
        <w:t xml:space="preserve">: </w:t>
      </w:r>
      <w:r w:rsidRPr="00C70BA3">
        <w:t>RSP</w:t>
      </w:r>
      <w:r w:rsidR="00E53725">
        <w:t>10</w:t>
      </w:r>
      <w:r w:rsidRPr="00C70BA3">
        <w:t xml:space="preserve"> geographic scope of the New England electric power system.</w:t>
      </w:r>
      <w:bookmarkEnd w:id="69"/>
      <w:bookmarkEnd w:id="70"/>
    </w:p>
    <w:p w:rsidR="00D3293B" w:rsidRDefault="00D3293B" w:rsidP="00E45293">
      <w:pPr>
        <w:pStyle w:val="TableNote"/>
        <w:keepLines/>
        <w:spacing w:before="0"/>
        <w:ind w:left="187" w:right="187"/>
      </w:pPr>
      <w:r w:rsidRPr="003053DF">
        <w:rPr>
          <w:b/>
          <w:szCs w:val="16"/>
        </w:rPr>
        <w:t>Notes</w:t>
      </w:r>
      <w:r w:rsidRPr="003053DF">
        <w:rPr>
          <w:rStyle w:val="StyleCaption-Figure-Text8ptNotBold"/>
        </w:rPr>
        <w:t>:</w:t>
      </w:r>
      <w:r w:rsidRPr="00AC49A3">
        <w:rPr>
          <w:szCs w:val="16"/>
        </w:rPr>
        <w:t xml:space="preserve"> </w:t>
      </w:r>
      <w:r w:rsidRPr="00AC49A3">
        <w:t xml:space="preserve">Some RSP studies investigate conditions in </w:t>
      </w:r>
      <w:r w:rsidRPr="00A9732C">
        <w:rPr>
          <w:i/>
        </w:rPr>
        <w:t>Greater Connecticut</w:t>
      </w:r>
      <w:r w:rsidRPr="00AC49A3">
        <w:t xml:space="preserve">, which combines the </w:t>
      </w:r>
      <w:smartTag w:uri="urn:schemas-microsoft-com:office:smarttags" w:element="stockticker">
        <w:r w:rsidRPr="00AC49A3">
          <w:t>NOR</w:t>
        </w:r>
      </w:smartTag>
      <w:r w:rsidRPr="00AC49A3">
        <w:t xml:space="preserve">, SWCT, and CT </w:t>
      </w:r>
      <w:r>
        <w:t>s</w:t>
      </w:r>
      <w:r w:rsidRPr="00AC49A3">
        <w:t>ubareas</w:t>
      </w:r>
      <w:r>
        <w:t xml:space="preserve">. </w:t>
      </w:r>
      <w:r w:rsidRPr="00AC49A3">
        <w:t>This</w:t>
      </w:r>
      <w:r>
        <w:t xml:space="preserve"> </w:t>
      </w:r>
      <w:r w:rsidRPr="00AC49A3">
        <w:t xml:space="preserve">area has similar boundaries to the State of Connecticut but is slightly smaller </w:t>
      </w:r>
      <w:r>
        <w:t xml:space="preserve">because of </w:t>
      </w:r>
      <w:r w:rsidRPr="00AC49A3">
        <w:t xml:space="preserve">electrical system </w:t>
      </w:r>
      <w:r>
        <w:t xml:space="preserve">configurations </w:t>
      </w:r>
      <w:r w:rsidRPr="00AC49A3">
        <w:t>near</w:t>
      </w:r>
      <w:r>
        <w:t xml:space="preserve"> </w:t>
      </w:r>
      <w:r w:rsidRPr="00AC49A3">
        <w:t>the</w:t>
      </w:r>
      <w:r>
        <w:t xml:space="preserve"> </w:t>
      </w:r>
      <w:r w:rsidRPr="00AC49A3">
        <w:t xml:space="preserve">border with western Massachusetts. </w:t>
      </w:r>
      <w:r w:rsidRPr="00A9732C">
        <w:rPr>
          <w:i/>
        </w:rPr>
        <w:t>Greater Southwest Connecticut</w:t>
      </w:r>
      <w:r w:rsidRPr="00AC49A3">
        <w:t xml:space="preserve"> includes the southwest and western portions of </w:t>
      </w:r>
      <w:smartTag w:uri="urn:schemas-microsoft-com:office:smarttags" w:element="place">
        <w:smartTag w:uri="urn:schemas-microsoft-com:office:smarttags" w:element="State">
          <w:r w:rsidRPr="00AC49A3">
            <w:t>Connecticut</w:t>
          </w:r>
        </w:smartTag>
      </w:smartTag>
      <w:r w:rsidRPr="00AC49A3">
        <w:t xml:space="preserve"> and </w:t>
      </w:r>
      <w:r>
        <w:t xml:space="preserve">consists of </w:t>
      </w:r>
      <w:r w:rsidRPr="00AC49A3">
        <w:t xml:space="preserve">the </w:t>
      </w:r>
      <w:smartTag w:uri="urn:schemas-microsoft-com:office:smarttags" w:element="stockticker">
        <w:r w:rsidRPr="00AC49A3">
          <w:t>NOR</w:t>
        </w:r>
      </w:smartTag>
      <w:r w:rsidRPr="00AC49A3">
        <w:t xml:space="preserve"> and SWCT </w:t>
      </w:r>
      <w:r>
        <w:t>s</w:t>
      </w:r>
      <w:r w:rsidRPr="00AC49A3">
        <w:t>ubareas</w:t>
      </w:r>
      <w:r w:rsidRPr="00936A79">
        <w:t xml:space="preserve">. NB includes </w:t>
      </w:r>
      <w:smartTag w:uri="urn:schemas-microsoft-com:office:smarttags" w:element="City">
        <w:r w:rsidRPr="00936A79">
          <w:t>New Brunswick</w:t>
        </w:r>
      </w:smartTag>
      <w:r w:rsidRPr="00936A79">
        <w:t xml:space="preserve">, </w:t>
      </w:r>
      <w:smartTag w:uri="urn:schemas-microsoft-com:office:smarttags" w:element="State">
        <w:r w:rsidRPr="00936A79">
          <w:t>Nova Scotia</w:t>
        </w:r>
      </w:smartTag>
      <w:r w:rsidRPr="00936A79">
        <w:t xml:space="preserve">, and </w:t>
      </w:r>
      <w:smartTag w:uri="urn:schemas-microsoft-com:office:smarttags" w:element="State">
        <w:r w:rsidRPr="00936A79">
          <w:t>Prince Edward Island</w:t>
        </w:r>
      </w:smartTag>
      <w:r w:rsidRPr="00936A79">
        <w:t xml:space="preserve"> (i.e., the Maritime </w:t>
      </w:r>
      <w:r w:rsidRPr="00C95803">
        <w:t>provinces)</w:t>
      </w:r>
      <w:r>
        <w:t xml:space="preserve"> plus the area served by the Northern Maine Independent System Administ</w:t>
      </w:r>
      <w:r w:rsidRPr="001060F3">
        <w:t>rator (</w:t>
      </w:r>
      <w:r w:rsidR="003174D8" w:rsidRPr="001060F3">
        <w:t>USA</w:t>
      </w:r>
      <w:r w:rsidRPr="001060F3">
        <w:t>).</w:t>
      </w:r>
    </w:p>
    <w:p w:rsidR="00183D57" w:rsidRDefault="00183D57" w:rsidP="00073277">
      <w:pPr>
        <w:sectPr w:rsidR="00183D57" w:rsidSect="00015282">
          <w:pgSz w:w="12240" w:h="15840" w:code="1"/>
          <w:pgMar w:top="1350" w:right="1440" w:bottom="1440" w:left="1440" w:header="720" w:footer="720" w:gutter="0"/>
          <w:cols w:space="720"/>
          <w:docGrid w:linePitch="360"/>
        </w:sectPr>
      </w:pPr>
    </w:p>
    <w:p w:rsidR="0034080E" w:rsidRDefault="0034080E" w:rsidP="00DF39BB">
      <w:pPr>
        <w:pStyle w:val="Heading1"/>
      </w:pPr>
      <w:r w:rsidRPr="006831AA">
        <w:br/>
      </w:r>
      <w:bookmarkStart w:id="71" w:name="_Toc201669905"/>
      <w:bookmarkStart w:id="72" w:name="_Ref202020650"/>
      <w:bookmarkStart w:id="73" w:name="_Ref202176291"/>
      <w:bookmarkStart w:id="74" w:name="_Ref202452244"/>
      <w:bookmarkStart w:id="75" w:name="_Toc207531806"/>
      <w:bookmarkStart w:id="76" w:name="_Ref235964638"/>
      <w:bookmarkStart w:id="77" w:name="_Toc239157050"/>
      <w:bookmarkStart w:id="78" w:name="_Ref262118258"/>
      <w:bookmarkStart w:id="79" w:name="_Ref262119651"/>
      <w:bookmarkStart w:id="80" w:name="_Ref267384493"/>
      <w:bookmarkStart w:id="81" w:name="_Ref267384519"/>
      <w:bookmarkStart w:id="82" w:name="_Ref267384532"/>
      <w:bookmarkStart w:id="83" w:name="_Ref267385631"/>
      <w:bookmarkStart w:id="84" w:name="_Toc271632208"/>
      <w:r w:rsidRPr="0065552E">
        <w:t>Forecasts of Annual and Peak Use</w:t>
      </w:r>
      <w:r w:rsidRPr="0065552E">
        <w:br/>
        <w:t>of</w:t>
      </w:r>
      <w:r>
        <w:t xml:space="preserve"> </w:t>
      </w:r>
      <w:r w:rsidRPr="0065552E">
        <w:t>Electric</w:t>
      </w:r>
      <w:r>
        <w:t xml:space="preserve"> </w:t>
      </w:r>
      <w:r w:rsidRPr="0065552E">
        <w:t>Energy</w:t>
      </w:r>
      <w:r>
        <w:t xml:space="preserve"> </w:t>
      </w:r>
      <w:r w:rsidRPr="0065552E">
        <w:t>in</w:t>
      </w:r>
      <w:r>
        <w:t xml:space="preserve"> </w:t>
      </w:r>
      <w:r w:rsidRPr="0065552E">
        <w:t>New</w:t>
      </w:r>
      <w:r>
        <w:t xml:space="preserve"> </w:t>
      </w:r>
      <w:r w:rsidRPr="0065552E">
        <w:t>England</w:t>
      </w:r>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34080E" w:rsidRDefault="00832C7A" w:rsidP="00073277">
      <w:r>
        <w:rPr>
          <w:noProof/>
        </w:rPr>
        <w:pict>
          <v:shape id="_x0000_s1028" type="#_x0000_t202" style="position:absolute;margin-left:9057.8pt;margin-top:89.4pt;width:162.4pt;height:113.4pt;z-index:251701248;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28" inset="8.64pt,8.64pt,8.64pt,8.64pt">
              <w:txbxContent>
                <w:p w:rsidR="003C78A4" w:rsidRDefault="003C78A4" w:rsidP="00651C37">
                  <w:pPr>
                    <w:pStyle w:val="BodyText1"/>
                  </w:pPr>
                  <w:r w:rsidRPr="00651C37">
                    <w:t>“The RSP shall, among other things ….</w:t>
                  </w:r>
                  <w:r>
                    <w:t xml:space="preserve"> </w:t>
                  </w:r>
                  <w:r w:rsidRPr="00651C37">
                    <w:t>(ii)</w:t>
                  </w:r>
                  <w:r>
                    <w:t xml:space="preserve"> </w:t>
                  </w:r>
                  <w:r w:rsidRPr="00651C37">
                    <w:t>provide the projected annual and peak demands for electric energy for a five- to ten-year horizon</w:t>
                  </w:r>
                  <w:r>
                    <w:t>.</w:t>
                  </w:r>
                  <w:r w:rsidRPr="00651C37">
                    <w:t xml:space="preserve">” (Attachment K, § 3.1) </w:t>
                  </w:r>
                </w:p>
                <w:p w:rsidR="003C78A4" w:rsidRPr="00651C37" w:rsidRDefault="003C78A4" w:rsidP="00651C37">
                  <w:pPr>
                    <w:pStyle w:val="BodyText1"/>
                  </w:pPr>
                  <w:r w:rsidRPr="00651C37">
                    <w:t>“The RSP shall be based on a five- to ten-year planning horizon, and reflect five- to ten-year capacity and load forecasts.” (Attachment K, §</w:t>
                  </w:r>
                  <w:r>
                    <w:t xml:space="preserve"> </w:t>
                  </w:r>
                  <w:r w:rsidRPr="00651C37">
                    <w:t>3.3)</w:t>
                  </w:r>
                </w:p>
                <w:p w:rsidR="003C78A4" w:rsidRPr="00575155" w:rsidRDefault="003C78A4" w:rsidP="00E32D0B">
                  <w:pPr>
                    <w:rPr>
                      <w:szCs w:val="14"/>
                    </w:rPr>
                  </w:pPr>
                </w:p>
              </w:txbxContent>
            </v:textbox>
            <w10:wrap type="square" anchorx="margin" anchory="margin"/>
          </v:shape>
        </w:pict>
      </w:r>
      <w:r w:rsidR="0034080E" w:rsidRPr="00D72BB9">
        <w:t xml:space="preserve">Load </w:t>
      </w:r>
      <w:r w:rsidR="0034080E" w:rsidRPr="00EA1C29">
        <w:t xml:space="preserve">forecasts </w:t>
      </w:r>
      <w:r w:rsidR="0034080E" w:rsidRPr="00E47476">
        <w:t xml:space="preserve">provide </w:t>
      </w:r>
      <w:r w:rsidR="0034080E">
        <w:t xml:space="preserve">key </w:t>
      </w:r>
      <w:r w:rsidR="0034080E" w:rsidRPr="00E47476">
        <w:t xml:space="preserve">inputs </w:t>
      </w:r>
      <w:r w:rsidR="0034080E">
        <w:t>for evaluating</w:t>
      </w:r>
      <w:r w:rsidR="0034080E" w:rsidRPr="0023205F">
        <w:t xml:space="preserve"> the reliability </w:t>
      </w:r>
      <w:r w:rsidR="0034080E">
        <w:t xml:space="preserve">and economic performance </w:t>
      </w:r>
      <w:r w:rsidR="0034080E" w:rsidRPr="0023205F">
        <w:t>of the</w:t>
      </w:r>
      <w:r w:rsidR="0034080E" w:rsidRPr="00E6383C">
        <w:t xml:space="preserve"> </w:t>
      </w:r>
      <w:r w:rsidR="00E00558">
        <w:t xml:space="preserve">electric </w:t>
      </w:r>
      <w:r w:rsidR="0034080E" w:rsidRPr="00E6383C">
        <w:t>power system under various conditions</w:t>
      </w:r>
      <w:r w:rsidR="0034080E">
        <w:t xml:space="preserve"> and for determining whether and when improvements are needed. This section summarizes the short- and long-run forecasts of the annual and peak use of electric energy, New England-wide and in the states </w:t>
      </w:r>
      <w:r w:rsidR="0034080E" w:rsidRPr="003E20BA">
        <w:t>and subarea</w:t>
      </w:r>
      <w:r w:rsidR="0034080E">
        <w:t xml:space="preserve">s. The section describes the economic and demographic factors that drive </w:t>
      </w:r>
      <w:r w:rsidR="0034080E" w:rsidRPr="00217B69">
        <w:t>the forecasts and explains the forecast methodology. It also summarizes the recent review of the ISO’s forecast methodology</w:t>
      </w:r>
      <w:r w:rsidR="0034080E">
        <w:t xml:space="preserve">, which reflects input from stakeholders and </w:t>
      </w:r>
      <w:r w:rsidR="0034080E" w:rsidRPr="00883D19">
        <w:t>includ</w:t>
      </w:r>
      <w:r w:rsidR="0034080E">
        <w:t>es</w:t>
      </w:r>
      <w:r w:rsidR="0034080E" w:rsidRPr="00883D19">
        <w:t xml:space="preserve"> suggestions for improved transparency and technical accuracy.</w:t>
      </w:r>
      <w:r w:rsidR="0034080E" w:rsidRPr="00F87130">
        <w:t xml:space="preserve"> </w:t>
      </w:r>
    </w:p>
    <w:p w:rsidR="002878A4" w:rsidRDefault="0034080E" w:rsidP="009D1346">
      <w:pPr>
        <w:pStyle w:val="Heading2"/>
      </w:pPr>
      <w:bookmarkStart w:id="85" w:name="_Ref173229181"/>
      <w:bookmarkStart w:id="86" w:name="_Toc176244989"/>
      <w:bookmarkStart w:id="87" w:name="_Toc201669906"/>
      <w:bookmarkStart w:id="88" w:name="_Toc207531807"/>
      <w:bookmarkStart w:id="89" w:name="_Toc239157051"/>
      <w:bookmarkStart w:id="90" w:name="_Toc271632209"/>
      <w:r w:rsidRPr="005E539A">
        <w:t>Short- and Long-Run Forecasts</w:t>
      </w:r>
      <w:bookmarkEnd w:id="85"/>
      <w:bookmarkEnd w:id="86"/>
      <w:bookmarkEnd w:id="87"/>
      <w:bookmarkEnd w:id="88"/>
      <w:bookmarkEnd w:id="89"/>
      <w:bookmarkEnd w:id="90"/>
    </w:p>
    <w:p w:rsidR="0034080E" w:rsidRDefault="0034080E" w:rsidP="00073277">
      <w:r w:rsidRPr="00F5138D">
        <w:t xml:space="preserve">The ISO forecasts are estimates of the total amounts of electric energy </w:t>
      </w:r>
      <w:r>
        <w:t>that will be needed in</w:t>
      </w:r>
      <w:r w:rsidRPr="00F5138D">
        <w:t xml:space="preserve"> the New</w:t>
      </w:r>
      <w:r>
        <w:t> </w:t>
      </w:r>
      <w:r w:rsidRPr="00F5138D">
        <w:t>England states annually</w:t>
      </w:r>
      <w:r>
        <w:t xml:space="preserve"> and during seasonal peak hours. The short-run forecast projects </w:t>
      </w:r>
      <w:r w:rsidRPr="00E47476">
        <w:t xml:space="preserve">peak load and annual energy use </w:t>
      </w:r>
      <w:r>
        <w:t>for 2010 and 2011. The long-run forecast provides load data for</w:t>
      </w:r>
      <w:r w:rsidRPr="00E47476">
        <w:t xml:space="preserve"> </w:t>
      </w:r>
      <w:r>
        <w:t>201</w:t>
      </w:r>
      <w:r w:rsidRPr="00E47476">
        <w:t>2</w:t>
      </w:r>
      <w:r>
        <w:t xml:space="preserve"> </w:t>
      </w:r>
      <w:r w:rsidRPr="00E47476">
        <w:t xml:space="preserve">through </w:t>
      </w:r>
      <w:r>
        <w:t>winter 20</w:t>
      </w:r>
      <w:r w:rsidRPr="00E47476">
        <w:t>19</w:t>
      </w:r>
      <w:r>
        <w:t>/2020. Each forecast cycle updates the data for the region’s historical annual and peak use of electric energy by including an additional year of data, the most recent</w:t>
      </w:r>
      <w:r w:rsidRPr="00344567">
        <w:t xml:space="preserve"> economic and demographic forecast</w:t>
      </w:r>
      <w:r>
        <w:t xml:space="preserve">s, and </w:t>
      </w:r>
      <w:r w:rsidRPr="00344567">
        <w:t>resettlement adjustments</w:t>
      </w:r>
      <w:r>
        <w:t xml:space="preserve"> that include meter </w:t>
      </w:r>
      <w:r w:rsidRPr="00D106FF">
        <w:t>corrections.</w:t>
      </w:r>
      <w:r w:rsidRPr="00D106FF">
        <w:rPr>
          <w:rStyle w:val="FootnoteReference"/>
          <w:sz w:val="22"/>
        </w:rPr>
        <w:footnoteReference w:id="61"/>
      </w:r>
    </w:p>
    <w:p w:rsidR="0034080E" w:rsidRDefault="0034080E" w:rsidP="00073277">
      <w:r w:rsidRPr="004A6638">
        <w:t>The current economic recession dominates the changes in the annual and seasonal peak</w:t>
      </w:r>
      <w:r>
        <w:t>-</w:t>
      </w:r>
      <w:r w:rsidRPr="004A6638">
        <w:t>load forecasts.</w:t>
      </w:r>
      <w:r w:rsidR="007F74BF" w:rsidRPr="00125C25">
        <w:rPr>
          <w:rStyle w:val="FootnoteReference"/>
          <w:sz w:val="22"/>
        </w:rPr>
        <w:footnoteReference w:id="62"/>
      </w:r>
      <w:r w:rsidR="00EF402F" w:rsidRPr="00125C25">
        <w:t xml:space="preserve"> </w:t>
      </w:r>
      <w:r w:rsidRPr="004A6638">
        <w:t xml:space="preserve">The economic analysis used by the ISO shows </w:t>
      </w:r>
      <w:r>
        <w:t>the national and regional recession</w:t>
      </w:r>
      <w:r w:rsidR="0020030F">
        <w:t>, which started in mid-2008,</w:t>
      </w:r>
      <w:r>
        <w:t xml:space="preserve"> to be more severe than forecasted for </w:t>
      </w:r>
      <w:r w:rsidR="00E53725">
        <w:t xml:space="preserve">the </w:t>
      </w:r>
      <w:r w:rsidR="00E53725" w:rsidRPr="00E53725">
        <w:rPr>
          <w:i/>
        </w:rPr>
        <w:t>2009 Regional System Plan</w:t>
      </w:r>
      <w:r w:rsidR="00E53725">
        <w:t xml:space="preserve"> (</w:t>
      </w:r>
      <w:r>
        <w:t>RSP09</w:t>
      </w:r>
      <w:r w:rsidR="00E53725">
        <w:t>)</w:t>
      </w:r>
      <w:r>
        <w:t>.</w:t>
      </w:r>
      <w:r w:rsidR="00E53725" w:rsidRPr="0020030F">
        <w:rPr>
          <w:rStyle w:val="FootnoteReference"/>
          <w:sz w:val="22"/>
        </w:rPr>
        <w:footnoteReference w:id="63"/>
      </w:r>
      <w:r w:rsidRPr="0020030F">
        <w:t xml:space="preserve"> </w:t>
      </w:r>
      <w:r w:rsidRPr="00E47476">
        <w:t xml:space="preserve">The </w:t>
      </w:r>
      <w:r>
        <w:t xml:space="preserve">load </w:t>
      </w:r>
      <w:r w:rsidRPr="00E47476">
        <w:t xml:space="preserve">forecasts </w:t>
      </w:r>
      <w:r>
        <w:t xml:space="preserve">are based on economic forecasts from November 2009 that projected </w:t>
      </w:r>
      <w:r w:rsidRPr="00E47476">
        <w:t xml:space="preserve">the low point of the recession </w:t>
      </w:r>
      <w:r>
        <w:t>occurring</w:t>
      </w:r>
      <w:r w:rsidRPr="00E47476">
        <w:t xml:space="preserve"> in late 2009 </w:t>
      </w:r>
      <w:r>
        <w:t>and</w:t>
      </w:r>
      <w:r w:rsidRPr="00E47476">
        <w:t xml:space="preserve"> the economy start</w:t>
      </w:r>
      <w:r>
        <w:t>ing</w:t>
      </w:r>
      <w:r w:rsidRPr="00E47476">
        <w:t xml:space="preserve"> to recover in 2010.</w:t>
      </w:r>
      <w:r>
        <w:rPr>
          <w:rStyle w:val="FootnoteReference"/>
          <w:sz w:val="22"/>
        </w:rPr>
        <w:footnoteReference w:id="64"/>
      </w:r>
      <w:r w:rsidRPr="00E47476">
        <w:t xml:space="preserve"> </w:t>
      </w:r>
    </w:p>
    <w:p w:rsidR="00947CDD" w:rsidRDefault="00947CDD" w:rsidP="00073277">
      <w:r>
        <w:t xml:space="preserve">Similar to </w:t>
      </w:r>
      <w:r w:rsidRPr="004B6FE6">
        <w:t>t</w:t>
      </w:r>
      <w:r w:rsidRPr="00E47476">
        <w:t>he annual and seasonal peak-load forecasts, the current</w:t>
      </w:r>
      <w:r w:rsidRPr="004B6FE6">
        <w:t xml:space="preserve"> economic recession dominates the </w:t>
      </w:r>
      <w:r w:rsidRPr="00E47476">
        <w:t>changes in the short-run forecast</w:t>
      </w:r>
      <w:r>
        <w:t>s, which are shown in</w:t>
      </w:r>
      <w:r w:rsidRPr="004B6FE6">
        <w:t xml:space="preserve"> </w:t>
      </w:r>
      <w:r w:rsidR="00832C7A">
        <w:fldChar w:fldCharType="begin"/>
      </w:r>
      <w:r w:rsidR="0034080E">
        <w:instrText xml:space="preserve"> REF _Ref173325545 \h </w:instrText>
      </w:r>
      <w:r w:rsidR="00832C7A">
        <w:fldChar w:fldCharType="separate"/>
      </w:r>
      <w:r w:rsidR="00E5699E">
        <w:t>Table </w:t>
      </w:r>
      <w:r w:rsidR="00E5699E">
        <w:rPr>
          <w:noProof/>
        </w:rPr>
        <w:t>3</w:t>
      </w:r>
      <w:r w:rsidR="00E5699E">
        <w:noBreakHyphen/>
      </w:r>
      <w:r w:rsidR="00E5699E">
        <w:rPr>
          <w:noProof/>
        </w:rPr>
        <w:t>1</w:t>
      </w:r>
      <w:r w:rsidR="00832C7A">
        <w:fldChar w:fldCharType="end"/>
      </w:r>
      <w:r w:rsidR="006E0914">
        <w:t xml:space="preserve"> </w:t>
      </w:r>
      <w:r w:rsidR="0034080E">
        <w:t xml:space="preserve">for 2010 and 2011. </w:t>
      </w:r>
      <w:r w:rsidRPr="004B6FE6">
        <w:t>Electric energy use is forecast to decline by 0.</w:t>
      </w:r>
      <w:r>
        <w:t>6</w:t>
      </w:r>
      <w:r w:rsidRPr="004B6FE6">
        <w:t>% in 20</w:t>
      </w:r>
      <w:r>
        <w:t>1</w:t>
      </w:r>
      <w:r w:rsidRPr="004B6FE6">
        <w:t xml:space="preserve">0 </w:t>
      </w:r>
      <w:r>
        <w:t>but recover and grow by 0.8% in 2011</w:t>
      </w:r>
      <w:r w:rsidRPr="00D93D8A">
        <w:t xml:space="preserve">. The summer peak load is forecast to </w:t>
      </w:r>
      <w:r>
        <w:t xml:space="preserve">decline by </w:t>
      </w:r>
      <w:r w:rsidRPr="00D93D8A">
        <w:t>0.</w:t>
      </w:r>
      <w:r>
        <w:t>1</w:t>
      </w:r>
      <w:r w:rsidRPr="00D93D8A">
        <w:t>% in</w:t>
      </w:r>
      <w:r>
        <w:t xml:space="preserve"> </w:t>
      </w:r>
      <w:r w:rsidRPr="00D93D8A">
        <w:t>20</w:t>
      </w:r>
      <w:r>
        <w:t>1</w:t>
      </w:r>
      <w:r w:rsidRPr="00D93D8A">
        <w:t xml:space="preserve">0 </w:t>
      </w:r>
      <w:r>
        <w:t>but recover and grow by 1.7% in 2011</w:t>
      </w:r>
      <w:r w:rsidRPr="00D93D8A">
        <w:t>.</w:t>
      </w:r>
      <w:r w:rsidRPr="007C099B">
        <w:rPr>
          <w:rStyle w:val="FootnoteReference"/>
          <w:vertAlign w:val="baseline"/>
        </w:rPr>
        <w:t xml:space="preserve"> </w:t>
      </w:r>
      <w:r w:rsidRPr="00D93D8A">
        <w:t>The</w:t>
      </w:r>
      <w:r w:rsidRPr="004B6FE6">
        <w:t xml:space="preserve"> winter peak load is forecast to </w:t>
      </w:r>
      <w:r w:rsidRPr="00E47476">
        <w:t xml:space="preserve">grow by </w:t>
      </w:r>
      <w:r w:rsidRPr="00166115">
        <w:t>0.</w:t>
      </w:r>
      <w:r>
        <w:t>2</w:t>
      </w:r>
      <w:r w:rsidRPr="00166115">
        <w:t>%</w:t>
      </w:r>
      <w:r w:rsidRPr="00E47476">
        <w:t xml:space="preserve"> in</w:t>
      </w:r>
      <w:r w:rsidRPr="004B6FE6">
        <w:t xml:space="preserve"> 20</w:t>
      </w:r>
      <w:r>
        <w:t>10</w:t>
      </w:r>
      <w:r w:rsidRPr="004B6FE6">
        <w:t xml:space="preserve"> and </w:t>
      </w:r>
      <w:r>
        <w:t>by 0.6% in 2011</w:t>
      </w:r>
      <w:r w:rsidR="00E84B2C">
        <w:t xml:space="preserve">. </w:t>
      </w:r>
    </w:p>
    <w:p w:rsidR="0034080E" w:rsidRDefault="0034080E" w:rsidP="00073277">
      <w:pPr>
        <w:pStyle w:val="Caption"/>
      </w:pPr>
      <w:bookmarkStart w:id="91" w:name="_Ref173325545"/>
      <w:bookmarkStart w:id="92" w:name="_Toc176244935"/>
      <w:bookmarkStart w:id="93" w:name="_Toc200169054"/>
      <w:bookmarkStart w:id="94" w:name="_Toc200440141"/>
      <w:bookmarkStart w:id="95" w:name="_Toc207531961"/>
      <w:bookmarkStart w:id="96" w:name="_Toc239157209"/>
      <w:bookmarkStart w:id="97" w:name="_Toc271552396"/>
      <w:r>
        <w:t>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91"/>
      <w:r>
        <w:br/>
        <w:t>Summary of the Short-Run Forecasts of New England’s</w:t>
      </w:r>
      <w:r>
        <w:br/>
        <w:t>Annual Use of Electric Energy and 50/50 Peak Loads</w:t>
      </w:r>
      <w:bookmarkEnd w:id="92"/>
      <w:bookmarkEnd w:id="93"/>
      <w:bookmarkEnd w:id="94"/>
      <w:bookmarkEnd w:id="95"/>
      <w:bookmarkEnd w:id="96"/>
      <w:bookmarkEnd w:id="97"/>
    </w:p>
    <w:tbl>
      <w:tblPr>
        <w:tblStyle w:val="MediumShading1-Accent12"/>
        <w:tblW w:w="8942" w:type="dxa"/>
        <w:tblInd w:w="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bottom w:w="43" w:type="dxa"/>
        </w:tblCellMar>
        <w:tblLook w:val="0000"/>
      </w:tblPr>
      <w:tblGrid>
        <w:gridCol w:w="2937"/>
        <w:gridCol w:w="1170"/>
        <w:gridCol w:w="1232"/>
        <w:gridCol w:w="1201"/>
        <w:gridCol w:w="1201"/>
        <w:gridCol w:w="1201"/>
      </w:tblGrid>
      <w:tr w:rsidR="0034080E" w:rsidRPr="00CC3EBF" w:rsidTr="002C1816">
        <w:trPr>
          <w:cnfStyle w:val="000000100000"/>
          <w:trHeight w:val="510"/>
        </w:trPr>
        <w:tc>
          <w:tcPr>
            <w:cnfStyle w:val="000010000000"/>
            <w:tcW w:w="2937" w:type="dxa"/>
            <w:shd w:val="clear" w:color="auto" w:fill="FBCE76" w:themeFill="background2" w:themeFillTint="99"/>
            <w:noWrap/>
          </w:tcPr>
          <w:p w:rsidR="0034080E" w:rsidRPr="00CC3EBF" w:rsidRDefault="0034080E" w:rsidP="00F91E38">
            <w:pPr>
              <w:pStyle w:val="TablefontHeading"/>
              <w:spacing w:before="0" w:after="0" w:line="260" w:lineRule="atLeast"/>
              <w:rPr>
                <w:rFonts w:cs="Arial"/>
                <w:color w:val="000000" w:themeColor="text1"/>
                <w:sz w:val="18"/>
                <w:szCs w:val="18"/>
              </w:rPr>
            </w:pPr>
            <w:r w:rsidRPr="00CC3EBF">
              <w:rPr>
                <w:rFonts w:cs="Arial"/>
                <w:color w:val="000000" w:themeColor="text1"/>
                <w:sz w:val="18"/>
                <w:szCs w:val="18"/>
              </w:rPr>
              <w:t>Parameter</w:t>
            </w:r>
          </w:p>
        </w:tc>
        <w:tc>
          <w:tcPr>
            <w:cnfStyle w:val="000001000000"/>
            <w:tcW w:w="1170" w:type="dxa"/>
            <w:shd w:val="clear" w:color="auto" w:fill="FBCE76" w:themeFill="background2" w:themeFillTint="99"/>
            <w:noWrap/>
          </w:tcPr>
          <w:p w:rsidR="0034080E" w:rsidRPr="00CC3EBF" w:rsidRDefault="0034080E" w:rsidP="00F91E38">
            <w:pPr>
              <w:pStyle w:val="TablefontHeading"/>
              <w:spacing w:before="0" w:after="0" w:line="260" w:lineRule="atLeast"/>
              <w:rPr>
                <w:rFonts w:cs="Arial"/>
                <w:color w:val="000000" w:themeColor="text1"/>
                <w:sz w:val="18"/>
                <w:szCs w:val="18"/>
              </w:rPr>
            </w:pPr>
            <w:r w:rsidRPr="00CC3EBF">
              <w:rPr>
                <w:rFonts w:cs="Arial"/>
                <w:color w:val="000000" w:themeColor="text1"/>
                <w:sz w:val="18"/>
                <w:szCs w:val="18"/>
              </w:rPr>
              <w:t>2009</w:t>
            </w:r>
            <w:r w:rsidRPr="00CC3EBF">
              <w:rPr>
                <w:rFonts w:cs="Arial"/>
                <w:color w:val="000000" w:themeColor="text1"/>
                <w:sz w:val="18"/>
                <w:szCs w:val="18"/>
                <w:vertAlign w:val="superscript"/>
              </w:rPr>
              <w:t>(a)</w:t>
            </w:r>
          </w:p>
        </w:tc>
        <w:tc>
          <w:tcPr>
            <w:cnfStyle w:val="000010000000"/>
            <w:tcW w:w="1232" w:type="dxa"/>
            <w:shd w:val="clear" w:color="auto" w:fill="FBCE76" w:themeFill="background2" w:themeFillTint="99"/>
            <w:noWrap/>
          </w:tcPr>
          <w:p w:rsidR="0034080E" w:rsidRPr="00CC3EBF" w:rsidRDefault="0034080E" w:rsidP="00F91E38">
            <w:pPr>
              <w:spacing w:after="0"/>
              <w:rPr>
                <w:rFonts w:ascii="Arial" w:eastAsia="Arial Unicode MS" w:hAnsi="Arial" w:cs="Arial"/>
                <w:b/>
                <w:color w:val="000000" w:themeColor="text1"/>
                <w:sz w:val="18"/>
                <w:szCs w:val="18"/>
              </w:rPr>
            </w:pPr>
            <w:r w:rsidRPr="00CC3EBF">
              <w:rPr>
                <w:rFonts w:ascii="Arial" w:hAnsi="Arial" w:cs="Arial"/>
                <w:b/>
                <w:color w:val="000000" w:themeColor="text1"/>
                <w:sz w:val="18"/>
                <w:szCs w:val="18"/>
              </w:rPr>
              <w:t>2010</w:t>
            </w:r>
          </w:p>
        </w:tc>
        <w:tc>
          <w:tcPr>
            <w:cnfStyle w:val="000001000000"/>
            <w:tcW w:w="1201" w:type="dxa"/>
            <w:shd w:val="clear" w:color="auto" w:fill="FBCE76" w:themeFill="background2" w:themeFillTint="99"/>
            <w:noWrap/>
          </w:tcPr>
          <w:p w:rsidR="0034080E" w:rsidRPr="00CC3EBF" w:rsidRDefault="0034080E" w:rsidP="00F91E38">
            <w:pPr>
              <w:pStyle w:val="TablefontHeading"/>
              <w:spacing w:before="0" w:after="0" w:line="260" w:lineRule="atLeast"/>
              <w:rPr>
                <w:rFonts w:cs="Arial"/>
                <w:color w:val="000000" w:themeColor="text1"/>
                <w:sz w:val="18"/>
                <w:szCs w:val="18"/>
              </w:rPr>
            </w:pPr>
            <w:r w:rsidRPr="00CC3EBF">
              <w:rPr>
                <w:rFonts w:cs="Arial"/>
                <w:color w:val="000000" w:themeColor="text1"/>
                <w:sz w:val="18"/>
                <w:szCs w:val="18"/>
              </w:rPr>
              <w:t>2011</w:t>
            </w:r>
          </w:p>
        </w:tc>
        <w:tc>
          <w:tcPr>
            <w:cnfStyle w:val="000010000000"/>
            <w:tcW w:w="1201" w:type="dxa"/>
            <w:shd w:val="clear" w:color="auto" w:fill="FBCE76" w:themeFill="background2" w:themeFillTint="99"/>
          </w:tcPr>
          <w:p w:rsidR="0034080E" w:rsidRPr="00CC3EBF" w:rsidRDefault="0034080E" w:rsidP="00F91E38">
            <w:pPr>
              <w:spacing w:after="0"/>
              <w:rPr>
                <w:rFonts w:ascii="Arial" w:hAnsi="Arial" w:cs="Arial"/>
                <w:b/>
                <w:color w:val="000000" w:themeColor="text1"/>
                <w:sz w:val="18"/>
                <w:szCs w:val="18"/>
              </w:rPr>
            </w:pPr>
            <w:r w:rsidRPr="00CC3EBF">
              <w:rPr>
                <w:rFonts w:ascii="Arial" w:hAnsi="Arial" w:cs="Arial"/>
                <w:b/>
                <w:color w:val="000000" w:themeColor="text1"/>
                <w:sz w:val="18"/>
                <w:szCs w:val="18"/>
              </w:rPr>
              <w:t>% Change</w:t>
            </w:r>
            <w:r w:rsidRPr="00CC3EBF">
              <w:rPr>
                <w:rFonts w:ascii="Arial" w:hAnsi="Arial" w:cs="Arial"/>
                <w:b/>
                <w:color w:val="000000" w:themeColor="text1"/>
                <w:sz w:val="18"/>
                <w:szCs w:val="18"/>
              </w:rPr>
              <w:br/>
              <w:t>2009–2010</w:t>
            </w:r>
          </w:p>
        </w:tc>
        <w:tc>
          <w:tcPr>
            <w:cnfStyle w:val="000001000000"/>
            <w:tcW w:w="1201" w:type="dxa"/>
            <w:shd w:val="clear" w:color="auto" w:fill="FBCE76" w:themeFill="background2" w:themeFillTint="99"/>
          </w:tcPr>
          <w:p w:rsidR="0034080E" w:rsidRPr="00CC3EBF" w:rsidRDefault="0034080E" w:rsidP="00F91E38">
            <w:pPr>
              <w:spacing w:after="0"/>
              <w:rPr>
                <w:rFonts w:ascii="Arial" w:eastAsia="Arial Unicode MS" w:hAnsi="Arial" w:cs="Arial"/>
                <w:b/>
                <w:color w:val="000000" w:themeColor="text1"/>
                <w:sz w:val="18"/>
                <w:szCs w:val="18"/>
              </w:rPr>
            </w:pPr>
            <w:r w:rsidRPr="00CC3EBF">
              <w:rPr>
                <w:rFonts w:ascii="Arial" w:hAnsi="Arial" w:cs="Arial"/>
                <w:b/>
                <w:color w:val="000000" w:themeColor="text1"/>
                <w:sz w:val="18"/>
                <w:szCs w:val="18"/>
              </w:rPr>
              <w:t>% Change</w:t>
            </w:r>
            <w:r w:rsidRPr="00CC3EBF">
              <w:rPr>
                <w:rFonts w:ascii="Arial" w:hAnsi="Arial" w:cs="Arial"/>
                <w:b/>
                <w:color w:val="000000" w:themeColor="text1"/>
                <w:sz w:val="18"/>
                <w:szCs w:val="18"/>
              </w:rPr>
              <w:br/>
              <w:t>2010–2011</w:t>
            </w:r>
          </w:p>
        </w:tc>
      </w:tr>
      <w:tr w:rsidR="0034080E" w:rsidRPr="00CC3EBF" w:rsidTr="007A4E4A">
        <w:trPr>
          <w:cnfStyle w:val="000000010000"/>
          <w:trHeight w:val="324"/>
        </w:trPr>
        <w:tc>
          <w:tcPr>
            <w:cnfStyle w:val="000010000000"/>
            <w:tcW w:w="2937" w:type="dxa"/>
            <w:shd w:val="clear" w:color="auto" w:fill="FFFFFF" w:themeFill="background1"/>
            <w:noWrap/>
          </w:tcPr>
          <w:p w:rsidR="00F158B9" w:rsidRDefault="0034080E" w:rsidP="0066546B">
            <w:pPr>
              <w:spacing w:after="0"/>
              <w:jc w:val="left"/>
              <w:rPr>
                <w:rFonts w:ascii="Arial" w:eastAsia="Arial Unicode MS" w:hAnsi="Arial" w:cs="Arial"/>
                <w:b/>
                <w:bCs/>
                <w:iCs/>
                <w:color w:val="000000" w:themeColor="text1"/>
                <w:sz w:val="18"/>
                <w:szCs w:val="18"/>
              </w:rPr>
            </w:pPr>
            <w:r w:rsidRPr="00CC3EBF">
              <w:rPr>
                <w:rFonts w:ascii="Arial" w:hAnsi="Arial" w:cs="Arial"/>
                <w:b/>
                <w:color w:val="000000" w:themeColor="text1"/>
                <w:sz w:val="18"/>
                <w:szCs w:val="18"/>
              </w:rPr>
              <w:t>Annual use of electric energy</w:t>
            </w:r>
            <w:r w:rsidRPr="00CC3EBF">
              <w:rPr>
                <w:rFonts w:ascii="Arial" w:hAnsi="Arial" w:cs="Arial"/>
                <w:b/>
                <w:color w:val="000000" w:themeColor="text1"/>
                <w:sz w:val="18"/>
                <w:szCs w:val="18"/>
              </w:rPr>
              <w:br/>
              <w:t>(1,000 MWh)</w:t>
            </w:r>
            <w:r w:rsidRPr="00CC3EBF">
              <w:rPr>
                <w:rFonts w:ascii="Arial" w:hAnsi="Arial" w:cs="Arial"/>
                <w:b/>
                <w:color w:val="000000" w:themeColor="text1"/>
                <w:sz w:val="18"/>
                <w:szCs w:val="18"/>
                <w:vertAlign w:val="superscript"/>
              </w:rPr>
              <w:t xml:space="preserve"> </w:t>
            </w:r>
            <w:r w:rsidRPr="00CC3EBF">
              <w:rPr>
                <w:rFonts w:ascii="Arial" w:hAnsi="Arial" w:cs="Arial"/>
                <w:b/>
                <w:color w:val="000000" w:themeColor="text1"/>
                <w:sz w:val="18"/>
                <w:szCs w:val="18"/>
              </w:rPr>
              <w:t>(NEL)</w:t>
            </w:r>
          </w:p>
        </w:tc>
        <w:tc>
          <w:tcPr>
            <w:cnfStyle w:val="000001000000"/>
            <w:tcW w:w="1170"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132,045</w:t>
            </w:r>
          </w:p>
        </w:tc>
        <w:tc>
          <w:tcPr>
            <w:cnfStyle w:val="000010000000"/>
            <w:tcW w:w="1232"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131,305</w:t>
            </w:r>
          </w:p>
        </w:tc>
        <w:tc>
          <w:tcPr>
            <w:cnfStyle w:val="000001000000"/>
            <w:tcW w:w="1201"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132,370</w:t>
            </w:r>
          </w:p>
        </w:tc>
        <w:tc>
          <w:tcPr>
            <w:cnfStyle w:val="000010000000"/>
            <w:tcW w:w="1201" w:type="dxa"/>
            <w:shd w:val="clear" w:color="auto" w:fill="FFFFFF" w:themeFill="background1"/>
            <w:noWrap/>
            <w:tcMar>
              <w:right w:w="288" w:type="dxa"/>
            </w:tcMar>
          </w:tcPr>
          <w:p w:rsidR="0034080E" w:rsidRPr="00CC3EBF" w:rsidRDefault="0034080E" w:rsidP="004F2CDF">
            <w:pPr>
              <w:spacing w:after="0"/>
              <w:jc w:val="right"/>
              <w:rPr>
                <w:rFonts w:ascii="Arial" w:hAnsi="Arial" w:cs="Arial"/>
                <w:color w:val="000000" w:themeColor="text1"/>
                <w:sz w:val="18"/>
                <w:szCs w:val="18"/>
              </w:rPr>
            </w:pPr>
            <w:r w:rsidRPr="00CC3EBF">
              <w:rPr>
                <w:rFonts w:ascii="Arial" w:hAnsi="Arial" w:cs="Arial"/>
                <w:color w:val="000000" w:themeColor="text1"/>
                <w:sz w:val="18"/>
                <w:szCs w:val="18"/>
              </w:rPr>
              <w:t>−0.6</w:t>
            </w:r>
          </w:p>
        </w:tc>
        <w:tc>
          <w:tcPr>
            <w:cnfStyle w:val="000001000000"/>
            <w:tcW w:w="1201"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0.8</w:t>
            </w:r>
          </w:p>
        </w:tc>
      </w:tr>
      <w:tr w:rsidR="0034080E" w:rsidRPr="00CC3EBF" w:rsidTr="002C1816">
        <w:trPr>
          <w:cnfStyle w:val="000000100000"/>
          <w:trHeight w:val="324"/>
        </w:trPr>
        <w:tc>
          <w:tcPr>
            <w:cnfStyle w:val="000010000000"/>
            <w:tcW w:w="2937" w:type="dxa"/>
            <w:shd w:val="clear" w:color="auto" w:fill="FDEED1" w:themeFill="background2" w:themeFillTint="33"/>
            <w:noWrap/>
          </w:tcPr>
          <w:p w:rsidR="0034080E" w:rsidRPr="00CC3EBF" w:rsidRDefault="0034080E" w:rsidP="0066546B">
            <w:pPr>
              <w:spacing w:after="0"/>
              <w:jc w:val="left"/>
              <w:rPr>
                <w:rFonts w:ascii="Arial" w:eastAsia="Arial Unicode MS" w:hAnsi="Arial" w:cs="Arial"/>
                <w:b/>
                <w:color w:val="000000" w:themeColor="text1"/>
                <w:sz w:val="18"/>
                <w:szCs w:val="18"/>
              </w:rPr>
            </w:pPr>
            <w:r w:rsidRPr="00CC3EBF">
              <w:rPr>
                <w:rFonts w:ascii="Arial" w:hAnsi="Arial" w:cs="Arial"/>
                <w:b/>
                <w:color w:val="000000" w:themeColor="text1"/>
                <w:sz w:val="18"/>
                <w:szCs w:val="18"/>
              </w:rPr>
              <w:t>Summer peak (MW)</w:t>
            </w:r>
          </w:p>
        </w:tc>
        <w:tc>
          <w:tcPr>
            <w:cnfStyle w:val="000001000000"/>
            <w:tcW w:w="1170" w:type="dxa"/>
            <w:shd w:val="clear" w:color="auto" w:fill="FDEED1" w:themeFill="background2" w:themeFillTint="33"/>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27,220</w:t>
            </w:r>
          </w:p>
        </w:tc>
        <w:tc>
          <w:tcPr>
            <w:cnfStyle w:val="000010000000"/>
            <w:tcW w:w="1232" w:type="dxa"/>
            <w:shd w:val="clear" w:color="auto" w:fill="FDEED1" w:themeFill="background2" w:themeFillTint="33"/>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27,190</w:t>
            </w:r>
          </w:p>
        </w:tc>
        <w:tc>
          <w:tcPr>
            <w:cnfStyle w:val="000001000000"/>
            <w:tcW w:w="1201" w:type="dxa"/>
            <w:shd w:val="clear" w:color="auto" w:fill="FDEED1" w:themeFill="background2" w:themeFillTint="33"/>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27,660</w:t>
            </w:r>
          </w:p>
        </w:tc>
        <w:tc>
          <w:tcPr>
            <w:cnfStyle w:val="000010000000"/>
            <w:tcW w:w="1201" w:type="dxa"/>
            <w:shd w:val="clear" w:color="auto" w:fill="FDEED1" w:themeFill="background2" w:themeFillTint="33"/>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−0.1</w:t>
            </w:r>
          </w:p>
        </w:tc>
        <w:tc>
          <w:tcPr>
            <w:cnfStyle w:val="000001000000"/>
            <w:tcW w:w="1201" w:type="dxa"/>
            <w:shd w:val="clear" w:color="auto" w:fill="FDEED1" w:themeFill="background2" w:themeFillTint="33"/>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1.7</w:t>
            </w:r>
          </w:p>
        </w:tc>
      </w:tr>
      <w:tr w:rsidR="0034080E" w:rsidRPr="00CC3EBF" w:rsidTr="007A4E4A">
        <w:trPr>
          <w:cnfStyle w:val="000000010000"/>
          <w:trHeight w:val="324"/>
        </w:trPr>
        <w:tc>
          <w:tcPr>
            <w:cnfStyle w:val="000010000000"/>
            <w:tcW w:w="2937" w:type="dxa"/>
            <w:shd w:val="clear" w:color="auto" w:fill="FFFFFF" w:themeFill="background1"/>
            <w:noWrap/>
          </w:tcPr>
          <w:p w:rsidR="00F158B9" w:rsidRDefault="0034080E" w:rsidP="0066546B">
            <w:pPr>
              <w:spacing w:after="0"/>
              <w:jc w:val="left"/>
              <w:rPr>
                <w:rFonts w:ascii="Arial" w:eastAsia="Arial Unicode MS" w:hAnsi="Arial" w:cs="Arial"/>
                <w:b/>
                <w:color w:val="000000" w:themeColor="text1"/>
                <w:sz w:val="18"/>
                <w:szCs w:val="18"/>
                <w:vertAlign w:val="superscript"/>
              </w:rPr>
            </w:pPr>
            <w:r w:rsidRPr="00CC3EBF">
              <w:rPr>
                <w:rFonts w:ascii="Arial" w:hAnsi="Arial" w:cs="Arial"/>
                <w:b/>
                <w:color w:val="000000" w:themeColor="text1"/>
                <w:sz w:val="18"/>
                <w:szCs w:val="18"/>
              </w:rPr>
              <w:t>Winter peak (MW)</w:t>
            </w:r>
            <w:r w:rsidRPr="00CC3EBF">
              <w:rPr>
                <w:rFonts w:ascii="Arial" w:hAnsi="Arial" w:cs="Arial"/>
                <w:b/>
                <w:color w:val="000000" w:themeColor="text1"/>
                <w:sz w:val="18"/>
                <w:szCs w:val="18"/>
                <w:vertAlign w:val="superscript"/>
              </w:rPr>
              <w:t>(</w:t>
            </w:r>
            <w:r w:rsidR="00E032A4">
              <w:rPr>
                <w:rFonts w:ascii="Arial" w:hAnsi="Arial" w:cs="Arial"/>
                <w:b/>
                <w:color w:val="000000" w:themeColor="text1"/>
                <w:sz w:val="18"/>
                <w:szCs w:val="18"/>
                <w:vertAlign w:val="superscript"/>
              </w:rPr>
              <w:t>b</w:t>
            </w:r>
            <w:r w:rsidRPr="00CC3EBF">
              <w:rPr>
                <w:rFonts w:ascii="Arial" w:hAnsi="Arial" w:cs="Arial"/>
                <w:b/>
                <w:color w:val="000000" w:themeColor="text1"/>
                <w:sz w:val="18"/>
                <w:szCs w:val="18"/>
                <w:vertAlign w:val="superscript"/>
              </w:rPr>
              <w:t>)</w:t>
            </w:r>
          </w:p>
        </w:tc>
        <w:tc>
          <w:tcPr>
            <w:cnfStyle w:val="000001000000"/>
            <w:tcW w:w="1170"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22,030</w:t>
            </w:r>
          </w:p>
        </w:tc>
        <w:tc>
          <w:tcPr>
            <w:cnfStyle w:val="000010000000"/>
            <w:tcW w:w="1232"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22,085</w:t>
            </w:r>
          </w:p>
        </w:tc>
        <w:tc>
          <w:tcPr>
            <w:cnfStyle w:val="000001000000"/>
            <w:tcW w:w="1201"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22,225</w:t>
            </w:r>
          </w:p>
        </w:tc>
        <w:tc>
          <w:tcPr>
            <w:cnfStyle w:val="000010000000"/>
            <w:tcW w:w="1201" w:type="dxa"/>
            <w:shd w:val="clear" w:color="auto" w:fill="FFFFFF" w:themeFill="background1"/>
            <w:noWrap/>
            <w:tcMar>
              <w:right w:w="288" w:type="dxa"/>
            </w:tcMar>
          </w:tcPr>
          <w:p w:rsidR="0034080E" w:rsidRPr="00CC3EBF" w:rsidRDefault="0034080E" w:rsidP="004F2CDF">
            <w:pPr>
              <w:spacing w:after="0"/>
              <w:jc w:val="right"/>
              <w:rPr>
                <w:rFonts w:ascii="Arial" w:hAnsi="Arial" w:cs="Arial"/>
                <w:color w:val="000000" w:themeColor="text1"/>
                <w:sz w:val="18"/>
                <w:szCs w:val="18"/>
              </w:rPr>
            </w:pPr>
            <w:r w:rsidRPr="00CC3EBF">
              <w:rPr>
                <w:rFonts w:ascii="Arial" w:hAnsi="Arial" w:cs="Arial"/>
                <w:color w:val="000000" w:themeColor="text1"/>
                <w:sz w:val="18"/>
                <w:szCs w:val="18"/>
              </w:rPr>
              <w:t>0.2</w:t>
            </w:r>
          </w:p>
        </w:tc>
        <w:tc>
          <w:tcPr>
            <w:cnfStyle w:val="000001000000"/>
            <w:tcW w:w="1201" w:type="dxa"/>
            <w:shd w:val="clear" w:color="auto" w:fill="FFFFFF" w:themeFill="background1"/>
            <w:noWrap/>
            <w:tcMar>
              <w:right w:w="288" w:type="dxa"/>
            </w:tcMar>
          </w:tcPr>
          <w:p w:rsidR="0034080E" w:rsidRPr="00CC3EBF" w:rsidRDefault="0034080E" w:rsidP="004F2CDF">
            <w:pPr>
              <w:spacing w:after="0"/>
              <w:jc w:val="right"/>
              <w:rPr>
                <w:rFonts w:ascii="Arial" w:eastAsia="Arial Unicode MS" w:hAnsi="Arial" w:cs="Arial"/>
                <w:color w:val="000000" w:themeColor="text1"/>
                <w:sz w:val="18"/>
                <w:szCs w:val="18"/>
              </w:rPr>
            </w:pPr>
            <w:r w:rsidRPr="00CC3EBF">
              <w:rPr>
                <w:rFonts w:ascii="Arial" w:hAnsi="Arial" w:cs="Arial"/>
                <w:color w:val="000000" w:themeColor="text1"/>
                <w:sz w:val="18"/>
                <w:szCs w:val="18"/>
              </w:rPr>
              <w:t>0.6</w:t>
            </w:r>
          </w:p>
        </w:tc>
      </w:tr>
    </w:tbl>
    <w:p w:rsidR="00F158B9" w:rsidRDefault="0034080E" w:rsidP="002C1816">
      <w:pPr>
        <w:spacing w:before="120" w:after="80" w:line="240" w:lineRule="auto"/>
        <w:ind w:left="540" w:hanging="270"/>
        <w:rPr>
          <w:rFonts w:ascii="Arial" w:hAnsi="Arial" w:cs="Arial"/>
          <w:sz w:val="16"/>
          <w:szCs w:val="16"/>
        </w:rPr>
      </w:pPr>
      <w:r w:rsidRPr="00964F05">
        <w:rPr>
          <w:rFonts w:ascii="Arial" w:hAnsi="Arial" w:cs="Arial"/>
          <w:sz w:val="16"/>
          <w:szCs w:val="16"/>
        </w:rPr>
        <w:t>(a)</w:t>
      </w:r>
      <w:r w:rsidRPr="00964F05">
        <w:rPr>
          <w:rFonts w:ascii="Arial" w:hAnsi="Arial" w:cs="Arial"/>
          <w:sz w:val="16"/>
          <w:szCs w:val="16"/>
        </w:rPr>
        <w:tab/>
        <w:t>The weather-normal actual load is shown for the 2009 annual energy use and summer peak load.</w:t>
      </w:r>
    </w:p>
    <w:p w:rsidR="00947CDD" w:rsidRDefault="0034080E" w:rsidP="002C1816">
      <w:pPr>
        <w:spacing w:line="240" w:lineRule="auto"/>
        <w:ind w:left="540" w:hanging="270"/>
        <w:rPr>
          <w:rFonts w:ascii="Arial" w:hAnsi="Arial" w:cs="Arial"/>
          <w:sz w:val="16"/>
          <w:szCs w:val="16"/>
        </w:rPr>
      </w:pPr>
      <w:r w:rsidRPr="00964F05">
        <w:rPr>
          <w:rFonts w:ascii="Arial" w:hAnsi="Arial" w:cs="Arial"/>
          <w:sz w:val="16"/>
          <w:szCs w:val="16"/>
        </w:rPr>
        <w:t>(</w:t>
      </w:r>
      <w:r w:rsidR="00E032A4">
        <w:rPr>
          <w:rFonts w:ascii="Arial" w:hAnsi="Arial" w:cs="Arial"/>
          <w:sz w:val="16"/>
          <w:szCs w:val="16"/>
        </w:rPr>
        <w:t>b</w:t>
      </w:r>
      <w:r w:rsidRPr="00964F05">
        <w:rPr>
          <w:rFonts w:ascii="Arial" w:hAnsi="Arial" w:cs="Arial"/>
          <w:sz w:val="16"/>
          <w:szCs w:val="16"/>
        </w:rPr>
        <w:t>)</w:t>
      </w:r>
      <w:r w:rsidRPr="00964F05">
        <w:rPr>
          <w:rFonts w:ascii="Arial" w:hAnsi="Arial" w:cs="Arial"/>
          <w:sz w:val="16"/>
          <w:szCs w:val="16"/>
        </w:rPr>
        <w:tab/>
        <w:t>The winter peak could occur in the following year.</w:t>
      </w:r>
    </w:p>
    <w:p w:rsidR="0057512D" w:rsidRDefault="00947CDD" w:rsidP="0057512D">
      <w:r>
        <w:t xml:space="preserve">The </w:t>
      </w:r>
      <w:r w:rsidRPr="00320483">
        <w:rPr>
          <w:i/>
        </w:rPr>
        <w:t>net energy for load</w:t>
      </w:r>
      <w:r>
        <w:t xml:space="preserve"> (NEL) shown in </w:t>
      </w:r>
      <w:r w:rsidR="00832C7A">
        <w:fldChar w:fldCharType="begin"/>
      </w:r>
      <w:r>
        <w:instrText xml:space="preserve"> REF _Ref173325545 \h </w:instrText>
      </w:r>
      <w:r w:rsidR="00832C7A">
        <w:fldChar w:fldCharType="separate"/>
      </w:r>
      <w:r w:rsidR="00E5699E">
        <w:t>Table </w:t>
      </w:r>
      <w:r w:rsidR="00E5699E">
        <w:rPr>
          <w:noProof/>
        </w:rPr>
        <w:t>3</w:t>
      </w:r>
      <w:r w:rsidR="00E5699E">
        <w:noBreakHyphen/>
      </w:r>
      <w:r w:rsidR="00E5699E">
        <w:rPr>
          <w:noProof/>
        </w:rPr>
        <w:t>1</w:t>
      </w:r>
      <w:r w:rsidR="00832C7A">
        <w:fldChar w:fldCharType="end"/>
      </w:r>
      <w:r>
        <w:t xml:space="preserve"> is the net generation output within an area, accounting for electric energy imports from other areas and electric energy exports to other areas. It also account</w:t>
      </w:r>
      <w:r w:rsidRPr="00727D4B">
        <w:t xml:space="preserve">s for system losses but excludes the electric energy consumption required to operate pumped-storage plants. </w:t>
      </w:r>
      <w:r w:rsidR="00D4331C" w:rsidRPr="00D4331C">
        <w:t xml:space="preserve">The seasonal peak load and annual energy forecasts also do not reflect or subtract the peak and electric energy </w:t>
      </w:r>
      <w:r w:rsidR="00D4331C" w:rsidRPr="00260B94">
        <w:t xml:space="preserve">savings attributable to </w:t>
      </w:r>
      <w:r w:rsidR="00D4331C" w:rsidRPr="00596573">
        <w:rPr>
          <w:i/>
        </w:rPr>
        <w:t>passive</w:t>
      </w:r>
      <w:r w:rsidR="00D4331C" w:rsidRPr="00260B94">
        <w:t xml:space="preserve"> </w:t>
      </w:r>
      <w:r w:rsidR="00D4331C" w:rsidRPr="00596573">
        <w:rPr>
          <w:i/>
        </w:rPr>
        <w:t>demand resources</w:t>
      </w:r>
      <w:r w:rsidR="00D4331C" w:rsidRPr="00260B94">
        <w:t xml:space="preserve"> (PDRs) (i.e.,</w:t>
      </w:r>
      <w:r w:rsidR="00D4331C" w:rsidRPr="00D4331C">
        <w:t xml:space="preserve"> demand resources, such as energy-efficiency measures, designed to save electric energy) treated as capacity based on FCM obligations and as resources in resource adequacy and transmission planning studies (see Section </w:t>
      </w:r>
      <w:fldSimple w:instr=" REF _Ref265051921 \r \h  \* MERGEFORMAT ">
        <w:r w:rsidR="00E5699E">
          <w:t>3.5</w:t>
        </w:r>
      </w:fldSimple>
      <w:r w:rsidR="00D4331C" w:rsidRPr="00D4331C">
        <w:t xml:space="preserve"> and </w:t>
      </w:r>
      <w:r w:rsidR="0063243E">
        <w:t>Section</w:t>
      </w:r>
      <w:r w:rsidR="0098334E">
        <w:t xml:space="preserve"> </w:t>
      </w:r>
      <w:r w:rsidR="00832C7A">
        <w:fldChar w:fldCharType="begin"/>
      </w:r>
      <w:r w:rsidR="0063243E">
        <w:instrText xml:space="preserve"> REF _Ref266120247 \r \h </w:instrText>
      </w:r>
      <w:r w:rsidR="00832C7A">
        <w:fldChar w:fldCharType="separate"/>
      </w:r>
      <w:r w:rsidR="00E5699E">
        <w:t>4.2.1.1</w:t>
      </w:r>
      <w:r w:rsidR="00832C7A">
        <w:fldChar w:fldCharType="end"/>
      </w:r>
      <w:r w:rsidR="00D4331C" w:rsidRPr="00D4331C">
        <w:t>).</w:t>
      </w:r>
      <w:r w:rsidR="00B31F99" w:rsidRPr="0020030F">
        <w:rPr>
          <w:rStyle w:val="FootnoteReference"/>
          <w:sz w:val="22"/>
        </w:rPr>
        <w:footnoteReference w:id="65"/>
      </w:r>
      <w:r w:rsidR="001033CC">
        <w:t xml:space="preserve"> </w:t>
      </w:r>
      <w:r w:rsidR="0057512D">
        <w:t xml:space="preserve">The effects of long-term state </w:t>
      </w:r>
      <w:r w:rsidR="003D08E8">
        <w:t>EE</w:t>
      </w:r>
      <w:r w:rsidR="0057512D">
        <w:t xml:space="preserve"> goals are not fully captured in the ISO load forecast, but this is an open issue discussed in Sections </w:t>
      </w:r>
      <w:r w:rsidR="00832C7A">
        <w:fldChar w:fldCharType="begin"/>
      </w:r>
      <w:r w:rsidR="001033CC">
        <w:instrText xml:space="preserve"> REF _Ref266120214 \r \h </w:instrText>
      </w:r>
      <w:r w:rsidR="00832C7A">
        <w:fldChar w:fldCharType="separate"/>
      </w:r>
      <w:r w:rsidR="00E5699E">
        <w:t>8.4</w:t>
      </w:r>
      <w:r w:rsidR="00832C7A">
        <w:fldChar w:fldCharType="end"/>
      </w:r>
      <w:r w:rsidR="0057512D">
        <w:t xml:space="preserve"> and </w:t>
      </w:r>
      <w:r w:rsidR="00832C7A">
        <w:fldChar w:fldCharType="begin"/>
      </w:r>
      <w:r w:rsidR="001033CC">
        <w:instrText xml:space="preserve"> REF _Ref269997694 \r \h </w:instrText>
      </w:r>
      <w:r w:rsidR="00832C7A">
        <w:fldChar w:fldCharType="separate"/>
      </w:r>
      <w:r w:rsidR="00E5699E">
        <w:t>12.3.2</w:t>
      </w:r>
      <w:r w:rsidR="00832C7A">
        <w:fldChar w:fldCharType="end"/>
      </w:r>
      <w:r w:rsidR="00E84B2C">
        <w:t xml:space="preserve">. </w:t>
      </w:r>
    </w:p>
    <w:p w:rsidR="00A22B1D" w:rsidRDefault="00947CDD" w:rsidP="00073277">
      <w:r w:rsidRPr="00E1162D">
        <w:t xml:space="preserve">The 50/50 “reference” case peak loads shown in </w:t>
      </w:r>
      <w:r w:rsidR="00832C7A">
        <w:fldChar w:fldCharType="begin"/>
      </w:r>
      <w:r w:rsidR="0008067F">
        <w:instrText xml:space="preserve"> REF _Ref173325545 \h </w:instrText>
      </w:r>
      <w:r w:rsidR="00832C7A">
        <w:fldChar w:fldCharType="separate"/>
      </w:r>
      <w:r w:rsidR="00E5699E">
        <w:t>Table </w:t>
      </w:r>
      <w:r w:rsidR="00E5699E">
        <w:rPr>
          <w:noProof/>
        </w:rPr>
        <w:t>3</w:t>
      </w:r>
      <w:r w:rsidR="00E5699E">
        <w:noBreakHyphen/>
      </w:r>
      <w:r w:rsidR="00E5699E">
        <w:rPr>
          <w:noProof/>
        </w:rPr>
        <w:t>1</w:t>
      </w:r>
      <w:r w:rsidR="00832C7A">
        <w:fldChar w:fldCharType="end"/>
      </w:r>
      <w:r w:rsidR="00982483">
        <w:t xml:space="preserve"> </w:t>
      </w:r>
      <w:r w:rsidRPr="00E1162D">
        <w:t>have a 50% chance of being exceeded</w:t>
      </w:r>
      <w:r w:rsidR="009E127A">
        <w:t xml:space="preserve"> because of weather conditions</w:t>
      </w:r>
      <w:r w:rsidRPr="00E1162D">
        <w:t xml:space="preserve">. For the reference case, the summer peak load is expected to occur at a weighted New England-wide temperature of 90.2ºF, and the winter peak load is expected to occur at 7.0ºF. The 90/10 “extreme” case peak loads </w:t>
      </w:r>
      <w:r>
        <w:t xml:space="preserve">have </w:t>
      </w:r>
      <w:r w:rsidRPr="00E1162D">
        <w:t xml:space="preserve">a 10% chance of being exceeded </w:t>
      </w:r>
      <w:r w:rsidR="009E127A">
        <w:t xml:space="preserve">because of weather </w:t>
      </w:r>
      <w:r>
        <w:t xml:space="preserve">(see </w:t>
      </w:r>
      <w:r w:rsidR="00832C7A">
        <w:fldChar w:fldCharType="begin"/>
      </w:r>
      <w:r>
        <w:instrText xml:space="preserve"> REF _Ref173325606 \h </w:instrText>
      </w:r>
      <w:r w:rsidR="00832C7A">
        <w:fldChar w:fldCharType="separate"/>
      </w:r>
      <w:r w:rsidR="00E5699E">
        <w:t>Table </w:t>
      </w:r>
      <w:r w:rsidR="00E5699E">
        <w:rPr>
          <w:noProof/>
        </w:rPr>
        <w:t>3</w:t>
      </w:r>
      <w:r w:rsidR="00E5699E">
        <w:noBreakHyphen/>
      </w:r>
      <w:r w:rsidR="00E5699E">
        <w:rPr>
          <w:noProof/>
        </w:rPr>
        <w:t>2</w:t>
      </w:r>
      <w:r w:rsidR="00832C7A">
        <w:fldChar w:fldCharType="end"/>
      </w:r>
      <w:r>
        <w:t>)</w:t>
      </w:r>
      <w:r w:rsidRPr="00E1162D">
        <w:t>. For the extreme case, the summer peak is expected to occur at a temperature of 94.2ºF, and the winter peak is expected to occur at a temperature of 1.6ºF.</w:t>
      </w:r>
    </w:p>
    <w:p w:rsidR="0034080E" w:rsidRDefault="0034080E" w:rsidP="008761C2">
      <w:pPr>
        <w:pStyle w:val="Caption"/>
      </w:pPr>
      <w:bookmarkStart w:id="98" w:name="_Ref173325606"/>
      <w:bookmarkStart w:id="99" w:name="_Ref200272877"/>
      <w:bookmarkStart w:id="100" w:name="_Toc176244936"/>
      <w:bookmarkStart w:id="101" w:name="_Toc200169055"/>
      <w:bookmarkStart w:id="102" w:name="_Toc200440142"/>
      <w:bookmarkStart w:id="103" w:name="_Toc207531962"/>
      <w:bookmarkStart w:id="104" w:name="_Toc239157210"/>
      <w:bookmarkStart w:id="105" w:name="_Toc271552397"/>
      <w:r>
        <w:t>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98"/>
      <w:bookmarkEnd w:id="99"/>
      <w:r w:rsidRPr="004B6FE6">
        <w:br/>
        <w:t>Summary of Annual and Peak Use of Electric Energy for New</w:t>
      </w:r>
      <w:r>
        <w:t xml:space="preserve"> </w:t>
      </w:r>
      <w:r w:rsidRPr="004B6FE6">
        <w:t>England</w:t>
      </w:r>
      <w:r>
        <w:t xml:space="preserve"> </w:t>
      </w:r>
      <w:r w:rsidRPr="004B6FE6">
        <w:t>and</w:t>
      </w:r>
      <w:r>
        <w:t xml:space="preserve"> </w:t>
      </w:r>
      <w:r w:rsidRPr="004B6FE6">
        <w:t>the</w:t>
      </w:r>
      <w:r>
        <w:t xml:space="preserve"> </w:t>
      </w:r>
      <w:r w:rsidRPr="000D0E79">
        <w:t>States</w:t>
      </w:r>
      <w:bookmarkEnd w:id="100"/>
      <w:bookmarkEnd w:id="101"/>
      <w:bookmarkEnd w:id="102"/>
      <w:bookmarkEnd w:id="103"/>
      <w:bookmarkEnd w:id="104"/>
      <w:bookmarkEnd w:id="105"/>
    </w:p>
    <w:tbl>
      <w:tblPr>
        <w:tblStyle w:val="MediumShading1-Accent12"/>
        <w:tblW w:w="10552"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8" w:type="dxa"/>
          <w:bottom w:w="58" w:type="dxa"/>
        </w:tblCellMar>
        <w:tblLook w:val="0000"/>
      </w:tblPr>
      <w:tblGrid>
        <w:gridCol w:w="1192"/>
        <w:gridCol w:w="720"/>
        <w:gridCol w:w="720"/>
        <w:gridCol w:w="720"/>
        <w:gridCol w:w="720"/>
        <w:gridCol w:w="720"/>
        <w:gridCol w:w="720"/>
        <w:gridCol w:w="720"/>
        <w:gridCol w:w="720"/>
        <w:gridCol w:w="720"/>
        <w:gridCol w:w="720"/>
        <w:gridCol w:w="720"/>
        <w:gridCol w:w="720"/>
        <w:gridCol w:w="720"/>
      </w:tblGrid>
      <w:tr w:rsidR="0034080E" w:rsidRPr="00621981" w:rsidTr="00624693">
        <w:trPr>
          <w:cnfStyle w:val="000000100000"/>
        </w:trPr>
        <w:tc>
          <w:tcPr>
            <w:cnfStyle w:val="000010000000"/>
            <w:tcW w:w="1192" w:type="dxa"/>
            <w:vMerge w:val="restart"/>
            <w:shd w:val="clear" w:color="auto" w:fill="FBCE76" w:themeFill="background2" w:themeFillTint="99"/>
            <w:noWrap/>
            <w:tcMar>
              <w:top w:w="58" w:type="dxa"/>
              <w:left w:w="0" w:type="dxa"/>
              <w:bottom w:w="58" w:type="dxa"/>
              <w:right w:w="0" w:type="dxa"/>
            </w:tcMar>
          </w:tcPr>
          <w:p w:rsidR="0034080E" w:rsidRPr="008761C2" w:rsidRDefault="0034080E" w:rsidP="001C2792">
            <w:pPr>
              <w:pStyle w:val="Footer"/>
              <w:keepNext/>
              <w:keepLines/>
              <w:spacing w:after="0" w:line="260" w:lineRule="atLeast"/>
              <w:ind w:right="0"/>
              <w:rPr>
                <w:rFonts w:ascii="Arial" w:hAnsi="Arial" w:cs="Arial"/>
                <w:b/>
                <w:sz w:val="16"/>
                <w:szCs w:val="16"/>
              </w:rPr>
            </w:pPr>
            <w:r w:rsidRPr="008761C2">
              <w:rPr>
                <w:rFonts w:ascii="Arial" w:hAnsi="Arial" w:cs="Arial"/>
                <w:b/>
                <w:sz w:val="16"/>
                <w:szCs w:val="16"/>
              </w:rPr>
              <w:t>State</w:t>
            </w:r>
            <w:r w:rsidRPr="008761C2">
              <w:rPr>
                <w:rFonts w:ascii="Arial" w:hAnsi="Arial" w:cs="Arial"/>
                <w:b/>
                <w:sz w:val="16"/>
                <w:szCs w:val="16"/>
                <w:vertAlign w:val="superscript"/>
              </w:rPr>
              <w:t>(a)</w:t>
            </w:r>
          </w:p>
        </w:tc>
        <w:tc>
          <w:tcPr>
            <w:cnfStyle w:val="000001000000"/>
            <w:tcW w:w="2160" w:type="dxa"/>
            <w:gridSpan w:val="3"/>
            <w:vMerge w:val="restart"/>
            <w:shd w:val="clear" w:color="auto" w:fill="FBCE76" w:themeFill="background2" w:themeFillTint="99"/>
            <w:noWrap/>
            <w:tcMar>
              <w:top w:w="58" w:type="dxa"/>
              <w:left w:w="0" w:type="dxa"/>
              <w:bottom w:w="58" w:type="dxa"/>
              <w:right w:w="0" w:type="dxa"/>
            </w:tcMar>
          </w:tcPr>
          <w:p w:rsidR="0034080E" w:rsidRPr="008761C2" w:rsidRDefault="0034080E" w:rsidP="001C2792">
            <w:pPr>
              <w:pStyle w:val="TablefontHeading"/>
              <w:spacing w:before="0" w:after="0" w:line="260" w:lineRule="atLeast"/>
              <w:rPr>
                <w:rFonts w:cs="Arial"/>
              </w:rPr>
            </w:pPr>
            <w:r w:rsidRPr="008761C2">
              <w:rPr>
                <w:rFonts w:cs="Arial"/>
              </w:rPr>
              <w:t>Net Energy for Load</w:t>
            </w:r>
            <w:r w:rsidRPr="008761C2">
              <w:rPr>
                <w:rFonts w:cs="Arial"/>
              </w:rPr>
              <w:br/>
              <w:t>(1,000 MWh)</w:t>
            </w:r>
          </w:p>
        </w:tc>
        <w:tc>
          <w:tcPr>
            <w:cnfStyle w:val="000010000000"/>
            <w:tcW w:w="3600" w:type="dxa"/>
            <w:gridSpan w:val="5"/>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hAnsi="Arial" w:cs="Arial"/>
                <w:b/>
                <w:sz w:val="16"/>
                <w:szCs w:val="16"/>
              </w:rPr>
            </w:pPr>
            <w:r w:rsidRPr="008761C2">
              <w:rPr>
                <w:rFonts w:ascii="Arial" w:hAnsi="Arial" w:cs="Arial"/>
                <w:b/>
                <w:sz w:val="16"/>
                <w:szCs w:val="16"/>
              </w:rPr>
              <w:t>Summer Peak Loads (MW)</w:t>
            </w:r>
          </w:p>
        </w:tc>
        <w:tc>
          <w:tcPr>
            <w:cnfStyle w:val="000001000000"/>
            <w:tcW w:w="3600" w:type="dxa"/>
            <w:gridSpan w:val="5"/>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Winter Peak Loads (MW)</w:t>
            </w:r>
          </w:p>
        </w:tc>
      </w:tr>
      <w:tr w:rsidR="0034080E" w:rsidRPr="00621981" w:rsidTr="00624693">
        <w:trPr>
          <w:cnfStyle w:val="000000010000"/>
        </w:trPr>
        <w:tc>
          <w:tcPr>
            <w:cnfStyle w:val="000010000000"/>
            <w:tcW w:w="1192" w:type="dxa"/>
            <w:vMerge/>
            <w:shd w:val="clear" w:color="auto" w:fill="FBCE76" w:themeFill="background2" w:themeFillTint="99"/>
            <w:noWrap/>
            <w:tcMar>
              <w:top w:w="58" w:type="dxa"/>
              <w:left w:w="0" w:type="dxa"/>
              <w:bottom w:w="58" w:type="dxa"/>
              <w:right w:w="0" w:type="dxa"/>
            </w:tcMar>
          </w:tcPr>
          <w:p w:rsidR="0034080E" w:rsidRPr="008761C2" w:rsidRDefault="0034080E" w:rsidP="001C2792">
            <w:pPr>
              <w:pStyle w:val="Footer"/>
              <w:keepNext/>
              <w:keepLines/>
              <w:spacing w:after="0" w:line="260" w:lineRule="atLeast"/>
              <w:rPr>
                <w:rFonts w:ascii="Arial" w:hAnsi="Arial" w:cs="Arial"/>
                <w:b/>
                <w:sz w:val="16"/>
                <w:szCs w:val="16"/>
              </w:rPr>
            </w:pPr>
          </w:p>
        </w:tc>
        <w:tc>
          <w:tcPr>
            <w:cnfStyle w:val="000001000000"/>
            <w:tcW w:w="2160" w:type="dxa"/>
            <w:gridSpan w:val="3"/>
            <w:vMerge/>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hAnsi="Arial" w:cs="Arial"/>
                <w:b/>
                <w:sz w:val="16"/>
                <w:szCs w:val="16"/>
              </w:rPr>
            </w:pPr>
          </w:p>
        </w:tc>
        <w:tc>
          <w:tcPr>
            <w:cnfStyle w:val="000010000000"/>
            <w:tcW w:w="1440" w:type="dxa"/>
            <w:gridSpan w:val="2"/>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hAnsi="Arial" w:cs="Arial"/>
                <w:b/>
                <w:sz w:val="16"/>
                <w:szCs w:val="16"/>
              </w:rPr>
            </w:pPr>
            <w:r w:rsidRPr="008761C2">
              <w:rPr>
                <w:rFonts w:ascii="Arial" w:hAnsi="Arial" w:cs="Arial"/>
                <w:b/>
                <w:sz w:val="16"/>
                <w:szCs w:val="16"/>
              </w:rPr>
              <w:t>50/50</w:t>
            </w:r>
          </w:p>
        </w:tc>
        <w:tc>
          <w:tcPr>
            <w:cnfStyle w:val="000001000000"/>
            <w:tcW w:w="1440" w:type="dxa"/>
            <w:gridSpan w:val="2"/>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90/10</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hAnsi="Arial" w:cs="Arial"/>
                <w:b/>
                <w:sz w:val="16"/>
                <w:szCs w:val="16"/>
              </w:rPr>
            </w:pPr>
          </w:p>
        </w:tc>
        <w:tc>
          <w:tcPr>
            <w:cnfStyle w:val="000001000000"/>
            <w:tcW w:w="1440" w:type="dxa"/>
            <w:gridSpan w:val="2"/>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50/50</w:t>
            </w:r>
          </w:p>
        </w:tc>
        <w:tc>
          <w:tcPr>
            <w:cnfStyle w:val="000010000000"/>
            <w:tcW w:w="1440" w:type="dxa"/>
            <w:gridSpan w:val="2"/>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90/10</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hAnsi="Arial" w:cs="Arial"/>
                <w:b/>
                <w:sz w:val="16"/>
                <w:szCs w:val="16"/>
              </w:rPr>
            </w:pPr>
          </w:p>
        </w:tc>
      </w:tr>
      <w:tr w:rsidR="00F056BC" w:rsidRPr="00621981" w:rsidTr="00624693">
        <w:trPr>
          <w:cnfStyle w:val="000000100000"/>
        </w:trPr>
        <w:tc>
          <w:tcPr>
            <w:cnfStyle w:val="000010000000"/>
            <w:tcW w:w="1192" w:type="dxa"/>
            <w:vMerge/>
            <w:shd w:val="clear" w:color="auto" w:fill="FBCE76" w:themeFill="background2" w:themeFillTint="99"/>
            <w:noWrap/>
            <w:tcMar>
              <w:top w:w="58" w:type="dxa"/>
              <w:left w:w="0" w:type="dxa"/>
              <w:bottom w:w="58" w:type="dxa"/>
              <w:right w:w="0" w:type="dxa"/>
            </w:tcMar>
          </w:tcPr>
          <w:p w:rsidR="0034080E" w:rsidRPr="008761C2" w:rsidRDefault="0034080E" w:rsidP="001C2792">
            <w:pPr>
              <w:pStyle w:val="Footer"/>
              <w:keepNext/>
              <w:keepLines/>
              <w:spacing w:after="0" w:line="260" w:lineRule="atLeast"/>
              <w:rPr>
                <w:rFonts w:ascii="Arial" w:eastAsia="Arial Unicode MS" w:hAnsi="Arial" w:cs="Arial"/>
                <w:b/>
                <w:sz w:val="16"/>
                <w:szCs w:val="16"/>
              </w:rPr>
            </w:pP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2010</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2019</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CAGR</w:t>
            </w:r>
            <w:r w:rsidRPr="008761C2">
              <w:rPr>
                <w:rFonts w:ascii="Arial" w:hAnsi="Arial" w:cs="Arial"/>
                <w:b/>
                <w:sz w:val="16"/>
                <w:szCs w:val="16"/>
                <w:vertAlign w:val="superscript"/>
              </w:rPr>
              <w:t>(b)</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2010</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2019</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2010</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2019</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CAGR</w:t>
            </w:r>
            <w:r w:rsidRPr="008761C2">
              <w:rPr>
                <w:rFonts w:ascii="Arial" w:hAnsi="Arial" w:cs="Arial"/>
                <w:b/>
                <w:sz w:val="16"/>
                <w:szCs w:val="16"/>
                <w:vertAlign w:val="superscript"/>
              </w:rPr>
              <w:t>(b)</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2010/11</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2019/20</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2010/11</w:t>
            </w:r>
          </w:p>
        </w:tc>
        <w:tc>
          <w:tcPr>
            <w:cnfStyle w:val="000010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2019/20</w:t>
            </w:r>
          </w:p>
        </w:tc>
        <w:tc>
          <w:tcPr>
            <w:cnfStyle w:val="000001000000"/>
            <w:tcW w:w="720" w:type="dxa"/>
            <w:shd w:val="clear" w:color="auto" w:fill="FBCE76" w:themeFill="background2" w:themeFillTint="99"/>
            <w:noWrap/>
            <w:tcMar>
              <w:top w:w="58" w:type="dxa"/>
              <w:left w:w="0" w:type="dxa"/>
              <w:bottom w:w="58" w:type="dxa"/>
              <w:right w:w="0" w:type="dxa"/>
            </w:tcMar>
          </w:tcPr>
          <w:p w:rsidR="0034080E" w:rsidRPr="008761C2" w:rsidRDefault="0034080E" w:rsidP="001C2792">
            <w:pPr>
              <w:keepNext/>
              <w:keepLines/>
              <w:spacing w:after="0"/>
              <w:rPr>
                <w:rFonts w:ascii="Arial" w:eastAsia="Arial Unicode MS" w:hAnsi="Arial" w:cs="Arial"/>
                <w:b/>
                <w:sz w:val="16"/>
                <w:szCs w:val="16"/>
              </w:rPr>
            </w:pPr>
            <w:r w:rsidRPr="008761C2">
              <w:rPr>
                <w:rFonts w:ascii="Arial" w:hAnsi="Arial" w:cs="Arial"/>
                <w:b/>
                <w:sz w:val="16"/>
                <w:szCs w:val="16"/>
              </w:rPr>
              <w:t>CAGR</w:t>
            </w:r>
            <w:r w:rsidRPr="008761C2">
              <w:rPr>
                <w:rFonts w:ascii="Arial" w:hAnsi="Arial" w:cs="Arial"/>
                <w:b/>
                <w:sz w:val="16"/>
                <w:szCs w:val="16"/>
                <w:vertAlign w:val="superscript"/>
              </w:rPr>
              <w:t>(b)</w:t>
            </w:r>
          </w:p>
        </w:tc>
      </w:tr>
      <w:tr w:rsidR="0034080E" w:rsidRPr="00621981" w:rsidTr="00624693">
        <w:trPr>
          <w:cnfStyle w:val="000000010000"/>
          <w:trHeight w:val="255"/>
        </w:trPr>
        <w:tc>
          <w:tcPr>
            <w:cnfStyle w:val="000010000000"/>
            <w:tcW w:w="1192" w:type="dxa"/>
            <w:shd w:val="clear" w:color="auto" w:fill="FFFFFF" w:themeFill="background1"/>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C</w:t>
            </w:r>
            <w:r w:rsidR="00624693">
              <w:rPr>
                <w:rFonts w:ascii="Arial" w:hAnsi="Arial" w:cs="Arial"/>
                <w:b/>
                <w:sz w:val="16"/>
                <w:szCs w:val="16"/>
              </w:rPr>
              <w:t>T</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32,675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34,465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0.6</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7,240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8,050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7,865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8,760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5,710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5,835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5,880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6,010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0.2</w:t>
            </w:r>
          </w:p>
        </w:tc>
      </w:tr>
      <w:tr w:rsidR="00F056BC" w:rsidRPr="00621981" w:rsidTr="00624693">
        <w:trPr>
          <w:cnfStyle w:val="000000100000"/>
          <w:trHeight w:val="255"/>
        </w:trPr>
        <w:tc>
          <w:tcPr>
            <w:cnfStyle w:val="000010000000"/>
            <w:tcW w:w="1192" w:type="dxa"/>
            <w:shd w:val="clear" w:color="auto" w:fill="FDEED1" w:themeFill="background2" w:themeFillTint="33"/>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M</w:t>
            </w:r>
            <w:r w:rsidR="00624693">
              <w:rPr>
                <w:rFonts w:ascii="Arial" w:hAnsi="Arial" w:cs="Arial"/>
                <w:b/>
                <w:sz w:val="16"/>
                <w:szCs w:val="16"/>
              </w:rPr>
              <w:t>E</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11,975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12,975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0.9</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2,030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2,315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2,165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2,485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1,915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1,965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1,975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2,025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0.3</w:t>
            </w:r>
          </w:p>
        </w:tc>
      </w:tr>
      <w:tr w:rsidR="0034080E" w:rsidRPr="00621981" w:rsidTr="00624693">
        <w:trPr>
          <w:cnfStyle w:val="000000010000"/>
          <w:trHeight w:val="255"/>
        </w:trPr>
        <w:tc>
          <w:tcPr>
            <w:cnfStyle w:val="000010000000"/>
            <w:tcW w:w="1192" w:type="dxa"/>
            <w:shd w:val="clear" w:color="auto" w:fill="FFFFFF" w:themeFill="background1"/>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M</w:t>
            </w:r>
            <w:r w:rsidR="00624693">
              <w:rPr>
                <w:rFonts w:ascii="Arial" w:hAnsi="Arial" w:cs="Arial"/>
                <w:b/>
                <w:sz w:val="16"/>
                <w:szCs w:val="16"/>
              </w:rPr>
              <w:t>A</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60,305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66,510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12,620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14,315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13,555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15,415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1.4</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10,065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10,590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10,375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10,900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0.5</w:t>
            </w:r>
          </w:p>
        </w:tc>
      </w:tr>
      <w:tr w:rsidR="00F056BC" w:rsidRPr="00621981" w:rsidTr="00624693">
        <w:trPr>
          <w:cnfStyle w:val="000000100000"/>
          <w:trHeight w:val="255"/>
        </w:trPr>
        <w:tc>
          <w:tcPr>
            <w:cnfStyle w:val="000010000000"/>
            <w:tcW w:w="1192" w:type="dxa"/>
            <w:shd w:val="clear" w:color="auto" w:fill="FDEED1" w:themeFill="background2" w:themeFillTint="33"/>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N</w:t>
            </w:r>
            <w:r w:rsidR="00624693">
              <w:rPr>
                <w:rFonts w:ascii="Arial" w:hAnsi="Arial" w:cs="Arial"/>
                <w:b/>
                <w:sz w:val="16"/>
                <w:szCs w:val="16"/>
              </w:rPr>
              <w:t>H</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11,620</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12,940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2,410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2,815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2,590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3,040</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1.8</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1,990</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2,160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2,070</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2,240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0.9</w:t>
            </w:r>
          </w:p>
        </w:tc>
      </w:tr>
      <w:tr w:rsidR="0034080E" w:rsidRPr="00621981" w:rsidTr="00624693">
        <w:trPr>
          <w:cnfStyle w:val="000000010000"/>
          <w:trHeight w:val="255"/>
        </w:trPr>
        <w:tc>
          <w:tcPr>
            <w:cnfStyle w:val="000010000000"/>
            <w:tcW w:w="1192" w:type="dxa"/>
            <w:shd w:val="clear" w:color="auto" w:fill="FFFFFF" w:themeFill="background1"/>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R</w:t>
            </w:r>
            <w:r w:rsidR="00624693">
              <w:rPr>
                <w:rFonts w:ascii="Arial" w:hAnsi="Arial" w:cs="Arial"/>
                <w:b/>
                <w:sz w:val="16"/>
                <w:szCs w:val="16"/>
              </w:rPr>
              <w:t>I</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8,315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8,845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0.7</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1,825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2,045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2,035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2,290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1.3</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1,365</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1,430</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1,410</w:t>
            </w:r>
          </w:p>
        </w:tc>
        <w:tc>
          <w:tcPr>
            <w:cnfStyle w:val="000010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1,475</w:t>
            </w:r>
          </w:p>
        </w:tc>
        <w:tc>
          <w:tcPr>
            <w:cnfStyle w:val="000001000000"/>
            <w:tcW w:w="720" w:type="dxa"/>
            <w:shd w:val="clear" w:color="auto" w:fill="FFFFFF" w:themeFill="background1"/>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0.5</w:t>
            </w:r>
          </w:p>
        </w:tc>
      </w:tr>
      <w:tr w:rsidR="00F056BC" w:rsidRPr="00621981" w:rsidTr="00624693">
        <w:trPr>
          <w:cnfStyle w:val="000000100000"/>
          <w:trHeight w:val="270"/>
        </w:trPr>
        <w:tc>
          <w:tcPr>
            <w:cnfStyle w:val="000010000000"/>
            <w:tcW w:w="1192" w:type="dxa"/>
            <w:shd w:val="clear" w:color="auto" w:fill="FDEED1" w:themeFill="background2" w:themeFillTint="33"/>
            <w:noWrap/>
            <w:tcMar>
              <w:top w:w="58" w:type="dxa"/>
              <w:left w:w="115" w:type="dxa"/>
              <w:bottom w:w="58" w:type="dxa"/>
            </w:tcMar>
          </w:tcPr>
          <w:p w:rsidR="0034080E" w:rsidRPr="008761C2" w:rsidRDefault="0034080E" w:rsidP="00624693">
            <w:pPr>
              <w:keepNext/>
              <w:keepLines/>
              <w:spacing w:after="0"/>
              <w:jc w:val="left"/>
              <w:rPr>
                <w:rFonts w:ascii="Arial" w:eastAsia="Arial Unicode MS" w:hAnsi="Arial" w:cs="Arial"/>
                <w:b/>
                <w:sz w:val="16"/>
                <w:szCs w:val="16"/>
              </w:rPr>
            </w:pPr>
            <w:r w:rsidRPr="008761C2">
              <w:rPr>
                <w:rFonts w:ascii="Arial" w:hAnsi="Arial" w:cs="Arial"/>
                <w:b/>
                <w:sz w:val="16"/>
                <w:szCs w:val="16"/>
              </w:rPr>
              <w:t>V</w:t>
            </w:r>
            <w:r w:rsidR="00624693">
              <w:rPr>
                <w:rFonts w:ascii="Arial" w:hAnsi="Arial" w:cs="Arial"/>
                <w:b/>
                <w:sz w:val="16"/>
                <w:szCs w:val="16"/>
              </w:rPr>
              <w:t>T</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6,415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6,780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0.6</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1,060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1,185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1,100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1,235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1.3</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1,040</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1,085</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1,055</w:t>
            </w:r>
          </w:p>
        </w:tc>
        <w:tc>
          <w:tcPr>
            <w:cnfStyle w:val="000010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1,100</w:t>
            </w:r>
          </w:p>
        </w:tc>
        <w:tc>
          <w:tcPr>
            <w:cnfStyle w:val="000001000000"/>
            <w:tcW w:w="720" w:type="dxa"/>
            <w:shd w:val="clear" w:color="auto" w:fill="FDEED1" w:themeFill="background2" w:themeFillTint="33"/>
            <w:noWrap/>
            <w:tcMar>
              <w:top w:w="58" w:type="dxa"/>
              <w:bottom w:w="58" w:type="dxa"/>
            </w:tcMar>
          </w:tcPr>
          <w:p w:rsidR="0034080E" w:rsidRPr="00621981" w:rsidRDefault="0034080E" w:rsidP="00260B94">
            <w:pPr>
              <w:keepNext/>
              <w:keepLines/>
              <w:spacing w:after="0"/>
              <w:jc w:val="right"/>
              <w:rPr>
                <w:rFonts w:ascii="Arial" w:hAnsi="Arial" w:cs="Arial"/>
                <w:sz w:val="16"/>
                <w:szCs w:val="16"/>
              </w:rPr>
            </w:pPr>
            <w:r w:rsidRPr="00621981">
              <w:rPr>
                <w:rFonts w:ascii="Arial" w:hAnsi="Arial" w:cs="Arial"/>
                <w:sz w:val="16"/>
                <w:szCs w:val="16"/>
              </w:rPr>
              <w:t>0.5</w:t>
            </w:r>
          </w:p>
        </w:tc>
      </w:tr>
      <w:tr w:rsidR="00F056BC" w:rsidRPr="00A6268A" w:rsidTr="00624693">
        <w:trPr>
          <w:cnfStyle w:val="000000010000"/>
          <w:trHeight w:val="270"/>
        </w:trPr>
        <w:tc>
          <w:tcPr>
            <w:cnfStyle w:val="000010000000"/>
            <w:tcW w:w="1192" w:type="dxa"/>
            <w:shd w:val="clear" w:color="auto" w:fill="FBCE76" w:themeFill="background2" w:themeFillTint="99"/>
            <w:noWrap/>
            <w:tcMar>
              <w:top w:w="58" w:type="dxa"/>
              <w:left w:w="115" w:type="dxa"/>
              <w:bottom w:w="58" w:type="dxa"/>
            </w:tcMar>
          </w:tcPr>
          <w:p w:rsidR="0034080E" w:rsidRPr="00A6268A" w:rsidRDefault="00D4331C" w:rsidP="0066546B">
            <w:pPr>
              <w:keepNext/>
              <w:keepLines/>
              <w:spacing w:after="0"/>
              <w:jc w:val="left"/>
              <w:rPr>
                <w:rFonts w:ascii="Arial" w:hAnsi="Arial" w:cs="Arial"/>
                <w:b/>
                <w:sz w:val="16"/>
                <w:szCs w:val="16"/>
              </w:rPr>
            </w:pPr>
            <w:r w:rsidRPr="00D4331C">
              <w:rPr>
                <w:rFonts w:ascii="Arial" w:hAnsi="Arial" w:cs="Arial"/>
                <w:b/>
                <w:sz w:val="16"/>
                <w:szCs w:val="16"/>
              </w:rPr>
              <w:t>New England</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131,305</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142,520</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0.9</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27,190</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30,730</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29,310</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33,225</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1.4</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22,085</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23,070</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22,765</w:t>
            </w:r>
          </w:p>
        </w:tc>
        <w:tc>
          <w:tcPr>
            <w:cnfStyle w:val="000010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23,750</w:t>
            </w:r>
          </w:p>
        </w:tc>
        <w:tc>
          <w:tcPr>
            <w:cnfStyle w:val="000001000000"/>
            <w:tcW w:w="720" w:type="dxa"/>
            <w:shd w:val="clear" w:color="auto" w:fill="FBCE76" w:themeFill="background2" w:themeFillTint="99"/>
            <w:noWrap/>
            <w:tcMar>
              <w:top w:w="58" w:type="dxa"/>
              <w:bottom w:w="58" w:type="dxa"/>
            </w:tcMar>
          </w:tcPr>
          <w:p w:rsidR="0034080E" w:rsidRPr="00A6268A" w:rsidRDefault="00D4331C" w:rsidP="00260B94">
            <w:pPr>
              <w:keepNext/>
              <w:keepLines/>
              <w:spacing w:after="0"/>
              <w:jc w:val="right"/>
              <w:rPr>
                <w:rFonts w:ascii="Arial" w:hAnsi="Arial" w:cs="Arial"/>
                <w:sz w:val="16"/>
                <w:szCs w:val="16"/>
              </w:rPr>
            </w:pPr>
            <w:r w:rsidRPr="00D4331C">
              <w:rPr>
                <w:rFonts w:ascii="Arial" w:hAnsi="Arial" w:cs="Arial"/>
                <w:sz w:val="16"/>
                <w:szCs w:val="16"/>
              </w:rPr>
              <w:t>0.5</w:t>
            </w:r>
          </w:p>
        </w:tc>
      </w:tr>
    </w:tbl>
    <w:p w:rsidR="00E02278" w:rsidRPr="00A6268A" w:rsidRDefault="00D4331C" w:rsidP="00624693">
      <w:pPr>
        <w:pStyle w:val="TableNote"/>
        <w:keepLines/>
        <w:numPr>
          <w:ilvl w:val="0"/>
          <w:numId w:val="23"/>
        </w:numPr>
        <w:tabs>
          <w:tab w:val="left" w:pos="-630"/>
        </w:tabs>
        <w:spacing w:before="120" w:after="80"/>
        <w:ind w:left="-270" w:right="-630" w:hanging="270"/>
      </w:pPr>
      <w:r w:rsidRPr="00D4331C">
        <w:t>A variety of factors cause state growth rates to differ from the overall growth rate for New England. For example, New Hampshire has the fastest-growing economy in New England, and Connecticut has the slowest-growing economy in the region.</w:t>
      </w:r>
    </w:p>
    <w:p w:rsidR="00E02278" w:rsidRDefault="0034080E" w:rsidP="00624693">
      <w:pPr>
        <w:pStyle w:val="TableNote"/>
        <w:keepLines/>
        <w:numPr>
          <w:ilvl w:val="0"/>
          <w:numId w:val="23"/>
        </w:numPr>
        <w:tabs>
          <w:tab w:val="left" w:pos="-630"/>
        </w:tabs>
        <w:spacing w:before="0" w:after="240"/>
        <w:ind w:left="-270" w:right="-630" w:hanging="270"/>
      </w:pPr>
      <w:r w:rsidRPr="004B6FE6">
        <w:t>CAGR stands for compound annual growth rate.</w:t>
      </w:r>
    </w:p>
    <w:p w:rsidR="0034080E" w:rsidRDefault="00832C7A" w:rsidP="00073277">
      <w:fldSimple w:instr=" REF _Ref200272877 \h  \* MERGEFORMAT ">
        <w:r w:rsidR="00E5699E">
          <w:t>Table 3</w:t>
        </w:r>
        <w:r w:rsidR="00E5699E">
          <w:noBreakHyphen/>
          <w:t>2</w:t>
        </w:r>
      </w:fldSimple>
      <w:r w:rsidR="00A22B1D" w:rsidRPr="0023205F">
        <w:t xml:space="preserve"> summarizes the </w:t>
      </w:r>
      <w:r w:rsidR="00A22B1D" w:rsidRPr="00E47476">
        <w:t>ISO’s long-run forecasts</w:t>
      </w:r>
      <w:r w:rsidR="00A22B1D" w:rsidRPr="0023205F">
        <w:t xml:space="preserve"> of annual electric energy use and seasonal peak load (50/50 and 90/10) for New England overall and for each state. The price of electricity and other economic and demographic </w:t>
      </w:r>
      <w:r w:rsidR="00A22B1D" w:rsidRPr="00E47476">
        <w:t>factors (see Section </w:t>
      </w:r>
      <w:fldSimple w:instr=" REF _Ref173237084 \r \h  \* MERGEFORMAT ">
        <w:r w:rsidR="00E5699E">
          <w:t>3.2</w:t>
        </w:r>
      </w:fldSimple>
      <w:r w:rsidR="00A22B1D" w:rsidRPr="004516C2">
        <w:t>)</w:t>
      </w:r>
      <w:r w:rsidR="00A22B1D">
        <w:t xml:space="preserve"> </w:t>
      </w:r>
      <w:r w:rsidR="00A22B1D" w:rsidRPr="0023205F">
        <w:t>drive the annual use of electric energy and the growth of the seasonal peak.</w:t>
      </w:r>
      <w:r w:rsidR="00A22B1D">
        <w:t xml:space="preserve"> </w:t>
      </w:r>
      <w:r w:rsidR="0034080E" w:rsidRPr="004B6FE6">
        <w:t xml:space="preserve">The compound annual growth rate </w:t>
      </w:r>
      <w:r w:rsidR="0034080E">
        <w:t xml:space="preserve">(CAGR) </w:t>
      </w:r>
      <w:r w:rsidR="0034080E" w:rsidRPr="004B6FE6">
        <w:t>for electric energy use is 0.9% for 20</w:t>
      </w:r>
      <w:r w:rsidR="0034080E">
        <w:t>10</w:t>
      </w:r>
      <w:r w:rsidR="0034080E" w:rsidRPr="004B6FE6">
        <w:t xml:space="preserve"> through 201</w:t>
      </w:r>
      <w:r w:rsidR="0034080E">
        <w:t>9</w:t>
      </w:r>
      <w:r w:rsidR="0034080E" w:rsidRPr="004B6FE6">
        <w:t>.</w:t>
      </w:r>
      <w:r w:rsidR="0034080E" w:rsidRPr="007C099B">
        <w:rPr>
          <w:rStyle w:val="FootnoteReference"/>
          <w:sz w:val="22"/>
        </w:rPr>
        <w:footnoteReference w:id="66"/>
      </w:r>
      <w:r w:rsidR="0034080E" w:rsidRPr="004B6FE6">
        <w:t xml:space="preserve"> The CAGR for the summer peak load is 1.</w:t>
      </w:r>
      <w:r w:rsidR="0034080E">
        <w:t>4</w:t>
      </w:r>
      <w:r w:rsidR="0034080E" w:rsidRPr="004B6FE6">
        <w:t>% per year for 20</w:t>
      </w:r>
      <w:r w:rsidR="0034080E">
        <w:t>1</w:t>
      </w:r>
      <w:r w:rsidR="0034080E" w:rsidRPr="004B6FE6">
        <w:t>0 through 201</w:t>
      </w:r>
      <w:r w:rsidR="0034080E">
        <w:t>9, while the CAGR for the winter peak is 0.5%</w:t>
      </w:r>
      <w:r w:rsidR="0034080E" w:rsidRPr="004B6FE6">
        <w:t>.</w:t>
      </w:r>
      <w:r w:rsidR="0034080E">
        <w:t xml:space="preserve"> </w:t>
      </w:r>
      <w:r w:rsidR="00AA05B1">
        <w:t xml:space="preserve">The systemwide load </w:t>
      </w:r>
      <w:r w:rsidR="00AA05B1" w:rsidRPr="00445869">
        <w:t xml:space="preserve">factor </w:t>
      </w:r>
      <w:r w:rsidR="000C3EF1" w:rsidRPr="00445869">
        <w:rPr>
          <w:rFonts w:eastAsia="Calibri" w:cs="Times New Roman"/>
        </w:rPr>
        <w:t>(</w:t>
      </w:r>
      <w:r w:rsidR="000C3EF1" w:rsidRPr="00445869">
        <w:rPr>
          <w:rFonts w:eastAsia="Calibri" w:cs="Times New Roman"/>
          <w:iCs/>
        </w:rPr>
        <w:t>i.e.</w:t>
      </w:r>
      <w:r w:rsidR="000C3EF1" w:rsidRPr="00445869">
        <w:rPr>
          <w:rFonts w:eastAsia="Calibri" w:cs="Times New Roman"/>
        </w:rPr>
        <w:t xml:space="preserve">, the ratio of the average hourly load during a year to peak hourly load) </w:t>
      </w:r>
      <w:r w:rsidR="00AA05B1" w:rsidRPr="00445869">
        <w:t>declines from 55% in 2010 to 53% in 2019</w:t>
      </w:r>
      <w:r w:rsidR="00D24C88" w:rsidRPr="00445869">
        <w:t xml:space="preserve">. </w:t>
      </w:r>
      <w:r w:rsidR="00D4331C" w:rsidRPr="00445869">
        <w:t>The decline is attributable</w:t>
      </w:r>
      <w:r w:rsidR="00F560A1">
        <w:t xml:space="preserve"> </w:t>
      </w:r>
      <w:r w:rsidR="00D4331C" w:rsidRPr="00445869">
        <w:t>to several factors</w:t>
      </w:r>
      <w:r w:rsidR="00D4331C" w:rsidRPr="00445869">
        <w:rPr>
          <w:rFonts w:cs="Times New Roman"/>
        </w:rPr>
        <w:t>—</w:t>
      </w:r>
      <w:r w:rsidR="00D4331C" w:rsidRPr="00445869">
        <w:t>the increased penetration of cooling load (e.g., air conditioning), which increases the summer peak load; the loss of industry with less variability in its load throughout the year; and the addition of energy-efficient lighting, which decreases load during low</w:t>
      </w:r>
      <w:r w:rsidR="000C5EE0">
        <w:t>-</w:t>
      </w:r>
      <w:r w:rsidR="00D4331C" w:rsidRPr="00445869">
        <w:t>load periods</w:t>
      </w:r>
      <w:r w:rsidR="00D4331C" w:rsidRPr="00445869">
        <w:rPr>
          <w:rFonts w:cs="Times New Roman"/>
        </w:rPr>
        <w:t>—</w:t>
      </w:r>
      <w:r w:rsidR="00260B94" w:rsidRPr="00445869">
        <w:rPr>
          <w:rFonts w:cs="Times New Roman"/>
        </w:rPr>
        <w:t xml:space="preserve">all of </w:t>
      </w:r>
      <w:r w:rsidR="00D4331C" w:rsidRPr="00445869">
        <w:t>which indicate the less efficient use of electric power system infrastructure.</w:t>
      </w:r>
      <w:r w:rsidR="00D24C88">
        <w:t xml:space="preserve"> </w:t>
      </w:r>
    </w:p>
    <w:p w:rsidR="001B3090" w:rsidRDefault="0034080E">
      <w:pPr>
        <w:pStyle w:val="Heading2"/>
      </w:pPr>
      <w:bookmarkStart w:id="106" w:name="_Ref173237084"/>
      <w:bookmarkStart w:id="107" w:name="_Toc176244990"/>
      <w:bookmarkStart w:id="108" w:name="_Toc201669907"/>
      <w:bookmarkStart w:id="109" w:name="_Toc207531808"/>
      <w:bookmarkStart w:id="110" w:name="_Toc239157052"/>
      <w:bookmarkStart w:id="111" w:name="_Toc271632210"/>
      <w:r w:rsidRPr="005E539A">
        <w:t>Economic and Demographic Factors and Electric Energy Use</w:t>
      </w:r>
      <w:bookmarkEnd w:id="106"/>
      <w:bookmarkEnd w:id="107"/>
      <w:bookmarkEnd w:id="108"/>
      <w:bookmarkEnd w:id="109"/>
      <w:bookmarkEnd w:id="110"/>
      <w:bookmarkEnd w:id="111"/>
    </w:p>
    <w:p w:rsidR="007D79B9" w:rsidRDefault="0034080E">
      <w:r>
        <w:t xml:space="preserve">The ISO’s forecasts of electric energy use in New England and each state are based on a total energy-use concept, which sums the total electric energy used </w:t>
      </w:r>
      <w:r w:rsidR="00D4331C" w:rsidRPr="00D4331C">
        <w:t>residentially (about 40%), commercially (about 40%), and industrially (about 20%). Real income and the real pric</w:t>
      </w:r>
      <w:r>
        <w:t xml:space="preserve">e of electricity, which serve as proxies for overall economic and demographic conditions, are the primary factors applied to determine electric energy use. </w:t>
      </w:r>
      <w:r w:rsidR="00832C7A">
        <w:fldChar w:fldCharType="begin"/>
      </w:r>
      <w:r w:rsidR="00C814EB">
        <w:instrText xml:space="preserve"> REF _Ref229901942 </w:instrText>
      </w:r>
      <w:r w:rsidR="00832C7A">
        <w:fldChar w:fldCharType="separate"/>
      </w:r>
      <w:r w:rsidR="00E5699E">
        <w:t>Table </w:t>
      </w:r>
      <w:r w:rsidR="00E5699E">
        <w:rPr>
          <w:noProof/>
        </w:rPr>
        <w:t>3</w:t>
      </w:r>
      <w:r w:rsidR="00E5699E">
        <w:noBreakHyphen/>
      </w:r>
      <w:r w:rsidR="00E5699E">
        <w:rPr>
          <w:noProof/>
        </w:rPr>
        <w:t>3</w:t>
      </w:r>
      <w:r w:rsidR="00832C7A">
        <w:fldChar w:fldCharType="end"/>
      </w:r>
      <w:r>
        <w:t xml:space="preserve"> </w:t>
      </w:r>
      <w:r w:rsidRPr="006831AA">
        <w:t>summarizes</w:t>
      </w:r>
      <w:r>
        <w:t xml:space="preserve"> these and other indicators of the New England economy.</w:t>
      </w:r>
    </w:p>
    <w:p w:rsidR="0034080E" w:rsidRDefault="0034080E" w:rsidP="008761C2">
      <w:pPr>
        <w:pStyle w:val="Caption"/>
      </w:pPr>
      <w:bookmarkStart w:id="112" w:name="_Ref229901942"/>
      <w:bookmarkStart w:id="113" w:name="_Toc239157211"/>
      <w:bookmarkStart w:id="114" w:name="_Toc271552398"/>
      <w:r>
        <w:t>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3</w:t>
      </w:r>
      <w:r w:rsidR="00832C7A">
        <w:fldChar w:fldCharType="end"/>
      </w:r>
      <w:bookmarkEnd w:id="112"/>
      <w:r>
        <w:br/>
        <w:t>New England Economic and Demographic Forecast Summary</w:t>
      </w:r>
      <w:bookmarkEnd w:id="113"/>
      <w:bookmarkEnd w:id="114"/>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8" w:type="dxa"/>
          <w:bottom w:w="58" w:type="dxa"/>
        </w:tblCellMar>
        <w:tblLook w:val="0000"/>
      </w:tblPr>
      <w:tblGrid>
        <w:gridCol w:w="3024"/>
        <w:gridCol w:w="1152"/>
        <w:gridCol w:w="1152"/>
        <w:gridCol w:w="864"/>
        <w:gridCol w:w="1152"/>
        <w:gridCol w:w="1152"/>
        <w:gridCol w:w="869"/>
      </w:tblGrid>
      <w:tr w:rsidR="0034080E" w:rsidRPr="00621981" w:rsidTr="001C2792">
        <w:trPr>
          <w:cnfStyle w:val="000000100000"/>
        </w:trPr>
        <w:tc>
          <w:tcPr>
            <w:cnfStyle w:val="000010000000"/>
            <w:tcW w:w="3024" w:type="dxa"/>
            <w:shd w:val="clear" w:color="auto" w:fill="FBCE76" w:themeFill="background2" w:themeFillTint="99"/>
            <w:noWrap/>
            <w:tcMar>
              <w:top w:w="58" w:type="dxa"/>
              <w:bottom w:w="58" w:type="dxa"/>
            </w:tcMar>
          </w:tcPr>
          <w:p w:rsidR="0070763A" w:rsidRDefault="0034080E">
            <w:pPr>
              <w:keepNext/>
              <w:keepLines/>
              <w:spacing w:after="0"/>
              <w:rPr>
                <w:rFonts w:ascii="Arial" w:eastAsia="Arial Unicode MS" w:hAnsi="Arial" w:cs="Arial"/>
                <w:b/>
                <w:sz w:val="18"/>
                <w:szCs w:val="18"/>
              </w:rPr>
            </w:pPr>
            <w:r w:rsidRPr="008761C2">
              <w:rPr>
                <w:rFonts w:ascii="Arial" w:hAnsi="Arial" w:cs="Arial"/>
                <w:b/>
                <w:sz w:val="18"/>
                <w:szCs w:val="18"/>
              </w:rPr>
              <w:t>Factor</w:t>
            </w:r>
          </w:p>
        </w:tc>
        <w:tc>
          <w:tcPr>
            <w:cnfStyle w:val="000001000000"/>
            <w:tcW w:w="1152" w:type="dxa"/>
            <w:shd w:val="clear" w:color="auto" w:fill="FBCE76" w:themeFill="background2" w:themeFillTint="99"/>
            <w:noWrap/>
            <w:tcMar>
              <w:top w:w="58" w:type="dxa"/>
              <w:bottom w:w="58" w:type="dxa"/>
            </w:tcMar>
          </w:tcPr>
          <w:p w:rsidR="00F056BC" w:rsidRDefault="0034080E">
            <w:pPr>
              <w:pStyle w:val="TablefontHeading"/>
              <w:spacing w:before="0" w:after="0" w:line="260" w:lineRule="atLeast"/>
              <w:rPr>
                <w:rFonts w:cs="Arial"/>
                <w:sz w:val="18"/>
                <w:szCs w:val="18"/>
              </w:rPr>
            </w:pPr>
            <w:r w:rsidRPr="008761C2">
              <w:rPr>
                <w:rFonts w:cs="Arial"/>
                <w:sz w:val="18"/>
                <w:szCs w:val="18"/>
              </w:rPr>
              <w:t>1980</w:t>
            </w:r>
          </w:p>
        </w:tc>
        <w:tc>
          <w:tcPr>
            <w:cnfStyle w:val="000010000000"/>
            <w:tcW w:w="1152" w:type="dxa"/>
            <w:shd w:val="clear" w:color="auto" w:fill="FBCE76" w:themeFill="background2" w:themeFillTint="99"/>
            <w:noWrap/>
            <w:tcMar>
              <w:top w:w="58" w:type="dxa"/>
              <w:bottom w:w="58" w:type="dxa"/>
            </w:tcMar>
          </w:tcPr>
          <w:p w:rsidR="00F056BC" w:rsidRDefault="0034080E">
            <w:pPr>
              <w:pStyle w:val="TablefontHeading"/>
              <w:spacing w:before="0" w:after="0" w:line="260" w:lineRule="atLeast"/>
              <w:rPr>
                <w:rFonts w:cs="Arial"/>
                <w:sz w:val="18"/>
                <w:szCs w:val="18"/>
              </w:rPr>
            </w:pPr>
            <w:r w:rsidRPr="008761C2">
              <w:rPr>
                <w:rFonts w:cs="Arial"/>
                <w:sz w:val="18"/>
                <w:szCs w:val="18"/>
              </w:rPr>
              <w:t>2009</w:t>
            </w:r>
          </w:p>
        </w:tc>
        <w:tc>
          <w:tcPr>
            <w:cnfStyle w:val="000001000000"/>
            <w:tcW w:w="864" w:type="dxa"/>
            <w:shd w:val="clear" w:color="auto" w:fill="FBCE76" w:themeFill="background2" w:themeFillTint="99"/>
            <w:noWrap/>
            <w:tcMar>
              <w:top w:w="58" w:type="dxa"/>
              <w:bottom w:w="58" w:type="dxa"/>
            </w:tcMar>
          </w:tcPr>
          <w:p w:rsidR="0070763A" w:rsidRDefault="0034080E">
            <w:pPr>
              <w:keepNext/>
              <w:keepLines/>
              <w:spacing w:after="0"/>
              <w:rPr>
                <w:rFonts w:ascii="Arial" w:eastAsia="Arial Unicode MS" w:hAnsi="Arial" w:cs="Arial"/>
                <w:b/>
                <w:sz w:val="18"/>
                <w:szCs w:val="18"/>
              </w:rPr>
            </w:pPr>
            <w:r w:rsidRPr="008761C2">
              <w:rPr>
                <w:rFonts w:ascii="Arial" w:hAnsi="Arial" w:cs="Arial"/>
                <w:b/>
                <w:sz w:val="18"/>
                <w:szCs w:val="18"/>
              </w:rPr>
              <w:t>CAGR</w:t>
            </w:r>
          </w:p>
        </w:tc>
        <w:tc>
          <w:tcPr>
            <w:cnfStyle w:val="000010000000"/>
            <w:tcW w:w="1152" w:type="dxa"/>
            <w:shd w:val="clear" w:color="auto" w:fill="FBCE76" w:themeFill="background2" w:themeFillTint="99"/>
            <w:noWrap/>
            <w:tcMar>
              <w:top w:w="58" w:type="dxa"/>
              <w:bottom w:w="58" w:type="dxa"/>
            </w:tcMar>
          </w:tcPr>
          <w:p w:rsidR="0070763A" w:rsidRDefault="0034080E">
            <w:pPr>
              <w:keepNext/>
              <w:keepLines/>
              <w:spacing w:after="0"/>
              <w:rPr>
                <w:rFonts w:ascii="Arial" w:eastAsia="Arial Unicode MS" w:hAnsi="Arial" w:cs="Arial"/>
                <w:b/>
                <w:sz w:val="18"/>
                <w:szCs w:val="18"/>
              </w:rPr>
            </w:pPr>
            <w:r w:rsidRPr="008761C2">
              <w:rPr>
                <w:rFonts w:ascii="Arial" w:hAnsi="Arial" w:cs="Arial"/>
                <w:b/>
                <w:sz w:val="18"/>
                <w:szCs w:val="18"/>
              </w:rPr>
              <w:t>2010</w:t>
            </w:r>
          </w:p>
        </w:tc>
        <w:tc>
          <w:tcPr>
            <w:cnfStyle w:val="000001000000"/>
            <w:tcW w:w="1152" w:type="dxa"/>
            <w:shd w:val="clear" w:color="auto" w:fill="FBCE76" w:themeFill="background2" w:themeFillTint="99"/>
            <w:noWrap/>
            <w:tcMar>
              <w:top w:w="58" w:type="dxa"/>
              <w:bottom w:w="58" w:type="dxa"/>
            </w:tcMar>
          </w:tcPr>
          <w:p w:rsidR="0070763A" w:rsidRDefault="0034080E">
            <w:pPr>
              <w:keepNext/>
              <w:keepLines/>
              <w:spacing w:after="0"/>
              <w:rPr>
                <w:rFonts w:ascii="Arial" w:eastAsia="Arial Unicode MS" w:hAnsi="Arial" w:cs="Arial"/>
                <w:b/>
                <w:sz w:val="18"/>
                <w:szCs w:val="18"/>
              </w:rPr>
            </w:pPr>
            <w:r w:rsidRPr="008761C2">
              <w:rPr>
                <w:rFonts w:ascii="Arial" w:hAnsi="Arial" w:cs="Arial"/>
                <w:b/>
                <w:sz w:val="18"/>
                <w:szCs w:val="18"/>
              </w:rPr>
              <w:t>2019</w:t>
            </w:r>
          </w:p>
        </w:tc>
        <w:tc>
          <w:tcPr>
            <w:cnfStyle w:val="000010000000"/>
            <w:tcW w:w="869" w:type="dxa"/>
            <w:shd w:val="clear" w:color="auto" w:fill="FBCE76" w:themeFill="background2" w:themeFillTint="99"/>
            <w:noWrap/>
            <w:tcMar>
              <w:top w:w="58" w:type="dxa"/>
              <w:bottom w:w="58" w:type="dxa"/>
            </w:tcMar>
          </w:tcPr>
          <w:p w:rsidR="0070763A" w:rsidRDefault="0034080E">
            <w:pPr>
              <w:keepNext/>
              <w:keepLines/>
              <w:spacing w:after="0"/>
              <w:rPr>
                <w:rFonts w:ascii="Arial" w:eastAsia="Arial Unicode MS" w:hAnsi="Arial" w:cs="Arial"/>
                <w:b/>
                <w:sz w:val="18"/>
                <w:szCs w:val="18"/>
              </w:rPr>
            </w:pPr>
            <w:r w:rsidRPr="008761C2">
              <w:rPr>
                <w:rFonts w:ascii="Arial" w:hAnsi="Arial" w:cs="Arial"/>
                <w:b/>
                <w:sz w:val="18"/>
                <w:szCs w:val="18"/>
              </w:rPr>
              <w:t>CAGR</w:t>
            </w:r>
          </w:p>
        </w:tc>
      </w:tr>
      <w:tr w:rsidR="0034080E" w:rsidRPr="00621981" w:rsidTr="007A4E4A">
        <w:trPr>
          <w:cnfStyle w:val="000000010000"/>
        </w:trPr>
        <w:tc>
          <w:tcPr>
            <w:cnfStyle w:val="000010000000"/>
            <w:tcW w:w="3024" w:type="dxa"/>
            <w:shd w:val="clear" w:color="auto" w:fill="FFFFFF" w:themeFill="background1"/>
            <w:noWrap/>
            <w:tcMar>
              <w:top w:w="58" w:type="dxa"/>
              <w:bottom w:w="58" w:type="dxa"/>
            </w:tcMar>
          </w:tcPr>
          <w:p w:rsidR="001A446F" w:rsidRDefault="0034080E" w:rsidP="0066546B">
            <w:pPr>
              <w:keepNext/>
              <w:keepLines/>
              <w:spacing w:after="0"/>
              <w:jc w:val="left"/>
              <w:rPr>
                <w:rFonts w:ascii="Arial" w:hAnsi="Arial" w:cs="Arial"/>
                <w:b/>
                <w:sz w:val="18"/>
                <w:szCs w:val="18"/>
              </w:rPr>
            </w:pPr>
            <w:r w:rsidRPr="008761C2">
              <w:rPr>
                <w:rFonts w:ascii="Arial" w:hAnsi="Arial" w:cs="Arial"/>
                <w:b/>
                <w:sz w:val="18"/>
                <w:szCs w:val="18"/>
              </w:rPr>
              <w:t>Summer peak (MW)</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14,539</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27,220</w:t>
            </w:r>
          </w:p>
        </w:tc>
        <w:tc>
          <w:tcPr>
            <w:cnfStyle w:val="000001000000"/>
            <w:tcW w:w="864"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2.2</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27,190</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30,730</w:t>
            </w:r>
          </w:p>
        </w:tc>
        <w:tc>
          <w:tcPr>
            <w:cnfStyle w:val="000010000000"/>
            <w:tcW w:w="869"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w:t>
            </w:r>
          </w:p>
        </w:tc>
      </w:tr>
      <w:tr w:rsidR="0034080E" w:rsidRPr="00621981" w:rsidTr="001C2792">
        <w:trPr>
          <w:cnfStyle w:val="000000100000"/>
        </w:trPr>
        <w:tc>
          <w:tcPr>
            <w:cnfStyle w:val="000010000000"/>
            <w:tcW w:w="3024" w:type="dxa"/>
            <w:shd w:val="clear" w:color="auto" w:fill="FDEED1" w:themeFill="background2" w:themeFillTint="33"/>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Net energy for load (1,000 MWh)</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82,927</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132,045</w:t>
            </w:r>
          </w:p>
        </w:tc>
        <w:tc>
          <w:tcPr>
            <w:cnfStyle w:val="000001000000"/>
            <w:tcW w:w="864"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1.6</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131,305</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142,520</w:t>
            </w:r>
          </w:p>
        </w:tc>
        <w:tc>
          <w:tcPr>
            <w:cnfStyle w:val="000010000000"/>
            <w:tcW w:w="869"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0.9</w:t>
            </w:r>
          </w:p>
        </w:tc>
      </w:tr>
      <w:tr w:rsidR="0034080E" w:rsidRPr="00621981" w:rsidTr="007A4E4A">
        <w:trPr>
          <w:cnfStyle w:val="000000010000"/>
        </w:trPr>
        <w:tc>
          <w:tcPr>
            <w:cnfStyle w:val="000010000000"/>
            <w:tcW w:w="3024" w:type="dxa"/>
            <w:shd w:val="clear" w:color="auto" w:fill="FFFFFF" w:themeFill="background1"/>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Population (thousands)</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12,378</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14,337</w:t>
            </w:r>
          </w:p>
        </w:tc>
        <w:tc>
          <w:tcPr>
            <w:cnfStyle w:val="000001000000"/>
            <w:tcW w:w="864"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0.5</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14,369</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14,685</w:t>
            </w:r>
          </w:p>
        </w:tc>
        <w:tc>
          <w:tcPr>
            <w:cnfStyle w:val="000010000000"/>
            <w:tcW w:w="869"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0.2</w:t>
            </w:r>
          </w:p>
        </w:tc>
      </w:tr>
      <w:tr w:rsidR="0034080E" w:rsidRPr="00621981" w:rsidTr="001C2792">
        <w:trPr>
          <w:cnfStyle w:val="000000100000"/>
        </w:trPr>
        <w:tc>
          <w:tcPr>
            <w:cnfStyle w:val="000010000000"/>
            <w:tcW w:w="3024" w:type="dxa"/>
            <w:shd w:val="clear" w:color="auto" w:fill="FDEED1" w:themeFill="background2" w:themeFillTint="33"/>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Real price of electricity</w:t>
            </w:r>
            <w:r w:rsidRPr="008761C2">
              <w:rPr>
                <w:rFonts w:ascii="Arial" w:hAnsi="Arial" w:cs="Arial"/>
                <w:b/>
                <w:sz w:val="18"/>
                <w:szCs w:val="18"/>
              </w:rPr>
              <w:br/>
              <w:t>(</w:t>
            </w:r>
            <w:r w:rsidR="0096050E">
              <w:rPr>
                <w:rFonts w:ascii="Arial" w:hAnsi="Arial" w:cs="Arial"/>
                <w:b/>
                <w:sz w:val="18"/>
                <w:szCs w:val="18"/>
              </w:rPr>
              <w:t>¢/kWh</w:t>
            </w:r>
            <w:r w:rsidRPr="008761C2">
              <w:rPr>
                <w:rFonts w:ascii="Arial" w:hAnsi="Arial" w:cs="Arial"/>
                <w:b/>
                <w:sz w:val="18"/>
                <w:szCs w:val="18"/>
              </w:rPr>
              <w:t>, 1996 $)</w:t>
            </w:r>
            <w:r w:rsidR="0096050E" w:rsidRPr="0096050E">
              <w:rPr>
                <w:rFonts w:ascii="Arial" w:hAnsi="Arial" w:cs="Arial"/>
                <w:b/>
                <w:sz w:val="18"/>
                <w:szCs w:val="18"/>
                <w:vertAlign w:val="superscript"/>
              </w:rPr>
              <w:t>(a)</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color w:val="000000"/>
                <w:sz w:val="18"/>
                <w:szCs w:val="18"/>
              </w:rPr>
            </w:pPr>
            <w:r w:rsidRPr="00621981">
              <w:rPr>
                <w:rFonts w:ascii="Arial" w:hAnsi="Arial" w:cs="Arial"/>
                <w:sz w:val="18"/>
                <w:szCs w:val="18"/>
              </w:rPr>
              <w:t>11.990</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color w:val="000000"/>
                <w:sz w:val="18"/>
                <w:szCs w:val="18"/>
              </w:rPr>
            </w:pPr>
            <w:r w:rsidRPr="00621981">
              <w:rPr>
                <w:rFonts w:ascii="Arial" w:hAnsi="Arial" w:cs="Arial"/>
                <w:sz w:val="18"/>
                <w:szCs w:val="18"/>
              </w:rPr>
              <w:t>11.617</w:t>
            </w:r>
          </w:p>
        </w:tc>
        <w:tc>
          <w:tcPr>
            <w:cnfStyle w:val="000001000000"/>
            <w:tcW w:w="864"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−0.1</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color w:val="000000"/>
                <w:sz w:val="18"/>
                <w:szCs w:val="18"/>
              </w:rPr>
            </w:pPr>
            <w:r w:rsidRPr="00621981">
              <w:rPr>
                <w:rFonts w:ascii="Arial" w:hAnsi="Arial" w:cs="Arial"/>
                <w:sz w:val="18"/>
                <w:szCs w:val="18"/>
              </w:rPr>
              <w:t>11.691</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color w:val="000000"/>
                <w:sz w:val="18"/>
                <w:szCs w:val="18"/>
              </w:rPr>
            </w:pPr>
            <w:r w:rsidRPr="00621981">
              <w:rPr>
                <w:rFonts w:ascii="Arial" w:hAnsi="Arial" w:cs="Arial"/>
                <w:sz w:val="18"/>
                <w:szCs w:val="18"/>
              </w:rPr>
              <w:t>11.484</w:t>
            </w:r>
          </w:p>
        </w:tc>
        <w:tc>
          <w:tcPr>
            <w:cnfStyle w:val="000010000000"/>
            <w:tcW w:w="869"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−0.2</w:t>
            </w:r>
          </w:p>
        </w:tc>
      </w:tr>
      <w:tr w:rsidR="0034080E" w:rsidRPr="00621981" w:rsidTr="007A4E4A">
        <w:trPr>
          <w:cnfStyle w:val="000000010000"/>
        </w:trPr>
        <w:tc>
          <w:tcPr>
            <w:cnfStyle w:val="000010000000"/>
            <w:tcW w:w="3024" w:type="dxa"/>
            <w:shd w:val="clear" w:color="auto" w:fill="FFFFFF" w:themeFill="background1"/>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Employment (thousands)</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5,485</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6,810</w:t>
            </w:r>
          </w:p>
        </w:tc>
        <w:tc>
          <w:tcPr>
            <w:cnfStyle w:val="000001000000"/>
            <w:tcW w:w="864"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0.7</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6,718</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7,340</w:t>
            </w:r>
          </w:p>
        </w:tc>
        <w:tc>
          <w:tcPr>
            <w:cnfStyle w:val="000010000000"/>
            <w:tcW w:w="869"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1.0</w:t>
            </w:r>
          </w:p>
        </w:tc>
      </w:tr>
      <w:tr w:rsidR="0034080E" w:rsidRPr="00621981" w:rsidTr="001C2792">
        <w:trPr>
          <w:cnfStyle w:val="000000100000"/>
        </w:trPr>
        <w:tc>
          <w:tcPr>
            <w:cnfStyle w:val="000010000000"/>
            <w:tcW w:w="3024" w:type="dxa"/>
            <w:shd w:val="clear" w:color="auto" w:fill="FDEED1" w:themeFill="background2" w:themeFillTint="33"/>
            <w:noWrap/>
            <w:tcMar>
              <w:top w:w="58" w:type="dxa"/>
              <w:bottom w:w="58" w:type="dxa"/>
            </w:tcMar>
          </w:tcPr>
          <w:p w:rsidR="001A446F" w:rsidRDefault="0034080E" w:rsidP="0066546B">
            <w:pPr>
              <w:keepNext/>
              <w:keepLines/>
              <w:spacing w:after="0"/>
              <w:jc w:val="left"/>
              <w:rPr>
                <w:rFonts w:ascii="Arial" w:hAnsi="Arial" w:cs="Arial"/>
                <w:b/>
                <w:sz w:val="18"/>
                <w:szCs w:val="18"/>
              </w:rPr>
            </w:pPr>
            <w:r w:rsidRPr="008761C2">
              <w:rPr>
                <w:rFonts w:ascii="Arial" w:hAnsi="Arial" w:cs="Arial"/>
                <w:b/>
                <w:sz w:val="18"/>
                <w:szCs w:val="18"/>
              </w:rPr>
              <w:t>Real income (millions, 2005 $)</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281,871</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629,265</w:t>
            </w:r>
          </w:p>
        </w:tc>
        <w:tc>
          <w:tcPr>
            <w:cnfStyle w:val="000001000000"/>
            <w:tcW w:w="864"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2.8</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627,438</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765,697</w:t>
            </w:r>
          </w:p>
        </w:tc>
        <w:tc>
          <w:tcPr>
            <w:cnfStyle w:val="000010000000"/>
            <w:tcW w:w="869"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2.2</w:t>
            </w:r>
          </w:p>
        </w:tc>
      </w:tr>
      <w:tr w:rsidR="0034080E" w:rsidRPr="00621981" w:rsidTr="007A4E4A">
        <w:trPr>
          <w:cnfStyle w:val="000000010000"/>
        </w:trPr>
        <w:tc>
          <w:tcPr>
            <w:cnfStyle w:val="000010000000"/>
            <w:tcW w:w="3024" w:type="dxa"/>
            <w:shd w:val="clear" w:color="auto" w:fill="FFFFFF" w:themeFill="background1"/>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Real gross state product (millions, 2000 $)</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277,035</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626,220</w:t>
            </w:r>
          </w:p>
        </w:tc>
        <w:tc>
          <w:tcPr>
            <w:cnfStyle w:val="000001000000"/>
            <w:tcW w:w="864"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2.9</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640,226</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841,344</w:t>
            </w:r>
          </w:p>
        </w:tc>
        <w:tc>
          <w:tcPr>
            <w:cnfStyle w:val="000010000000"/>
            <w:tcW w:w="869"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3.1</w:t>
            </w:r>
          </w:p>
        </w:tc>
      </w:tr>
      <w:tr w:rsidR="0034080E" w:rsidRPr="00621981" w:rsidTr="001C2792">
        <w:trPr>
          <w:cnfStyle w:val="000000100000"/>
        </w:trPr>
        <w:tc>
          <w:tcPr>
            <w:cnfStyle w:val="000010000000"/>
            <w:tcW w:w="3024" w:type="dxa"/>
            <w:shd w:val="clear" w:color="auto" w:fill="FDEED1" w:themeFill="background2" w:themeFillTint="33"/>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Energy per household (MWh)</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18.954</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23.101</w:t>
            </w:r>
          </w:p>
        </w:tc>
        <w:tc>
          <w:tcPr>
            <w:cnfStyle w:val="000001000000"/>
            <w:tcW w:w="864"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0.7</w:t>
            </w:r>
          </w:p>
        </w:tc>
        <w:tc>
          <w:tcPr>
            <w:cnfStyle w:val="000010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22.944</w:t>
            </w:r>
          </w:p>
        </w:tc>
        <w:tc>
          <w:tcPr>
            <w:cnfStyle w:val="000001000000"/>
            <w:tcW w:w="1152"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23.712</w:t>
            </w:r>
          </w:p>
        </w:tc>
        <w:tc>
          <w:tcPr>
            <w:cnfStyle w:val="000010000000"/>
            <w:tcW w:w="869" w:type="dxa"/>
            <w:shd w:val="clear" w:color="auto" w:fill="FDEED1" w:themeFill="background2" w:themeFillTint="33"/>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0.4</w:t>
            </w:r>
          </w:p>
        </w:tc>
      </w:tr>
      <w:tr w:rsidR="0034080E" w:rsidRPr="00621981" w:rsidTr="007A4E4A">
        <w:trPr>
          <w:cnfStyle w:val="000000010000"/>
        </w:trPr>
        <w:tc>
          <w:tcPr>
            <w:cnfStyle w:val="000010000000"/>
            <w:tcW w:w="3024" w:type="dxa"/>
            <w:shd w:val="clear" w:color="auto" w:fill="FFFFFF" w:themeFill="background1"/>
            <w:noWrap/>
            <w:tcMar>
              <w:top w:w="58" w:type="dxa"/>
              <w:bottom w:w="58" w:type="dxa"/>
            </w:tcMar>
          </w:tcPr>
          <w:p w:rsidR="001A446F" w:rsidRDefault="0034080E" w:rsidP="0066546B">
            <w:pPr>
              <w:keepNext/>
              <w:keepLines/>
              <w:spacing w:after="0"/>
              <w:jc w:val="left"/>
              <w:rPr>
                <w:rFonts w:ascii="Arial" w:eastAsia="Arial Unicode MS" w:hAnsi="Arial" w:cs="Arial"/>
                <w:b/>
                <w:sz w:val="18"/>
                <w:szCs w:val="18"/>
              </w:rPr>
            </w:pPr>
            <w:r w:rsidRPr="008761C2">
              <w:rPr>
                <w:rFonts w:ascii="Arial" w:hAnsi="Arial" w:cs="Arial"/>
                <w:b/>
                <w:sz w:val="18"/>
                <w:szCs w:val="18"/>
              </w:rPr>
              <w:t>Real income per household (thousands) (2005 base year)</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64.425</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113.332</w:t>
            </w:r>
          </w:p>
        </w:tc>
        <w:tc>
          <w:tcPr>
            <w:cnfStyle w:val="000001000000"/>
            <w:tcW w:w="864"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2.0</w:t>
            </w:r>
          </w:p>
        </w:tc>
        <w:tc>
          <w:tcPr>
            <w:cnfStyle w:val="000010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112.680</w:t>
            </w:r>
          </w:p>
        </w:tc>
        <w:tc>
          <w:tcPr>
            <w:cnfStyle w:val="000001000000"/>
            <w:tcW w:w="1152"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130.750</w:t>
            </w:r>
          </w:p>
        </w:tc>
        <w:tc>
          <w:tcPr>
            <w:cnfStyle w:val="000010000000"/>
            <w:tcW w:w="869" w:type="dxa"/>
            <w:shd w:val="clear" w:color="auto" w:fill="FFFFFF" w:themeFill="background1"/>
            <w:noWrap/>
            <w:tcMar>
              <w:top w:w="58" w:type="dxa"/>
              <w:bottom w:w="58" w:type="dxa"/>
            </w:tcMar>
          </w:tcPr>
          <w:p w:rsidR="0070763A" w:rsidRDefault="0034080E">
            <w:pPr>
              <w:keepNext/>
              <w:keepLines/>
              <w:spacing w:after="0"/>
              <w:rPr>
                <w:rFonts w:ascii="Arial" w:hAnsi="Arial" w:cs="Arial"/>
                <w:sz w:val="18"/>
                <w:szCs w:val="18"/>
              </w:rPr>
            </w:pPr>
            <w:r w:rsidRPr="00621981">
              <w:rPr>
                <w:rFonts w:ascii="Arial" w:hAnsi="Arial" w:cs="Arial"/>
                <w:sz w:val="18"/>
                <w:szCs w:val="18"/>
              </w:rPr>
              <w:t>1.7</w:t>
            </w:r>
          </w:p>
        </w:tc>
      </w:tr>
    </w:tbl>
    <w:p w:rsidR="00C73E33" w:rsidRDefault="003174D8">
      <w:pPr>
        <w:spacing w:before="120" w:line="240" w:lineRule="auto"/>
        <w:rPr>
          <w:rFonts w:ascii="Arial" w:hAnsi="Arial" w:cs="Arial"/>
          <w:sz w:val="16"/>
          <w:szCs w:val="16"/>
        </w:rPr>
      </w:pPr>
      <w:r w:rsidRPr="003174D8">
        <w:rPr>
          <w:rFonts w:ascii="Arial" w:hAnsi="Arial" w:cs="Arial"/>
          <w:sz w:val="16"/>
          <w:szCs w:val="16"/>
        </w:rPr>
        <w:t>(a) kWh stands for kilowatt-hour.</w:t>
      </w:r>
    </w:p>
    <w:p w:rsidR="0034080E" w:rsidRDefault="0034080E" w:rsidP="00073277">
      <w:r>
        <w:t>Th</w:t>
      </w:r>
      <w:r w:rsidRPr="00BE5475">
        <w:t xml:space="preserve">e </w:t>
      </w:r>
      <w:r>
        <w:t xml:space="preserve">forecast for </w:t>
      </w:r>
      <w:r w:rsidRPr="00BE5475">
        <w:t>20</w:t>
      </w:r>
      <w:r>
        <w:t>1</w:t>
      </w:r>
      <w:r w:rsidRPr="00BE5475">
        <w:t>0 to 201</w:t>
      </w:r>
      <w:r>
        <w:t>9</w:t>
      </w:r>
      <w:r w:rsidRPr="00BE5475">
        <w:t xml:space="preserve"> </w:t>
      </w:r>
      <w:r>
        <w:t xml:space="preserve">of the retail electricity price assumes </w:t>
      </w:r>
      <w:r w:rsidRPr="00BE5475">
        <w:t>increases will be held to the rate of inflation</w:t>
      </w:r>
      <w:r>
        <w:t xml:space="preserve"> (2.4% average annual growth) and will incorporate the </w:t>
      </w:r>
      <w:r w:rsidRPr="00BC4E15">
        <w:t xml:space="preserve">assumed </w:t>
      </w:r>
      <w:r w:rsidR="00EF25EB" w:rsidRPr="00BC4E15">
        <w:t>transition costs</w:t>
      </w:r>
      <w:r w:rsidRPr="00BC4E15">
        <w:t xml:space="preserve"> from</w:t>
      </w:r>
      <w:r w:rsidRPr="00452E3D">
        <w:t xml:space="preserve"> the </w:t>
      </w:r>
      <w:smartTag w:uri="urn:schemas-microsoft-com:office:smarttags" w:element="stockticker">
        <w:r w:rsidRPr="00EF41D9">
          <w:t>FCM</w:t>
        </w:r>
      </w:smartTag>
      <w:r w:rsidRPr="00EF41D9">
        <w:t xml:space="preserve"> Settlement Agreement and assumed</w:t>
      </w:r>
      <w:r>
        <w:t xml:space="preserve"> capacity costs </w:t>
      </w:r>
      <w:r w:rsidRPr="00452E3D">
        <w:t>from the Forward Capacity Market (</w:t>
      </w:r>
      <w:r>
        <w:t>$</w:t>
      </w:r>
      <w:r w:rsidRPr="00452E3D">
        <w:t>1.9</w:t>
      </w:r>
      <w:r>
        <w:t> </w:t>
      </w:r>
      <w:r w:rsidRPr="00452E3D">
        <w:t xml:space="preserve">billion in 2010, </w:t>
      </w:r>
      <w:r>
        <w:t>de</w:t>
      </w:r>
      <w:r w:rsidRPr="00452E3D">
        <w:t xml:space="preserve">creasing to </w:t>
      </w:r>
      <w:r>
        <w:t>$1.75 billion</w:t>
      </w:r>
      <w:r w:rsidRPr="00452E3D">
        <w:t xml:space="preserve"> in 201</w:t>
      </w:r>
      <w:r>
        <w:t>9</w:t>
      </w:r>
      <w:r w:rsidRPr="00452E3D">
        <w:t>).</w:t>
      </w:r>
      <w:r w:rsidRPr="007C099B">
        <w:rPr>
          <w:rStyle w:val="FootnoteReference"/>
          <w:sz w:val="22"/>
        </w:rPr>
        <w:footnoteReference w:id="67"/>
      </w:r>
      <w:r w:rsidRPr="006831AA">
        <w:t xml:space="preserve"> </w:t>
      </w:r>
      <w:r w:rsidRPr="00E23BAF">
        <w:t xml:space="preserve">The assumed capacity costs of the </w:t>
      </w:r>
      <w:smartTag w:uri="urn:schemas-microsoft-com:office:smarttags" w:element="stockticker">
        <w:r w:rsidRPr="00E23BAF">
          <w:t>FCM</w:t>
        </w:r>
      </w:smartTag>
      <w:r w:rsidRPr="00E23BAF">
        <w:t xml:space="preserve"> are </w:t>
      </w:r>
      <w:r w:rsidRPr="00E009B2">
        <w:t>based on RSP0</w:t>
      </w:r>
      <w:r>
        <w:t>9</w:t>
      </w:r>
      <w:r w:rsidRPr="00E009B2">
        <w:t xml:space="preserve">’s projected systemwide </w:t>
      </w:r>
      <w:r>
        <w:t xml:space="preserve">requirements for </w:t>
      </w:r>
      <w:r w:rsidRPr="00E009B2">
        <w:t xml:space="preserve">installed </w:t>
      </w:r>
      <w:r w:rsidRPr="006831AA">
        <w:t>capacity and</w:t>
      </w:r>
      <w:r w:rsidRPr="00E009B2">
        <w:t xml:space="preserve"> a</w:t>
      </w:r>
      <w:r>
        <w:t xml:space="preserve"> </w:t>
      </w:r>
      <w:r w:rsidRPr="00E009B2">
        <w:t>capacity clearing price</w:t>
      </w:r>
      <w:r w:rsidRPr="00E23BAF">
        <w:t xml:space="preserve"> of $4.</w:t>
      </w:r>
      <w:r>
        <w:t>50</w:t>
      </w:r>
      <w:r w:rsidRPr="00E23BAF">
        <w:t xml:space="preserve">/kW-month after adjustments </w:t>
      </w:r>
      <w:r w:rsidRPr="006831AA">
        <w:t xml:space="preserve">for peak energy </w:t>
      </w:r>
      <w:r w:rsidRPr="00CC522C">
        <w:t>rent (PER) in</w:t>
      </w:r>
      <w:r>
        <w:t xml:space="preserve"> 2010, $3.60/kW-month in 2011, and $2.95 in 2012</w:t>
      </w:r>
      <w:r w:rsidRPr="00E23BAF">
        <w:t>.</w:t>
      </w:r>
      <w:r w:rsidRPr="007C099B">
        <w:rPr>
          <w:rStyle w:val="FootnoteReference"/>
          <w:sz w:val="22"/>
        </w:rPr>
        <w:footnoteReference w:id="68"/>
      </w:r>
      <w:r w:rsidR="0076739E">
        <w:t xml:space="preserve"> </w:t>
      </w:r>
    </w:p>
    <w:p w:rsidR="005A0F85" w:rsidRDefault="0034080E" w:rsidP="00073277">
      <w:r w:rsidRPr="004B6FE6">
        <w:t xml:space="preserve">The </w:t>
      </w:r>
      <w:r w:rsidR="00E91A0C">
        <w:t>“</w:t>
      </w:r>
      <w:r w:rsidRPr="0065459C">
        <w:t>Economy.com</w:t>
      </w:r>
      <w:r w:rsidR="00E91A0C">
        <w:t>”</w:t>
      </w:r>
      <w:r w:rsidRPr="004B6FE6">
        <w:t xml:space="preserve"> </w:t>
      </w:r>
      <w:r>
        <w:t>November</w:t>
      </w:r>
      <w:r w:rsidRPr="004B6FE6">
        <w:t xml:space="preserve"> 200</w:t>
      </w:r>
      <w:r>
        <w:t>9</w:t>
      </w:r>
      <w:r w:rsidRPr="004B6FE6">
        <w:t xml:space="preserve"> economic forecast of real personal income was used as a surrogate for overall economic activity in the RSP</w:t>
      </w:r>
      <w:r>
        <w:t>1</w:t>
      </w:r>
      <w:r w:rsidRPr="004B6FE6">
        <w:t>0 forecast models.</w:t>
      </w:r>
      <w:r>
        <w:t xml:space="preserve"> </w:t>
      </w:r>
      <w:r w:rsidR="00832C7A">
        <w:fldChar w:fldCharType="begin"/>
      </w:r>
      <w:r>
        <w:instrText xml:space="preserve"> REF _Ref235937451 \h </w:instrText>
      </w:r>
      <w:r w:rsidR="00832C7A">
        <w:fldChar w:fldCharType="separate"/>
      </w:r>
      <w:r w:rsidR="00E5699E" w:rsidRPr="00485293">
        <w:t>Figure </w:t>
      </w:r>
      <w:r w:rsidR="00E5699E">
        <w:rPr>
          <w:noProof/>
        </w:rPr>
        <w:t>3</w:t>
      </w:r>
      <w:r w:rsidR="00E5699E">
        <w:noBreakHyphen/>
      </w:r>
      <w:r w:rsidR="00E5699E">
        <w:rPr>
          <w:noProof/>
        </w:rPr>
        <w:t>1</w:t>
      </w:r>
      <w:r w:rsidR="00832C7A">
        <w:fldChar w:fldCharType="end"/>
      </w:r>
      <w:r>
        <w:t xml:space="preserve"> compares the </w:t>
      </w:r>
      <w:r w:rsidR="00B65C2C">
        <w:t xml:space="preserve">percentage change in the </w:t>
      </w:r>
      <w:r w:rsidRPr="004B6FE6">
        <w:t>forecasted real personal income</w:t>
      </w:r>
      <w:r>
        <w:t xml:space="preserve"> for </w:t>
      </w:r>
      <w:r w:rsidRPr="004B6FE6">
        <w:t>New England used in the RSP</w:t>
      </w:r>
      <w:r>
        <w:t>1</w:t>
      </w:r>
      <w:r w:rsidRPr="004B6FE6">
        <w:t xml:space="preserve">0 </w:t>
      </w:r>
      <w:r>
        <w:t xml:space="preserve">and RSP09 </w:t>
      </w:r>
      <w:r w:rsidRPr="004B6FE6">
        <w:t>load and peak-load forecasts.</w:t>
      </w:r>
      <w:r w:rsidRPr="005A6550">
        <w:t xml:space="preserve"> The </w:t>
      </w:r>
      <w:r>
        <w:t xml:space="preserve">November 2009 </w:t>
      </w:r>
      <w:r w:rsidRPr="005A6550">
        <w:t>forecast show</w:t>
      </w:r>
      <w:r>
        <w:t>s</w:t>
      </w:r>
      <w:r w:rsidRPr="005A6550">
        <w:t xml:space="preserve"> </w:t>
      </w:r>
      <w:r>
        <w:t xml:space="preserve">that </w:t>
      </w:r>
      <w:r w:rsidRPr="005A6550">
        <w:t xml:space="preserve">economic activity </w:t>
      </w:r>
      <w:r>
        <w:t xml:space="preserve">started to decline in </w:t>
      </w:r>
      <w:r w:rsidRPr="005A6550">
        <w:t>2008</w:t>
      </w:r>
      <w:r>
        <w:t xml:space="preserve"> and reached its low point </w:t>
      </w:r>
      <w:r w:rsidRPr="006831AA">
        <w:t>in</w:t>
      </w:r>
      <w:r w:rsidRPr="005A6550">
        <w:t xml:space="preserve"> late 2009</w:t>
      </w:r>
      <w:r>
        <w:t xml:space="preserve">; </w:t>
      </w:r>
      <w:r w:rsidRPr="005A6550">
        <w:t xml:space="preserve">a weak recovery </w:t>
      </w:r>
      <w:r>
        <w:t xml:space="preserve">is forecast to </w:t>
      </w:r>
      <w:r w:rsidRPr="005A6550">
        <w:t xml:space="preserve">begin in </w:t>
      </w:r>
      <w:r>
        <w:t xml:space="preserve">late </w:t>
      </w:r>
      <w:r w:rsidRPr="00E47476">
        <w:t xml:space="preserve">2010. </w:t>
      </w:r>
      <w:fldSimple w:instr=" REF _Ref235937535 \h  \* MERGEFORMAT ">
        <w:r w:rsidR="00E5699E" w:rsidRPr="004068A2">
          <w:t>Figure </w:t>
        </w:r>
        <w:r w:rsidR="00E5699E">
          <w:t>3</w:t>
        </w:r>
        <w:r w:rsidR="00E5699E">
          <w:noBreakHyphen/>
          <w:t>2</w:t>
        </w:r>
      </w:fldSimple>
      <w:r w:rsidRPr="00E47476">
        <w:t xml:space="preserve"> presents historical and projected annual percent</w:t>
      </w:r>
      <w:r w:rsidR="00B65C2C">
        <w:t>age</w:t>
      </w:r>
      <w:r w:rsidRPr="00E47476">
        <w:t xml:space="preserve"> changes in real personal income for New England compared with the United States as a whole.</w:t>
      </w:r>
      <w:r w:rsidRPr="00D93D8A">
        <w:t xml:space="preserve"> The forecast assumes the present credit crisis is resolved and the federal economic stimulus bill, the </w:t>
      </w:r>
      <w:r w:rsidRPr="00D93D8A">
        <w:rPr>
          <w:i/>
        </w:rPr>
        <w:t xml:space="preserve">American Recovery and Reinvestment Act of 2009 </w:t>
      </w:r>
      <w:r w:rsidRPr="00D93D8A">
        <w:t>(ARRA), passed in February 2009, is successful in turning the economy around.</w:t>
      </w:r>
      <w:r w:rsidRPr="007C099B">
        <w:rPr>
          <w:rStyle w:val="FootnoteReference"/>
          <w:sz w:val="22"/>
        </w:rPr>
        <w:footnoteReference w:id="69"/>
      </w:r>
    </w:p>
    <w:p w:rsidR="0034080E" w:rsidRDefault="00657A1A" w:rsidP="00AD204A">
      <w:pPr>
        <w:keepNext/>
        <w:keepLines/>
        <w:spacing w:after="0" w:line="240" w:lineRule="auto"/>
        <w:jc w:val="center"/>
      </w:pPr>
      <w:r w:rsidRPr="00657A1A">
        <w:rPr>
          <w:noProof/>
        </w:rPr>
        <w:drawing>
          <wp:inline distT="0" distB="0" distL="0" distR="0">
            <wp:extent cx="5369505" cy="4339951"/>
            <wp:effectExtent l="19050" t="19050" r="21645" b="22499"/>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370860" cy="4341046"/>
                    </a:xfrm>
                    <a:prstGeom prst="rect">
                      <a:avLst/>
                    </a:prstGeom>
                    <a:noFill/>
                    <a:ln w="3175">
                      <a:solidFill>
                        <a:schemeClr val="tx1"/>
                      </a:solidFill>
                      <a:miter lim="800000"/>
                      <a:headEnd/>
                      <a:tailEnd/>
                    </a:ln>
                  </pic:spPr>
                </pic:pic>
              </a:graphicData>
            </a:graphic>
          </wp:inline>
        </w:drawing>
      </w:r>
    </w:p>
    <w:p w:rsidR="0034080E" w:rsidRDefault="0034080E" w:rsidP="00B305E5">
      <w:pPr>
        <w:pStyle w:val="Caption-Figure"/>
        <w:tabs>
          <w:tab w:val="left" w:pos="8820"/>
        </w:tabs>
        <w:spacing w:after="80"/>
        <w:ind w:left="450" w:right="900"/>
      </w:pPr>
      <w:bookmarkStart w:id="115" w:name="_Ref235937451"/>
      <w:bookmarkStart w:id="116" w:name="_Toc239157183"/>
      <w:bookmarkStart w:id="117" w:name="_Toc271552368"/>
      <w:r w:rsidRPr="00485293">
        <w:t>Figure </w:t>
      </w:r>
      <w:r w:rsidR="00832C7A">
        <w:fldChar w:fldCharType="begin"/>
      </w:r>
      <w:r w:rsidR="00807C8D">
        <w:instrText xml:space="preserve"> STYLEREF 1 \s </w:instrText>
      </w:r>
      <w:r w:rsidR="00832C7A">
        <w:fldChar w:fldCharType="separate"/>
      </w:r>
      <w:r w:rsidR="00E5699E">
        <w:rPr>
          <w:noProof/>
        </w:rPr>
        <w:t>3</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115"/>
      <w:r w:rsidRPr="00485293">
        <w:t xml:space="preserve">: </w:t>
      </w:r>
      <w:r w:rsidR="0065459C" w:rsidRPr="0065459C">
        <w:t>“</w:t>
      </w:r>
      <w:r w:rsidRPr="0065459C">
        <w:t>Economy.com</w:t>
      </w:r>
      <w:r w:rsidR="0065459C" w:rsidRPr="0065459C">
        <w:t>”</w:t>
      </w:r>
      <w:r w:rsidRPr="00485293">
        <w:t xml:space="preserve"> forecasts of New England </w:t>
      </w:r>
      <w:r w:rsidRPr="007F3B8D">
        <w:t xml:space="preserve">annual </w:t>
      </w:r>
      <w:r w:rsidR="00205075" w:rsidRPr="007F3B8D">
        <w:t>percentage change</w:t>
      </w:r>
      <w:r w:rsidRPr="007F3B8D">
        <w:t xml:space="preserve"> in real personal income from 2008 and 2009 forecasts.</w:t>
      </w:r>
      <w:bookmarkEnd w:id="116"/>
      <w:bookmarkEnd w:id="117"/>
      <w:r w:rsidR="00FC5D39">
        <w:t xml:space="preserve"> </w:t>
      </w:r>
    </w:p>
    <w:p w:rsidR="0034080E" w:rsidRPr="0009552E" w:rsidRDefault="0034080E" w:rsidP="00B305E5">
      <w:pPr>
        <w:keepNext/>
        <w:keepLines/>
        <w:tabs>
          <w:tab w:val="left" w:pos="8820"/>
        </w:tabs>
        <w:spacing w:after="0" w:line="240" w:lineRule="auto"/>
        <w:ind w:left="450" w:right="900"/>
        <w:rPr>
          <w:rFonts w:ascii="Arial" w:hAnsi="Arial" w:cs="Arial"/>
          <w:b/>
          <w:sz w:val="16"/>
          <w:szCs w:val="16"/>
        </w:rPr>
      </w:pPr>
      <w:r w:rsidRPr="0009552E">
        <w:rPr>
          <w:rFonts w:ascii="Arial" w:hAnsi="Arial" w:cs="Arial"/>
          <w:b/>
          <w:sz w:val="16"/>
          <w:szCs w:val="16"/>
        </w:rPr>
        <w:t>Source:</w:t>
      </w:r>
      <w:r w:rsidRPr="0065459C">
        <w:rPr>
          <w:rFonts w:ascii="Arial" w:hAnsi="Arial" w:cs="Arial"/>
          <w:sz w:val="16"/>
          <w:szCs w:val="16"/>
        </w:rPr>
        <w:t xml:space="preserve"> </w:t>
      </w:r>
      <w:r w:rsidR="0065459C" w:rsidRPr="0065459C">
        <w:rPr>
          <w:rFonts w:ascii="Arial" w:hAnsi="Arial" w:cs="Arial"/>
          <w:sz w:val="16"/>
          <w:szCs w:val="16"/>
        </w:rPr>
        <w:t xml:space="preserve">Moody’s </w:t>
      </w:r>
      <w:r w:rsidR="0065459C">
        <w:rPr>
          <w:rFonts w:ascii="Arial" w:hAnsi="Arial" w:cs="Arial"/>
          <w:sz w:val="16"/>
          <w:szCs w:val="16"/>
        </w:rPr>
        <w:t xml:space="preserve">Analytics, </w:t>
      </w:r>
      <w:r w:rsidRPr="0065459C">
        <w:rPr>
          <w:rFonts w:ascii="Arial" w:hAnsi="Arial" w:cs="Arial"/>
          <w:sz w:val="16"/>
          <w:szCs w:val="16"/>
        </w:rPr>
        <w:t>Economy</w:t>
      </w:r>
      <w:r w:rsidR="00362421" w:rsidRPr="0065459C">
        <w:rPr>
          <w:rFonts w:ascii="Arial" w:hAnsi="Arial" w:cs="Arial"/>
          <w:sz w:val="16"/>
          <w:szCs w:val="16"/>
        </w:rPr>
        <w:t>.</w:t>
      </w:r>
      <w:r w:rsidRPr="0065459C">
        <w:rPr>
          <w:rFonts w:ascii="Arial" w:hAnsi="Arial" w:cs="Arial"/>
          <w:sz w:val="16"/>
          <w:szCs w:val="16"/>
        </w:rPr>
        <w:t>com.</w:t>
      </w:r>
      <w:r w:rsidR="007F3B8D">
        <w:rPr>
          <w:rFonts w:ascii="Arial" w:hAnsi="Arial" w:cs="Arial"/>
          <w:sz w:val="16"/>
          <w:szCs w:val="16"/>
        </w:rPr>
        <w:t xml:space="preserve"> </w:t>
      </w:r>
    </w:p>
    <w:p w:rsidR="0034080E" w:rsidRDefault="0034080E" w:rsidP="00657A1A"/>
    <w:p w:rsidR="0034080E" w:rsidRDefault="00AD204A" w:rsidP="00AD204A">
      <w:pPr>
        <w:spacing w:after="0" w:line="240" w:lineRule="auto"/>
        <w:jc w:val="center"/>
      </w:pPr>
      <w:r w:rsidRPr="00AD204A">
        <w:rPr>
          <w:noProof/>
        </w:rPr>
        <w:drawing>
          <wp:inline distT="0" distB="0" distL="0" distR="0">
            <wp:extent cx="5289195" cy="4213731"/>
            <wp:effectExtent l="19050" t="19050" r="25755" b="15369"/>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291506" cy="4215572"/>
                    </a:xfrm>
                    <a:prstGeom prst="rect">
                      <a:avLst/>
                    </a:prstGeom>
                    <a:noFill/>
                    <a:ln w="3175">
                      <a:solidFill>
                        <a:schemeClr val="tx1"/>
                      </a:solidFill>
                      <a:miter lim="800000"/>
                      <a:headEnd/>
                      <a:tailEnd/>
                    </a:ln>
                  </pic:spPr>
                </pic:pic>
              </a:graphicData>
            </a:graphic>
          </wp:inline>
        </w:drawing>
      </w:r>
    </w:p>
    <w:p w:rsidR="0034080E" w:rsidRDefault="0034080E" w:rsidP="007F3B8D">
      <w:pPr>
        <w:pStyle w:val="Caption-Figure"/>
        <w:tabs>
          <w:tab w:val="left" w:pos="360"/>
        </w:tabs>
        <w:spacing w:after="80"/>
        <w:ind w:left="540" w:right="540"/>
      </w:pPr>
      <w:bookmarkStart w:id="118" w:name="_Ref235937535"/>
      <w:bookmarkStart w:id="119" w:name="_Toc239157184"/>
      <w:bookmarkStart w:id="120" w:name="_Toc271552369"/>
      <w:r w:rsidRPr="004068A2">
        <w:t>Figure </w:t>
      </w:r>
      <w:r w:rsidR="00832C7A">
        <w:fldChar w:fldCharType="begin"/>
      </w:r>
      <w:r w:rsidR="00807C8D">
        <w:instrText xml:space="preserve"> STYLEREF 1 \s </w:instrText>
      </w:r>
      <w:r w:rsidR="00832C7A">
        <w:fldChar w:fldCharType="separate"/>
      </w:r>
      <w:r w:rsidR="00E5699E">
        <w:rPr>
          <w:noProof/>
        </w:rPr>
        <w:t>3</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118"/>
      <w:r w:rsidRPr="004068A2">
        <w:t>: Historical and projected annual percentage change in real personal income for New England compared with the United</w:t>
      </w:r>
      <w:r>
        <w:t xml:space="preserve"> </w:t>
      </w:r>
      <w:r w:rsidRPr="004068A2">
        <w:t>States</w:t>
      </w:r>
      <w:r>
        <w:t xml:space="preserve"> </w:t>
      </w:r>
      <w:r w:rsidRPr="004068A2">
        <w:t>as</w:t>
      </w:r>
      <w:r>
        <w:t xml:space="preserve"> </w:t>
      </w:r>
      <w:r w:rsidRPr="004068A2">
        <w:t>a</w:t>
      </w:r>
      <w:r>
        <w:t xml:space="preserve"> </w:t>
      </w:r>
      <w:r w:rsidRPr="004068A2">
        <w:t>whole</w:t>
      </w:r>
      <w:r w:rsidR="00047353">
        <w:t>, 1981 to 2020</w:t>
      </w:r>
      <w:r>
        <w:t>.</w:t>
      </w:r>
      <w:bookmarkEnd w:id="119"/>
      <w:bookmarkEnd w:id="120"/>
      <w:r w:rsidR="007F3B8D">
        <w:t xml:space="preserve"> </w:t>
      </w:r>
    </w:p>
    <w:p w:rsidR="0034080E" w:rsidRPr="0065459C" w:rsidRDefault="0034080E" w:rsidP="00FC5D39">
      <w:pPr>
        <w:pStyle w:val="Caption"/>
        <w:keepNext w:val="0"/>
        <w:keepLines w:val="0"/>
        <w:tabs>
          <w:tab w:val="left" w:pos="360"/>
        </w:tabs>
        <w:spacing w:after="0"/>
        <w:ind w:left="540" w:right="540"/>
        <w:jc w:val="left"/>
        <w:rPr>
          <w:b w:val="0"/>
          <w:sz w:val="16"/>
          <w:szCs w:val="16"/>
        </w:rPr>
      </w:pPr>
      <w:r w:rsidRPr="0009552E">
        <w:rPr>
          <w:sz w:val="16"/>
          <w:szCs w:val="16"/>
        </w:rPr>
        <w:t xml:space="preserve">Source: </w:t>
      </w:r>
      <w:r w:rsidR="0065459C" w:rsidRPr="0065459C">
        <w:rPr>
          <w:b w:val="0"/>
          <w:sz w:val="16"/>
          <w:szCs w:val="16"/>
        </w:rPr>
        <w:t>Moody’s</w:t>
      </w:r>
      <w:r w:rsidR="0065459C">
        <w:rPr>
          <w:b w:val="0"/>
          <w:sz w:val="16"/>
          <w:szCs w:val="16"/>
        </w:rPr>
        <w:t xml:space="preserve"> Analytics,</w:t>
      </w:r>
      <w:r w:rsidR="0065459C" w:rsidRPr="0065459C">
        <w:rPr>
          <w:b w:val="0"/>
          <w:sz w:val="16"/>
          <w:szCs w:val="16"/>
        </w:rPr>
        <w:t xml:space="preserve"> </w:t>
      </w:r>
      <w:r w:rsidR="000A7318">
        <w:rPr>
          <w:b w:val="0"/>
          <w:i/>
          <w:sz w:val="16"/>
          <w:szCs w:val="16"/>
        </w:rPr>
        <w:t>“</w:t>
      </w:r>
      <w:r w:rsidRPr="0065459C">
        <w:rPr>
          <w:b w:val="0"/>
          <w:sz w:val="16"/>
          <w:szCs w:val="16"/>
        </w:rPr>
        <w:t>Real Personal Income: Annual Percent Changes</w:t>
      </w:r>
      <w:r w:rsidR="000A7318">
        <w:rPr>
          <w:b w:val="0"/>
          <w:sz w:val="16"/>
          <w:szCs w:val="16"/>
        </w:rPr>
        <w:t>,”</w:t>
      </w:r>
      <w:r w:rsidR="000A7318" w:rsidRPr="000A7318">
        <w:rPr>
          <w:b w:val="0"/>
          <w:sz w:val="16"/>
          <w:szCs w:val="16"/>
        </w:rPr>
        <w:t xml:space="preserve"> </w:t>
      </w:r>
      <w:r w:rsidR="000A7318" w:rsidRPr="0065459C">
        <w:rPr>
          <w:b w:val="0"/>
          <w:sz w:val="16"/>
          <w:szCs w:val="16"/>
        </w:rPr>
        <w:t>Economy.com</w:t>
      </w:r>
      <w:r w:rsidR="000A7318">
        <w:rPr>
          <w:b w:val="0"/>
          <w:sz w:val="16"/>
          <w:szCs w:val="16"/>
        </w:rPr>
        <w:t>.</w:t>
      </w:r>
    </w:p>
    <w:p w:rsidR="0034080E" w:rsidRPr="0065459C" w:rsidRDefault="0034080E" w:rsidP="00FC5D39"/>
    <w:p w:rsidR="002878A4" w:rsidRDefault="0034080E" w:rsidP="009D1346">
      <w:pPr>
        <w:pStyle w:val="Heading2"/>
      </w:pPr>
      <w:bookmarkStart w:id="121" w:name="_Toc239157053"/>
      <w:bookmarkStart w:id="122" w:name="_Toc271632211"/>
      <w:r>
        <w:t>Load Forecast Methodology and Model Enhancements</w:t>
      </w:r>
      <w:bookmarkEnd w:id="121"/>
      <w:bookmarkEnd w:id="122"/>
      <w:r>
        <w:t xml:space="preserve"> </w:t>
      </w:r>
    </w:p>
    <w:p w:rsidR="007F22DF" w:rsidRDefault="0034080E" w:rsidP="00EC5161">
      <w:r>
        <w:t xml:space="preserve">No changes to </w:t>
      </w:r>
      <w:r w:rsidRPr="000676A7">
        <w:t>the forecast methodology</w:t>
      </w:r>
      <w:r>
        <w:t xml:space="preserve"> have been made for RSP10. However, t</w:t>
      </w:r>
      <w:r w:rsidRPr="00F150DA">
        <w:t xml:space="preserve">he forecasts of annual and peak energy use </w:t>
      </w:r>
      <w:r>
        <w:t>continue to</w:t>
      </w:r>
      <w:r w:rsidRPr="00F150DA">
        <w:t xml:space="preserve"> include the impacts of new federal electric appliance efficiency standards that will go into effect in 2013 and would not be captured by the econometric models.</w:t>
      </w:r>
      <w:r w:rsidRPr="008E39C2">
        <w:rPr>
          <w:vertAlign w:val="superscript"/>
        </w:rPr>
        <w:footnoteReference w:id="70"/>
      </w:r>
      <w:r w:rsidR="00D210AA">
        <w:t xml:space="preserve"> </w:t>
      </w:r>
      <w:r w:rsidR="007F22DF">
        <w:t xml:space="preserve">As part of RSP11 efforts, the ISO will work with stakeholders to assess the impacts that FCM demand resources and state </w:t>
      </w:r>
      <w:r w:rsidR="003D08E8">
        <w:t>EE</w:t>
      </w:r>
      <w:r w:rsidR="007F22DF">
        <w:t xml:space="preserve"> programs have on the load forecast. The ISO also will initiate </w:t>
      </w:r>
      <w:r w:rsidR="00CB1FAC">
        <w:t xml:space="preserve">more thorough </w:t>
      </w:r>
      <w:r w:rsidR="007F22DF">
        <w:t xml:space="preserve">analysis to determine the reasons </w:t>
      </w:r>
      <w:r w:rsidR="00445869">
        <w:t xml:space="preserve">for </w:t>
      </w:r>
      <w:r w:rsidR="007F22DF">
        <w:t>the de</w:t>
      </w:r>
      <w:r w:rsidR="00CB1FAC">
        <w:t xml:space="preserve">crease in </w:t>
      </w:r>
      <w:r w:rsidR="007F22DF">
        <w:t>the systemwide load factor and how it can be improved.</w:t>
      </w:r>
    </w:p>
    <w:p w:rsidR="0034080E" w:rsidRDefault="0034080E" w:rsidP="00073277">
      <w:r>
        <w:t>The historical weather data used to develop the weekly peak load distributions and seasonal peaks have been updated from 1963–1999 to 1968–2008, resulting in June and July being not quite as hot but August being slightly hotter (all changes are within a few tenths of a degree). For example, the temperature/</w:t>
      </w:r>
      <w:r w:rsidR="00BC5904">
        <w:t xml:space="preserve"> </w:t>
      </w:r>
      <w:r>
        <w:t>humidity index used to forecast the 50/50 summer peak decreased from 80.13 to 79.88, and the 90/10 summer peak decreased from 82.00 to 81.96.</w:t>
      </w:r>
    </w:p>
    <w:p w:rsidR="001B3090" w:rsidRDefault="0034080E">
      <w:pPr>
        <w:pStyle w:val="Heading2"/>
      </w:pPr>
      <w:bookmarkStart w:id="123" w:name="_Toc176244992"/>
      <w:bookmarkStart w:id="124" w:name="_Toc201669909"/>
      <w:bookmarkStart w:id="125" w:name="_Toc207531810"/>
      <w:bookmarkStart w:id="126" w:name="_Toc239157054"/>
      <w:bookmarkStart w:id="127" w:name="_Toc271632212"/>
      <w:r w:rsidRPr="005E539A">
        <w:t>Subarea Use of Electric Energy</w:t>
      </w:r>
      <w:bookmarkEnd w:id="123"/>
      <w:bookmarkEnd w:id="124"/>
      <w:bookmarkEnd w:id="125"/>
      <w:bookmarkEnd w:id="126"/>
      <w:bookmarkEnd w:id="127"/>
    </w:p>
    <w:p w:rsidR="0034080E" w:rsidRDefault="0034080E" w:rsidP="00D66C7F">
      <w:pPr>
        <w:rPr>
          <w:rFonts w:cs="Times New Roman"/>
        </w:rPr>
      </w:pPr>
      <w:r w:rsidRPr="0019497D">
        <w:t>Much of the RSP</w:t>
      </w:r>
      <w:r>
        <w:t>1</w:t>
      </w:r>
      <w:r w:rsidRPr="0019497D">
        <w:t xml:space="preserve">0 reliability </w:t>
      </w:r>
      <w:r>
        <w:t>and production cost analyses</w:t>
      </w:r>
      <w:r w:rsidRPr="0019497D">
        <w:t xml:space="preserve"> depend on forecasts of the annual and peak use of electric energy in the subareas. These forecasts are summarized in </w:t>
      </w:r>
      <w:fldSimple w:instr=" REF _Ref173325878 \h  \* MERGEFORMAT ">
        <w:r w:rsidR="00E5699E" w:rsidRPr="004068A2">
          <w:t>Table </w:t>
        </w:r>
        <w:r w:rsidR="00E5699E">
          <w:t>3</w:t>
        </w:r>
        <w:r w:rsidR="00E5699E">
          <w:noBreakHyphen/>
          <w:t>4</w:t>
        </w:r>
      </w:fldSimple>
      <w:r w:rsidRPr="0019497D">
        <w:t xml:space="preserve"> and provide important market information to stakeholders.</w:t>
      </w:r>
      <w:r w:rsidRPr="00C67307">
        <w:rPr>
          <w:vertAlign w:val="superscript"/>
        </w:rPr>
        <w:footnoteReference w:id="71"/>
      </w:r>
      <w:r w:rsidRPr="00C67307">
        <w:t xml:space="preserve"> </w:t>
      </w:r>
      <w:fldSimple w:instr=" REF _Ref235271713 \h  \* MERGEFORMAT ">
        <w:r w:rsidR="00E5699E" w:rsidRPr="00E5699E">
          <w:rPr>
            <w:rFonts w:cs="Times New Roman"/>
          </w:rPr>
          <w:t xml:space="preserve">Table </w:t>
        </w:r>
        <w:r w:rsidR="00E5699E" w:rsidRPr="00E5699E">
          <w:rPr>
            <w:rFonts w:cs="Times New Roman"/>
            <w:noProof/>
          </w:rPr>
          <w:t>3</w:t>
        </w:r>
        <w:r w:rsidR="00E5699E" w:rsidRPr="00E5699E">
          <w:rPr>
            <w:rFonts w:cs="Times New Roman"/>
            <w:noProof/>
          </w:rPr>
          <w:noBreakHyphen/>
          <w:t>5</w:t>
        </w:r>
      </w:fldSimple>
      <w:r>
        <w:t xml:space="preserve"> </w:t>
      </w:r>
      <w:r w:rsidRPr="00C67307">
        <w:t xml:space="preserve">shows the forecasts for the peak use of electric energy for the New England states and load zones. </w:t>
      </w:r>
      <w:fldSimple w:instr=" REF _Ref201978189 \h  \* MERGEFORMAT ">
        <w:r w:rsidR="00E5699E" w:rsidRPr="005A3E87">
          <w:t>Table </w:t>
        </w:r>
        <w:r w:rsidR="00E5699E">
          <w:t>3</w:t>
        </w:r>
        <w:r w:rsidR="00E5699E">
          <w:noBreakHyphen/>
          <w:t>6</w:t>
        </w:r>
      </w:fldSimple>
      <w:r w:rsidRPr="00C67307">
        <w:t xml:space="preserve"> shows the forecast for the RSP subareas and their relationship to the load zones and states</w:t>
      </w:r>
      <w:r w:rsidRPr="00C67307">
        <w:rPr>
          <w:rFonts w:cs="Times New Roman"/>
        </w:rPr>
        <w:t>.</w:t>
      </w:r>
      <w:r w:rsidRPr="00C67307">
        <w:rPr>
          <w:rFonts w:cs="Times New Roman"/>
          <w:vertAlign w:val="superscript"/>
        </w:rPr>
        <w:footnoteReference w:id="72"/>
      </w:r>
    </w:p>
    <w:p w:rsidR="0034080E" w:rsidRDefault="0034080E" w:rsidP="00073277">
      <w:pPr>
        <w:pStyle w:val="Caption"/>
      </w:pPr>
      <w:bookmarkStart w:id="128" w:name="_Ref173325878"/>
      <w:bookmarkStart w:id="129" w:name="_Toc176244938"/>
      <w:bookmarkStart w:id="130" w:name="_Toc200169057"/>
      <w:bookmarkStart w:id="131" w:name="_Toc200440144"/>
      <w:bookmarkStart w:id="132" w:name="_Toc207531964"/>
      <w:bookmarkStart w:id="133" w:name="_Toc239157212"/>
      <w:bookmarkStart w:id="134" w:name="_Toc271552399"/>
      <w:r w:rsidRPr="004068A2">
        <w:t>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4</w:t>
      </w:r>
      <w:r w:rsidR="00832C7A">
        <w:fldChar w:fldCharType="end"/>
      </w:r>
      <w:bookmarkEnd w:id="128"/>
      <w:r w:rsidRPr="004068A2">
        <w:br/>
        <w:t>Forecasts of Annual and Peak Use of Electric Energy in RSP Subareas,</w:t>
      </w:r>
      <w:r w:rsidR="00F8004B">
        <w:br/>
      </w:r>
      <w:r w:rsidRPr="004068A2">
        <w:t>20</w:t>
      </w:r>
      <w:r>
        <w:t>1</w:t>
      </w:r>
      <w:r w:rsidRPr="004068A2">
        <w:t>0</w:t>
      </w:r>
      <w:r>
        <w:t xml:space="preserve"> </w:t>
      </w:r>
      <w:r w:rsidRPr="004068A2">
        <w:t>and</w:t>
      </w:r>
      <w:r>
        <w:t xml:space="preserve"> 2019</w:t>
      </w:r>
      <w:bookmarkEnd w:id="129"/>
      <w:bookmarkEnd w:id="130"/>
      <w:bookmarkEnd w:id="131"/>
      <w:bookmarkEnd w:id="132"/>
      <w:bookmarkEnd w:id="133"/>
      <w:bookmarkEnd w:id="134"/>
    </w:p>
    <w:tbl>
      <w:tblPr>
        <w:tblStyle w:val="MediumShading1-Accent12"/>
        <w:tblW w:w="984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8" w:type="dxa"/>
          <w:bottom w:w="58" w:type="dxa"/>
        </w:tblCellMar>
        <w:tblLook w:val="0000"/>
      </w:tblPr>
      <w:tblGrid>
        <w:gridCol w:w="1176"/>
        <w:gridCol w:w="720"/>
        <w:gridCol w:w="676"/>
        <w:gridCol w:w="642"/>
        <w:gridCol w:w="614"/>
        <w:gridCol w:w="652"/>
        <w:gridCol w:w="652"/>
        <w:gridCol w:w="590"/>
        <w:gridCol w:w="641"/>
        <w:gridCol w:w="721"/>
        <w:gridCol w:w="720"/>
        <w:gridCol w:w="735"/>
        <w:gridCol w:w="720"/>
        <w:gridCol w:w="589"/>
      </w:tblGrid>
      <w:tr w:rsidR="0034080E" w:rsidRPr="00D66C7F" w:rsidTr="002A634C">
        <w:trPr>
          <w:cnfStyle w:val="000000100000"/>
        </w:trPr>
        <w:tc>
          <w:tcPr>
            <w:cnfStyle w:val="000010000000"/>
            <w:tcW w:w="1176" w:type="dxa"/>
            <w:vMerge w:val="restart"/>
            <w:shd w:val="clear" w:color="auto" w:fill="FBCE76" w:themeFill="background2" w:themeFillTint="99"/>
            <w:noWrap/>
          </w:tcPr>
          <w:p w:rsidR="0070763A" w:rsidRDefault="0034080E" w:rsidP="002D5B51">
            <w:pPr>
              <w:pStyle w:val="Tablefont"/>
              <w:spacing w:before="0" w:after="0" w:line="260" w:lineRule="atLeast"/>
              <w:rPr>
                <w:rFonts w:cs="Arial"/>
                <w:b/>
                <w:szCs w:val="16"/>
              </w:rPr>
            </w:pPr>
            <w:r w:rsidRPr="003E31BE">
              <w:rPr>
                <w:rFonts w:cs="Arial"/>
                <w:b/>
                <w:szCs w:val="16"/>
              </w:rPr>
              <w:t>Area</w:t>
            </w:r>
          </w:p>
        </w:tc>
        <w:tc>
          <w:tcPr>
            <w:cnfStyle w:val="000001000000"/>
            <w:tcW w:w="2038" w:type="dxa"/>
            <w:gridSpan w:val="3"/>
            <w:vMerge w:val="restart"/>
            <w:shd w:val="clear" w:color="auto" w:fill="FBCE76" w:themeFill="background2" w:themeFillTint="99"/>
            <w:noWrap/>
          </w:tcPr>
          <w:p w:rsidR="0070763A" w:rsidRDefault="0034080E" w:rsidP="002D5B51">
            <w:pPr>
              <w:spacing w:after="0"/>
              <w:rPr>
                <w:rFonts w:ascii="Arial" w:hAnsi="Arial" w:cs="Arial"/>
                <w:b/>
                <w:sz w:val="16"/>
                <w:szCs w:val="16"/>
              </w:rPr>
            </w:pPr>
            <w:r w:rsidRPr="003E31BE">
              <w:rPr>
                <w:rFonts w:ascii="Arial" w:hAnsi="Arial" w:cs="Arial"/>
                <w:b/>
                <w:sz w:val="16"/>
                <w:szCs w:val="16"/>
              </w:rPr>
              <w:t>Net Energy for Load</w:t>
            </w:r>
          </w:p>
          <w:p w:rsidR="0070763A" w:rsidRDefault="0034080E" w:rsidP="002D5B51">
            <w:pPr>
              <w:spacing w:after="0"/>
              <w:rPr>
                <w:rFonts w:ascii="Arial" w:hAnsi="Arial" w:cs="Arial"/>
                <w:b/>
                <w:sz w:val="16"/>
                <w:szCs w:val="16"/>
              </w:rPr>
            </w:pPr>
            <w:r w:rsidRPr="003E31BE">
              <w:rPr>
                <w:rFonts w:ascii="Arial" w:hAnsi="Arial" w:cs="Arial"/>
                <w:b/>
                <w:sz w:val="16"/>
                <w:szCs w:val="16"/>
              </w:rPr>
              <w:t>(1,000 MWh)</w:t>
            </w:r>
          </w:p>
        </w:tc>
        <w:tc>
          <w:tcPr>
            <w:cnfStyle w:val="000010000000"/>
            <w:tcW w:w="3149" w:type="dxa"/>
            <w:gridSpan w:val="5"/>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Summer Peak Loads (MW)</w:t>
            </w:r>
          </w:p>
        </w:tc>
        <w:tc>
          <w:tcPr>
            <w:cnfStyle w:val="000001000000"/>
            <w:tcW w:w="3485" w:type="dxa"/>
            <w:gridSpan w:val="5"/>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Winter Peak Loads (MW)</w:t>
            </w:r>
          </w:p>
        </w:tc>
      </w:tr>
      <w:tr w:rsidR="0034080E" w:rsidRPr="00D66C7F" w:rsidTr="002A634C">
        <w:trPr>
          <w:cnfStyle w:val="000000010000"/>
        </w:trPr>
        <w:tc>
          <w:tcPr>
            <w:cnfStyle w:val="000010000000"/>
            <w:tcW w:w="1176" w:type="dxa"/>
            <w:vMerge/>
            <w:shd w:val="clear" w:color="auto" w:fill="FBCE76" w:themeFill="background2" w:themeFillTint="99"/>
            <w:noWrap/>
          </w:tcPr>
          <w:p w:rsidR="0070763A" w:rsidRDefault="0070763A" w:rsidP="002D5B51">
            <w:pPr>
              <w:pStyle w:val="Tablefont"/>
              <w:spacing w:before="0" w:after="0" w:line="260" w:lineRule="atLeast"/>
              <w:rPr>
                <w:rFonts w:cs="Arial"/>
                <w:b/>
                <w:szCs w:val="16"/>
              </w:rPr>
            </w:pPr>
          </w:p>
        </w:tc>
        <w:tc>
          <w:tcPr>
            <w:cnfStyle w:val="000001000000"/>
            <w:tcW w:w="2038" w:type="dxa"/>
            <w:gridSpan w:val="3"/>
            <w:vMerge/>
            <w:shd w:val="clear" w:color="auto" w:fill="FBCE76" w:themeFill="background2" w:themeFillTint="99"/>
            <w:noWrap/>
          </w:tcPr>
          <w:p w:rsidR="0070763A" w:rsidRDefault="0070763A" w:rsidP="002D5B51">
            <w:pPr>
              <w:spacing w:after="0"/>
              <w:rPr>
                <w:rFonts w:ascii="Arial" w:hAnsi="Arial" w:cs="Arial"/>
                <w:b/>
                <w:sz w:val="16"/>
                <w:szCs w:val="16"/>
              </w:rPr>
            </w:pPr>
          </w:p>
        </w:tc>
        <w:tc>
          <w:tcPr>
            <w:cnfStyle w:val="000010000000"/>
            <w:tcW w:w="1266" w:type="dxa"/>
            <w:gridSpan w:val="2"/>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50/50 Load</w:t>
            </w:r>
          </w:p>
        </w:tc>
        <w:tc>
          <w:tcPr>
            <w:cnfStyle w:val="000001000000"/>
            <w:tcW w:w="1242" w:type="dxa"/>
            <w:gridSpan w:val="2"/>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90/10 Load</w:t>
            </w:r>
          </w:p>
        </w:tc>
        <w:tc>
          <w:tcPr>
            <w:cnfStyle w:val="000010000000"/>
            <w:tcW w:w="641" w:type="dxa"/>
            <w:shd w:val="clear" w:color="auto" w:fill="FBCE76" w:themeFill="background2" w:themeFillTint="99"/>
            <w:noWrap/>
          </w:tcPr>
          <w:p w:rsidR="0070763A" w:rsidRDefault="0070763A" w:rsidP="002D5B51">
            <w:pPr>
              <w:spacing w:after="0"/>
              <w:rPr>
                <w:rFonts w:ascii="Arial" w:hAnsi="Arial" w:cs="Arial"/>
                <w:b/>
                <w:sz w:val="16"/>
                <w:szCs w:val="16"/>
              </w:rPr>
            </w:pPr>
          </w:p>
        </w:tc>
        <w:tc>
          <w:tcPr>
            <w:cnfStyle w:val="000001000000"/>
            <w:tcW w:w="1441" w:type="dxa"/>
            <w:gridSpan w:val="2"/>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50/50 Load</w:t>
            </w:r>
          </w:p>
        </w:tc>
        <w:tc>
          <w:tcPr>
            <w:cnfStyle w:val="000010000000"/>
            <w:tcW w:w="1455" w:type="dxa"/>
            <w:gridSpan w:val="2"/>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90/10 Load</w:t>
            </w:r>
          </w:p>
        </w:tc>
        <w:tc>
          <w:tcPr>
            <w:cnfStyle w:val="000001000000"/>
            <w:tcW w:w="589" w:type="dxa"/>
            <w:shd w:val="clear" w:color="auto" w:fill="FBCE76" w:themeFill="background2" w:themeFillTint="99"/>
            <w:noWrap/>
          </w:tcPr>
          <w:p w:rsidR="0070763A" w:rsidRDefault="0070763A" w:rsidP="002D5B51">
            <w:pPr>
              <w:spacing w:after="0"/>
              <w:rPr>
                <w:rFonts w:ascii="Arial" w:hAnsi="Arial" w:cs="Arial"/>
                <w:b/>
                <w:sz w:val="16"/>
                <w:szCs w:val="16"/>
              </w:rPr>
            </w:pPr>
          </w:p>
        </w:tc>
      </w:tr>
      <w:tr w:rsidR="00F8004B" w:rsidRPr="00D66C7F" w:rsidTr="003E31BE">
        <w:trPr>
          <w:cnfStyle w:val="000000100000"/>
        </w:trPr>
        <w:tc>
          <w:tcPr>
            <w:cnfStyle w:val="000010000000"/>
            <w:tcW w:w="1176" w:type="dxa"/>
            <w:vMerge/>
            <w:shd w:val="clear" w:color="auto" w:fill="FBCE76" w:themeFill="background2" w:themeFillTint="99"/>
            <w:noWrap/>
          </w:tcPr>
          <w:p w:rsidR="0070763A" w:rsidRDefault="0070763A" w:rsidP="002D5B51">
            <w:pPr>
              <w:pStyle w:val="Tablefont"/>
              <w:spacing w:before="0" w:after="0" w:line="260" w:lineRule="atLeast"/>
              <w:rPr>
                <w:rFonts w:eastAsia="Arial Unicode MS" w:cs="Arial"/>
                <w:b/>
                <w:szCs w:val="16"/>
              </w:rPr>
            </w:pPr>
          </w:p>
        </w:tc>
        <w:tc>
          <w:tcPr>
            <w:cnfStyle w:val="000001000000"/>
            <w:tcW w:w="720"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2010</w:t>
            </w:r>
          </w:p>
        </w:tc>
        <w:tc>
          <w:tcPr>
            <w:cnfStyle w:val="000010000000"/>
            <w:tcW w:w="676"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2019</w:t>
            </w:r>
          </w:p>
        </w:tc>
        <w:tc>
          <w:tcPr>
            <w:cnfStyle w:val="000001000000"/>
            <w:tcW w:w="642"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CAGR</w:t>
            </w:r>
          </w:p>
        </w:tc>
        <w:tc>
          <w:tcPr>
            <w:cnfStyle w:val="000010000000"/>
            <w:tcW w:w="614"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2010</w:t>
            </w:r>
          </w:p>
        </w:tc>
        <w:tc>
          <w:tcPr>
            <w:cnfStyle w:val="000001000000"/>
            <w:tcW w:w="652"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2019</w:t>
            </w:r>
          </w:p>
        </w:tc>
        <w:tc>
          <w:tcPr>
            <w:cnfStyle w:val="000010000000"/>
            <w:tcW w:w="652"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2010</w:t>
            </w:r>
          </w:p>
        </w:tc>
        <w:tc>
          <w:tcPr>
            <w:cnfStyle w:val="000001000000"/>
            <w:tcW w:w="590"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2019</w:t>
            </w:r>
          </w:p>
        </w:tc>
        <w:tc>
          <w:tcPr>
            <w:cnfStyle w:val="000010000000"/>
            <w:tcW w:w="641"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CAGR</w:t>
            </w:r>
          </w:p>
        </w:tc>
        <w:tc>
          <w:tcPr>
            <w:cnfStyle w:val="000001000000"/>
            <w:tcW w:w="721"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2010/11</w:t>
            </w:r>
          </w:p>
        </w:tc>
        <w:tc>
          <w:tcPr>
            <w:cnfStyle w:val="000010000000"/>
            <w:tcW w:w="720"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2019/20</w:t>
            </w:r>
          </w:p>
        </w:tc>
        <w:tc>
          <w:tcPr>
            <w:cnfStyle w:val="000001000000"/>
            <w:tcW w:w="735"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2010/11</w:t>
            </w:r>
          </w:p>
        </w:tc>
        <w:tc>
          <w:tcPr>
            <w:cnfStyle w:val="000010000000"/>
            <w:tcW w:w="720"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2019/20</w:t>
            </w:r>
          </w:p>
        </w:tc>
        <w:tc>
          <w:tcPr>
            <w:cnfStyle w:val="000001000000"/>
            <w:tcW w:w="589" w:type="dxa"/>
            <w:shd w:val="clear" w:color="auto" w:fill="FBCE76" w:themeFill="background2" w:themeFillTint="99"/>
            <w:noWrap/>
          </w:tcPr>
          <w:p w:rsidR="0070763A" w:rsidRDefault="0034080E" w:rsidP="002D5B51">
            <w:pPr>
              <w:spacing w:after="0"/>
              <w:rPr>
                <w:rFonts w:ascii="Arial" w:eastAsia="Arial Unicode MS" w:hAnsi="Arial" w:cs="Arial"/>
                <w:b/>
                <w:sz w:val="16"/>
                <w:szCs w:val="16"/>
              </w:rPr>
            </w:pPr>
            <w:r w:rsidRPr="003E31BE">
              <w:rPr>
                <w:rFonts w:ascii="Arial" w:hAnsi="Arial" w:cs="Arial"/>
                <w:b/>
                <w:sz w:val="16"/>
                <w:szCs w:val="16"/>
              </w:rPr>
              <w:t>CAGR</w:t>
            </w:r>
          </w:p>
        </w:tc>
      </w:tr>
      <w:tr w:rsidR="00F8004B" w:rsidRPr="00D66C7F" w:rsidTr="00EC73A7">
        <w:trPr>
          <w:cnfStyle w:val="000000010000"/>
          <w:trHeight w:val="255"/>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BHE</w:t>
            </w:r>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1,890</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2,030</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0.8</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325</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360</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345</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385</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315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330</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325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340</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0.5</w:t>
            </w:r>
          </w:p>
        </w:tc>
      </w:tr>
      <w:tr w:rsidR="001C2792" w:rsidRPr="00D66C7F" w:rsidTr="003E31BE">
        <w:trPr>
          <w:cnfStyle w:val="000000100000"/>
          <w:trHeight w:val="255"/>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ME</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6,670</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7,210</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1,135</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1,295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1,210</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1,390</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1.6</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1,110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1,140</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1,145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1,175</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0.3</w:t>
            </w:r>
          </w:p>
        </w:tc>
      </w:tr>
      <w:tr w:rsidR="0034080E" w:rsidRPr="00D66C7F" w:rsidTr="00EC73A7">
        <w:trPr>
          <w:cnfStyle w:val="000000010000"/>
          <w:trHeight w:val="255"/>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SME</w:t>
            </w:r>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3,175</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3,435</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575</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660</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610</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710</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1.7</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490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500</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505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515</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0.2</w:t>
            </w:r>
          </w:p>
        </w:tc>
      </w:tr>
      <w:tr w:rsidR="001C2792" w:rsidRPr="00D66C7F" w:rsidTr="003E31BE">
        <w:trPr>
          <w:cnfStyle w:val="000000100000"/>
          <w:trHeight w:val="255"/>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NH</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9,715</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10,915</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1,985</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2,325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2,130</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2,510</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1,655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1,785</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1,720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1,850</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0.8</w:t>
            </w:r>
          </w:p>
        </w:tc>
      </w:tr>
      <w:tr w:rsidR="0034080E" w:rsidRPr="00D66C7F" w:rsidTr="00EC73A7">
        <w:trPr>
          <w:cnfStyle w:val="000000010000"/>
          <w:trHeight w:val="255"/>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VT</w:t>
            </w:r>
          </w:p>
        </w:tc>
        <w:tc>
          <w:tcPr>
            <w:cnfStyle w:val="000001000000"/>
            <w:tcW w:w="720" w:type="dxa"/>
            <w:shd w:val="clear" w:color="auto" w:fill="FFFFFF" w:themeFill="background1"/>
            <w:noWrap/>
            <w:tcMar>
              <w:left w:w="0" w:type="dxa"/>
              <w:right w:w="72" w:type="dxa"/>
            </w:tcMar>
          </w:tcPr>
          <w:p w:rsidR="00F056BC" w:rsidRDefault="00FF2FBA" w:rsidP="002D5B51">
            <w:pPr>
              <w:spacing w:after="0"/>
              <w:jc w:val="right"/>
              <w:rPr>
                <w:rFonts w:ascii="Arial" w:hAnsi="Arial" w:cs="Arial"/>
                <w:sz w:val="16"/>
                <w:szCs w:val="16"/>
              </w:rPr>
            </w:pPr>
            <w:r>
              <w:rPr>
                <w:rFonts w:ascii="Arial" w:hAnsi="Arial" w:cs="Arial"/>
                <w:sz w:val="16"/>
                <w:szCs w:val="16"/>
              </w:rPr>
              <w:t>7,</w:t>
            </w:r>
            <w:r w:rsidR="0034080E" w:rsidRPr="00D66C7F">
              <w:rPr>
                <w:rFonts w:ascii="Arial" w:hAnsi="Arial" w:cs="Arial"/>
                <w:sz w:val="16"/>
                <w:szCs w:val="16"/>
              </w:rPr>
              <w:t>205</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7,855</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1,250</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1,405</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1,310</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1,480</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1,195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1,265</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1,220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1,290</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0.6</w:t>
            </w:r>
          </w:p>
        </w:tc>
      </w:tr>
      <w:tr w:rsidR="001C2792" w:rsidRPr="00D66C7F" w:rsidTr="003E31BE">
        <w:trPr>
          <w:cnfStyle w:val="000000100000"/>
          <w:trHeight w:val="270"/>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B</w:t>
            </w:r>
            <w:r w:rsidR="00EC73A7">
              <w:rPr>
                <w:rFonts w:cs="Arial"/>
                <w:b/>
                <w:szCs w:val="16"/>
              </w:rPr>
              <w:t>OSTON</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26,425</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28,585</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5,565</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6,225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5,975</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6,700</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4,320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4,530</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4,455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4,660</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0.5</w:t>
            </w:r>
          </w:p>
        </w:tc>
      </w:tr>
      <w:tr w:rsidR="0034080E" w:rsidRPr="00D66C7F" w:rsidTr="00EC73A7">
        <w:trPr>
          <w:cnfStyle w:val="000000010000"/>
          <w:trHeight w:val="270"/>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smartTag w:uri="urn:schemas-microsoft-com:office:smarttags" w:element="stockticker">
              <w:r w:rsidRPr="003E31BE">
                <w:rPr>
                  <w:rFonts w:cs="Arial"/>
                  <w:b/>
                  <w:szCs w:val="16"/>
                </w:rPr>
                <w:t>CMA</w:t>
              </w:r>
            </w:smartTag>
            <w:r w:rsidRPr="003E31BE">
              <w:rPr>
                <w:rFonts w:cs="Arial"/>
                <w:b/>
                <w:szCs w:val="16"/>
              </w:rPr>
              <w:t>/NEMA</w:t>
            </w:r>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8,475</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9,500</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1,795</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2,120</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1,925</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2,285</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1,430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1,525</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1,475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1,570</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0.7</w:t>
            </w:r>
          </w:p>
        </w:tc>
      </w:tr>
      <w:tr w:rsidR="001C2792" w:rsidRPr="00D66C7F" w:rsidTr="003E31BE">
        <w:trPr>
          <w:cnfStyle w:val="000000100000"/>
          <w:trHeight w:val="270"/>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WMA</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w:t>
            </w:r>
            <w:r w:rsidR="001650C7">
              <w:rPr>
                <w:rFonts w:ascii="Arial" w:hAnsi="Arial" w:cs="Arial"/>
                <w:sz w:val="16"/>
                <w:szCs w:val="16"/>
              </w:rPr>
              <w:t>0</w:t>
            </w:r>
            <w:r w:rsidRPr="00D66C7F">
              <w:rPr>
                <w:rFonts w:ascii="Arial" w:hAnsi="Arial" w:cs="Arial"/>
                <w:sz w:val="16"/>
                <w:szCs w:val="16"/>
              </w:rPr>
              <w:t>,280</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11,225</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2,030</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2,305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2,180</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2,480</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1,775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18,70</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1,830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1,920</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0.5</w:t>
            </w:r>
          </w:p>
        </w:tc>
      </w:tr>
      <w:tr w:rsidR="0034080E" w:rsidRPr="00D66C7F" w:rsidTr="00EC73A7">
        <w:trPr>
          <w:cnfStyle w:val="000000010000"/>
          <w:trHeight w:val="270"/>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smartTag w:uri="urn:schemas-microsoft-com:office:smarttags" w:element="stockticker">
              <w:r w:rsidRPr="003E31BE">
                <w:rPr>
                  <w:rFonts w:cs="Arial"/>
                  <w:b/>
                  <w:szCs w:val="16"/>
                </w:rPr>
                <w:t>SEMA</w:t>
              </w:r>
            </w:smartTag>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13,440</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14,595</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2,875</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3,250</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3,095</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3,505</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2,255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2,360</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2,325</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2,430</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0.5</w:t>
            </w:r>
          </w:p>
        </w:tc>
      </w:tr>
      <w:tr w:rsidR="001C2792" w:rsidRPr="00D66C7F" w:rsidTr="003E31BE">
        <w:trPr>
          <w:cnfStyle w:val="000000100000"/>
          <w:trHeight w:val="270"/>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RI</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11,445</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12,460</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2,500</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2,815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2,750</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3,110</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1,880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1,985</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1,940</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2,045</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0.6</w:t>
            </w:r>
          </w:p>
        </w:tc>
      </w:tr>
      <w:tr w:rsidR="0034080E" w:rsidRPr="00D66C7F" w:rsidTr="00EC73A7">
        <w:trPr>
          <w:cnfStyle w:val="000000010000"/>
          <w:trHeight w:val="270"/>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CT</w:t>
            </w:r>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15,875</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16,870</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0.7</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3,450</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3,825</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3,750</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4,165</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1.2</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2,780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2,835</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2,860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2,920</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0.2</w:t>
            </w:r>
          </w:p>
        </w:tc>
      </w:tr>
      <w:tr w:rsidR="001C2792" w:rsidRPr="00D66C7F" w:rsidTr="003E31BE">
        <w:trPr>
          <w:cnfStyle w:val="000000100000"/>
          <w:trHeight w:val="270"/>
        </w:trPr>
        <w:tc>
          <w:tcPr>
            <w:cnfStyle w:val="000010000000"/>
            <w:tcW w:w="1176" w:type="dxa"/>
            <w:shd w:val="clear" w:color="auto" w:fill="FDEED1" w:themeFill="background2" w:themeFillTint="33"/>
            <w:noWrap/>
          </w:tcPr>
          <w:p w:rsidR="0070763A" w:rsidRDefault="0034080E" w:rsidP="002D5B51">
            <w:pPr>
              <w:pStyle w:val="Tablefont"/>
              <w:spacing w:before="0" w:after="0" w:line="260" w:lineRule="atLeast"/>
              <w:jc w:val="left"/>
              <w:rPr>
                <w:rFonts w:eastAsia="Arial Unicode MS" w:cs="Arial"/>
                <w:b/>
                <w:szCs w:val="16"/>
              </w:rPr>
            </w:pPr>
            <w:r w:rsidRPr="003E31BE">
              <w:rPr>
                <w:rFonts w:cs="Arial"/>
                <w:b/>
                <w:szCs w:val="16"/>
              </w:rPr>
              <w:t>SWCT</w:t>
            </w:r>
          </w:p>
        </w:tc>
        <w:tc>
          <w:tcPr>
            <w:cnfStyle w:val="000001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10,885</w:t>
            </w:r>
          </w:p>
        </w:tc>
        <w:tc>
          <w:tcPr>
            <w:cnfStyle w:val="000010000000"/>
            <w:tcW w:w="676"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11,685</w:t>
            </w:r>
          </w:p>
        </w:tc>
        <w:tc>
          <w:tcPr>
            <w:cnfStyle w:val="000001000000"/>
            <w:tcW w:w="64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0.8</w:t>
            </w:r>
          </w:p>
        </w:tc>
        <w:tc>
          <w:tcPr>
            <w:cnfStyle w:val="000010000000"/>
            <w:tcW w:w="614"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2,370</w:t>
            </w:r>
          </w:p>
        </w:tc>
        <w:tc>
          <w:tcPr>
            <w:cnfStyle w:val="000001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2,665</w:t>
            </w:r>
          </w:p>
        </w:tc>
        <w:tc>
          <w:tcPr>
            <w:cnfStyle w:val="000010000000"/>
            <w:tcW w:w="652"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2,575</w:t>
            </w:r>
          </w:p>
        </w:tc>
        <w:tc>
          <w:tcPr>
            <w:cnfStyle w:val="000001000000"/>
            <w:tcW w:w="59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2,895</w:t>
            </w:r>
          </w:p>
        </w:tc>
        <w:tc>
          <w:tcPr>
            <w:cnfStyle w:val="000010000000"/>
            <w:tcW w:w="64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w:t>
            </w:r>
          </w:p>
        </w:tc>
        <w:tc>
          <w:tcPr>
            <w:cnfStyle w:val="000001000000"/>
            <w:tcW w:w="721"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1,905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1,960</w:t>
            </w:r>
          </w:p>
        </w:tc>
        <w:tc>
          <w:tcPr>
            <w:cnfStyle w:val="000001000000"/>
            <w:tcW w:w="735"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1,965</w:t>
            </w:r>
          </w:p>
        </w:tc>
        <w:tc>
          <w:tcPr>
            <w:cnfStyle w:val="000010000000"/>
            <w:tcW w:w="720"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2,020</w:t>
            </w:r>
          </w:p>
        </w:tc>
        <w:tc>
          <w:tcPr>
            <w:cnfStyle w:val="000001000000"/>
            <w:tcW w:w="589" w:type="dxa"/>
            <w:shd w:val="clear" w:color="auto" w:fill="FDEED1" w:themeFill="background2" w:themeFillTint="33"/>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0.3</w:t>
            </w:r>
          </w:p>
        </w:tc>
      </w:tr>
      <w:tr w:rsidR="00F8004B" w:rsidRPr="00D66C7F" w:rsidTr="00EC73A7">
        <w:trPr>
          <w:cnfStyle w:val="000000010000"/>
          <w:trHeight w:val="270"/>
        </w:trPr>
        <w:tc>
          <w:tcPr>
            <w:cnfStyle w:val="000010000000"/>
            <w:tcW w:w="1176" w:type="dxa"/>
            <w:shd w:val="clear" w:color="auto" w:fill="FFFFFF" w:themeFill="background1"/>
            <w:noWrap/>
          </w:tcPr>
          <w:p w:rsidR="0070763A" w:rsidRDefault="0034080E" w:rsidP="002D5B51">
            <w:pPr>
              <w:pStyle w:val="Tablefont"/>
              <w:spacing w:before="0" w:after="0" w:line="260" w:lineRule="atLeast"/>
              <w:jc w:val="left"/>
              <w:rPr>
                <w:rFonts w:eastAsia="Arial Unicode MS" w:cs="Arial"/>
                <w:b/>
                <w:szCs w:val="16"/>
              </w:rPr>
            </w:pPr>
            <w:smartTag w:uri="urn:schemas-microsoft-com:office:smarttags" w:element="stockticker">
              <w:r w:rsidRPr="003E31BE">
                <w:rPr>
                  <w:rFonts w:cs="Arial"/>
                  <w:b/>
                  <w:szCs w:val="16"/>
                </w:rPr>
                <w:t>NOR</w:t>
              </w:r>
            </w:smartTag>
          </w:p>
        </w:tc>
        <w:tc>
          <w:tcPr>
            <w:cnfStyle w:val="000001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5,830</w:t>
            </w:r>
          </w:p>
        </w:tc>
        <w:tc>
          <w:tcPr>
            <w:cnfStyle w:val="000010000000"/>
            <w:tcW w:w="676"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6,145</w:t>
            </w:r>
          </w:p>
        </w:tc>
        <w:tc>
          <w:tcPr>
            <w:cnfStyle w:val="000001000000"/>
            <w:tcW w:w="64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0.6</w:t>
            </w:r>
          </w:p>
        </w:tc>
        <w:tc>
          <w:tcPr>
            <w:cnfStyle w:val="000010000000"/>
            <w:tcW w:w="614"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1,345</w:t>
            </w:r>
          </w:p>
        </w:tc>
        <w:tc>
          <w:tcPr>
            <w:cnfStyle w:val="000001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1,475</w:t>
            </w:r>
          </w:p>
        </w:tc>
        <w:tc>
          <w:tcPr>
            <w:cnfStyle w:val="000010000000"/>
            <w:tcW w:w="652"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1,460</w:t>
            </w:r>
          </w:p>
        </w:tc>
        <w:tc>
          <w:tcPr>
            <w:cnfStyle w:val="000001000000"/>
            <w:tcW w:w="59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1,605</w:t>
            </w:r>
          </w:p>
        </w:tc>
        <w:tc>
          <w:tcPr>
            <w:cnfStyle w:val="000010000000"/>
            <w:tcW w:w="64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1.1</w:t>
            </w:r>
          </w:p>
        </w:tc>
        <w:tc>
          <w:tcPr>
            <w:cnfStyle w:val="000001000000"/>
            <w:tcW w:w="721"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970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985</w:t>
            </w:r>
          </w:p>
        </w:tc>
        <w:tc>
          <w:tcPr>
            <w:cnfStyle w:val="000001000000"/>
            <w:tcW w:w="735"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1,000</w:t>
            </w:r>
          </w:p>
        </w:tc>
        <w:tc>
          <w:tcPr>
            <w:cnfStyle w:val="000010000000"/>
            <w:tcW w:w="720"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1,015</w:t>
            </w:r>
          </w:p>
        </w:tc>
        <w:tc>
          <w:tcPr>
            <w:cnfStyle w:val="000001000000"/>
            <w:tcW w:w="589" w:type="dxa"/>
            <w:shd w:val="clear" w:color="auto" w:fill="FFFFFF" w:themeFill="background1"/>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0.2</w:t>
            </w:r>
          </w:p>
        </w:tc>
      </w:tr>
      <w:tr w:rsidR="001C2792" w:rsidRPr="00D66C7F" w:rsidTr="003E31BE">
        <w:trPr>
          <w:cnfStyle w:val="000000100000"/>
          <w:trHeight w:val="270"/>
        </w:trPr>
        <w:tc>
          <w:tcPr>
            <w:cnfStyle w:val="000010000000"/>
            <w:tcW w:w="1176" w:type="dxa"/>
            <w:shd w:val="clear" w:color="auto" w:fill="FBCE76" w:themeFill="background2" w:themeFillTint="99"/>
            <w:noWrap/>
          </w:tcPr>
          <w:p w:rsidR="0070763A" w:rsidRDefault="0034080E" w:rsidP="001602E2">
            <w:pPr>
              <w:pStyle w:val="Tablefont"/>
              <w:spacing w:before="0" w:after="0" w:line="260" w:lineRule="atLeast"/>
              <w:jc w:val="left"/>
              <w:rPr>
                <w:rFonts w:cs="Arial"/>
                <w:b/>
                <w:szCs w:val="16"/>
              </w:rPr>
            </w:pPr>
            <w:r w:rsidRPr="003E31BE">
              <w:rPr>
                <w:rFonts w:cs="Arial"/>
                <w:b/>
                <w:szCs w:val="16"/>
              </w:rPr>
              <w:t>ISO total</w:t>
            </w:r>
          </w:p>
        </w:tc>
        <w:tc>
          <w:tcPr>
            <w:cnfStyle w:val="000001000000"/>
            <w:tcW w:w="720"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131,305</w:t>
            </w:r>
          </w:p>
        </w:tc>
        <w:tc>
          <w:tcPr>
            <w:cnfStyle w:val="000010000000"/>
            <w:tcW w:w="676"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142,520</w:t>
            </w:r>
          </w:p>
        </w:tc>
        <w:tc>
          <w:tcPr>
            <w:cnfStyle w:val="000001000000"/>
            <w:tcW w:w="642"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0.9</w:t>
            </w:r>
          </w:p>
        </w:tc>
        <w:tc>
          <w:tcPr>
            <w:cnfStyle w:val="000010000000"/>
            <w:tcW w:w="614"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27,190</w:t>
            </w:r>
          </w:p>
        </w:tc>
        <w:tc>
          <w:tcPr>
            <w:cnfStyle w:val="000001000000"/>
            <w:tcW w:w="652"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30,730</w:t>
            </w:r>
          </w:p>
        </w:tc>
        <w:tc>
          <w:tcPr>
            <w:cnfStyle w:val="000010000000"/>
            <w:tcW w:w="652"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29,310</w:t>
            </w:r>
          </w:p>
        </w:tc>
        <w:tc>
          <w:tcPr>
            <w:cnfStyle w:val="000001000000"/>
            <w:tcW w:w="590"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33</w:t>
            </w:r>
            <w:r w:rsidR="00D853ED">
              <w:rPr>
                <w:rFonts w:ascii="Arial" w:hAnsi="Arial" w:cs="Arial"/>
                <w:sz w:val="16"/>
                <w:szCs w:val="16"/>
              </w:rPr>
              <w:t>,</w:t>
            </w:r>
            <w:r w:rsidRPr="00D66C7F">
              <w:rPr>
                <w:rFonts w:ascii="Arial" w:hAnsi="Arial" w:cs="Arial"/>
                <w:sz w:val="16"/>
                <w:szCs w:val="16"/>
              </w:rPr>
              <w:t>225</w:t>
            </w:r>
          </w:p>
        </w:tc>
        <w:tc>
          <w:tcPr>
            <w:cnfStyle w:val="000010000000"/>
            <w:tcW w:w="641"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1.4</w:t>
            </w:r>
          </w:p>
        </w:tc>
        <w:tc>
          <w:tcPr>
            <w:cnfStyle w:val="000001000000"/>
            <w:tcW w:w="721"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22,085</w:t>
            </w:r>
          </w:p>
        </w:tc>
        <w:tc>
          <w:tcPr>
            <w:cnfStyle w:val="000010000000"/>
            <w:tcW w:w="720"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23,070</w:t>
            </w:r>
          </w:p>
        </w:tc>
        <w:tc>
          <w:tcPr>
            <w:cnfStyle w:val="000001000000"/>
            <w:tcW w:w="735"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22</w:t>
            </w:r>
            <w:r w:rsidR="00D008EF">
              <w:rPr>
                <w:rFonts w:ascii="Arial" w:hAnsi="Arial" w:cs="Arial"/>
                <w:sz w:val="16"/>
                <w:szCs w:val="16"/>
              </w:rPr>
              <w:t>,</w:t>
            </w:r>
            <w:r w:rsidRPr="00D66C7F">
              <w:rPr>
                <w:rFonts w:ascii="Arial" w:hAnsi="Arial" w:cs="Arial"/>
                <w:sz w:val="16"/>
                <w:szCs w:val="16"/>
              </w:rPr>
              <w:t>765</w:t>
            </w:r>
          </w:p>
        </w:tc>
        <w:tc>
          <w:tcPr>
            <w:cnfStyle w:val="000010000000"/>
            <w:tcW w:w="720"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23,750</w:t>
            </w:r>
          </w:p>
        </w:tc>
        <w:tc>
          <w:tcPr>
            <w:cnfStyle w:val="000001000000"/>
            <w:tcW w:w="589" w:type="dxa"/>
            <w:shd w:val="clear" w:color="auto" w:fill="FBCE76" w:themeFill="background2" w:themeFillTint="99"/>
            <w:noWrap/>
            <w:tcMar>
              <w:left w:w="0" w:type="dxa"/>
              <w:right w:w="72" w:type="dxa"/>
            </w:tcMar>
          </w:tcPr>
          <w:p w:rsidR="00F056BC" w:rsidRDefault="0034080E" w:rsidP="002D5B51">
            <w:pPr>
              <w:spacing w:after="0"/>
              <w:jc w:val="right"/>
              <w:rPr>
                <w:rFonts w:ascii="Arial" w:hAnsi="Arial" w:cs="Arial"/>
                <w:sz w:val="16"/>
                <w:szCs w:val="16"/>
              </w:rPr>
            </w:pPr>
            <w:r w:rsidRPr="00D66C7F">
              <w:rPr>
                <w:rFonts w:ascii="Arial" w:hAnsi="Arial" w:cs="Arial"/>
                <w:sz w:val="16"/>
                <w:szCs w:val="16"/>
              </w:rPr>
              <w:t>0.5</w:t>
            </w:r>
          </w:p>
        </w:tc>
      </w:tr>
    </w:tbl>
    <w:p w:rsidR="0034080E" w:rsidRPr="00B17C98" w:rsidRDefault="0034080E" w:rsidP="0009391B">
      <w:bookmarkStart w:id="135" w:name="_Ref173325890"/>
      <w:bookmarkStart w:id="136" w:name="_Ref200273063"/>
      <w:bookmarkStart w:id="137" w:name="_Toc176244939"/>
      <w:bookmarkStart w:id="138" w:name="_Toc200169058"/>
      <w:bookmarkStart w:id="139" w:name="_Toc200440145"/>
      <w:bookmarkStart w:id="140" w:name="_Toc207531965"/>
    </w:p>
    <w:p w:rsidR="0034080E" w:rsidRDefault="0034080E" w:rsidP="00E209F8">
      <w:pPr>
        <w:pStyle w:val="Caption"/>
        <w:rPr>
          <w:rFonts w:cs="Arial"/>
          <w:sz w:val="16"/>
          <w:szCs w:val="16"/>
        </w:rPr>
      </w:pPr>
      <w:bookmarkStart w:id="141" w:name="_Ref234055802"/>
      <w:bookmarkStart w:id="142" w:name="_Ref235271713"/>
      <w:bookmarkStart w:id="143" w:name="_Toc239157213"/>
      <w:bookmarkStart w:id="144" w:name="_Toc271552400"/>
      <w:r>
        <w:t xml:space="preserve">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5</w:t>
      </w:r>
      <w:r w:rsidR="00832C7A">
        <w:fldChar w:fldCharType="end"/>
      </w:r>
      <w:bookmarkEnd w:id="135"/>
      <w:bookmarkEnd w:id="136"/>
      <w:bookmarkEnd w:id="141"/>
      <w:bookmarkEnd w:id="142"/>
      <w:r>
        <w:br/>
        <w:t>Forecasts of Peak Use of Electric Energy for Load Zones</w:t>
      </w:r>
      <w:r w:rsidR="00F1154D">
        <w:br/>
      </w:r>
      <w:r>
        <w:t>and the New England States</w:t>
      </w:r>
      <w:bookmarkEnd w:id="137"/>
      <w:bookmarkEnd w:id="138"/>
      <w:bookmarkEnd w:id="139"/>
      <w:r>
        <w:t>, 2010</w:t>
      </w:r>
      <w:bookmarkEnd w:id="140"/>
      <w:bookmarkEnd w:id="143"/>
      <w:bookmarkEnd w:id="144"/>
    </w:p>
    <w:tbl>
      <w:tblPr>
        <w:tblStyle w:val="MediumShading1-Accent12"/>
        <w:tblW w:w="936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8" w:type="dxa"/>
          <w:left w:w="144" w:type="dxa"/>
          <w:bottom w:w="58" w:type="dxa"/>
          <w:right w:w="144" w:type="dxa"/>
        </w:tblCellMar>
        <w:tblLook w:val="04A0"/>
      </w:tblPr>
      <w:tblGrid>
        <w:gridCol w:w="1778"/>
        <w:gridCol w:w="2590"/>
        <w:gridCol w:w="1308"/>
        <w:gridCol w:w="1217"/>
        <w:gridCol w:w="1250"/>
        <w:gridCol w:w="1217"/>
      </w:tblGrid>
      <w:tr w:rsidR="0034080E" w:rsidRPr="003E31BE" w:rsidTr="005E3A82">
        <w:trPr>
          <w:cnfStyle w:val="100000000000"/>
        </w:trPr>
        <w:tc>
          <w:tcPr>
            <w:cnfStyle w:val="001000000100"/>
            <w:tcW w:w="1778" w:type="dxa"/>
            <w:vMerge w:val="restart"/>
            <w:shd w:val="clear" w:color="auto" w:fill="FBCE76" w:themeFill="background2" w:themeFillTint="99"/>
            <w:tcMar>
              <w:top w:w="58" w:type="dxa"/>
              <w:bottom w:w="58" w:type="dxa"/>
            </w:tcMar>
          </w:tcPr>
          <w:p w:rsidR="00F056BC" w:rsidRPr="001865D7" w:rsidRDefault="0034080E">
            <w:pPr>
              <w:keepNext/>
              <w:keepLines/>
              <w:spacing w:after="0"/>
              <w:jc w:val="center"/>
              <w:rPr>
                <w:rFonts w:ascii="Arial" w:hAnsi="Arial" w:cs="Arial"/>
                <w:b w:val="0"/>
                <w:bCs w:val="0"/>
                <w:color w:val="000000" w:themeColor="text1"/>
                <w:sz w:val="18"/>
                <w:szCs w:val="18"/>
              </w:rPr>
            </w:pPr>
            <w:r w:rsidRPr="001865D7">
              <w:rPr>
                <w:rFonts w:ascii="Arial" w:hAnsi="Arial" w:cs="Arial"/>
                <w:color w:val="000000" w:themeColor="text1"/>
                <w:sz w:val="18"/>
                <w:szCs w:val="18"/>
              </w:rPr>
              <w:t>Load Zone</w:t>
            </w:r>
            <w:r w:rsidRPr="001865D7">
              <w:rPr>
                <w:rFonts w:ascii="Arial" w:hAnsi="Arial" w:cs="Arial"/>
                <w:color w:val="000000" w:themeColor="text1"/>
                <w:sz w:val="18"/>
                <w:szCs w:val="18"/>
                <w:vertAlign w:val="superscript"/>
              </w:rPr>
              <w:t>(a)</w:t>
            </w:r>
          </w:p>
        </w:tc>
        <w:tc>
          <w:tcPr>
            <w:tcW w:w="2590" w:type="dxa"/>
            <w:vMerge w:val="restart"/>
            <w:shd w:val="clear" w:color="auto" w:fill="FBCE76" w:themeFill="background2" w:themeFillTint="99"/>
            <w:tcMar>
              <w:top w:w="58" w:type="dxa"/>
              <w:bottom w:w="58" w:type="dxa"/>
            </w:tcMar>
          </w:tcPr>
          <w:p w:rsidR="003F3D84" w:rsidRPr="001865D7" w:rsidRDefault="0034080E">
            <w:pPr>
              <w:keepNext/>
              <w:keepLines/>
              <w:spacing w:after="0"/>
              <w:cnfStyle w:val="100000000000"/>
              <w:rPr>
                <w:rFonts w:ascii="Arial" w:eastAsia="Times New Roman" w:hAnsi="Arial" w:cs="Arial"/>
                <w:b w:val="0"/>
                <w:bCs w:val="0"/>
                <w:iCs/>
                <w:color w:val="000000" w:themeColor="text1"/>
                <w:sz w:val="18"/>
                <w:szCs w:val="18"/>
              </w:rPr>
            </w:pPr>
            <w:r w:rsidRPr="001865D7">
              <w:rPr>
                <w:rFonts w:ascii="Arial" w:hAnsi="Arial" w:cs="Arial"/>
                <w:color w:val="000000" w:themeColor="text1"/>
                <w:sz w:val="18"/>
                <w:szCs w:val="18"/>
              </w:rPr>
              <w:t>State</w:t>
            </w:r>
          </w:p>
        </w:tc>
        <w:tc>
          <w:tcPr>
            <w:tcW w:w="4992" w:type="dxa"/>
            <w:gridSpan w:val="4"/>
            <w:shd w:val="clear" w:color="auto" w:fill="FBCE76" w:themeFill="background2" w:themeFillTint="99"/>
            <w:tcMar>
              <w:top w:w="58" w:type="dxa"/>
              <w:bottom w:w="58" w:type="dxa"/>
            </w:tcMar>
          </w:tcPr>
          <w:p w:rsidR="003F3D84" w:rsidRPr="001865D7" w:rsidRDefault="0034080E">
            <w:pPr>
              <w:keepNext/>
              <w:keepLines/>
              <w:spacing w:after="0"/>
              <w:cnfStyle w:val="100000000000"/>
              <w:rPr>
                <w:rFonts w:ascii="Arial" w:eastAsia="Times New Roman" w:hAnsi="Arial" w:cs="Arial"/>
                <w:b w:val="0"/>
                <w:bCs w:val="0"/>
                <w:iCs/>
                <w:color w:val="000000" w:themeColor="text1"/>
                <w:sz w:val="18"/>
                <w:szCs w:val="18"/>
              </w:rPr>
            </w:pPr>
            <w:r w:rsidRPr="001865D7">
              <w:rPr>
                <w:rFonts w:ascii="Arial" w:hAnsi="Arial" w:cs="Arial"/>
                <w:color w:val="000000" w:themeColor="text1"/>
                <w:sz w:val="18"/>
                <w:szCs w:val="18"/>
              </w:rPr>
              <w:t>2010 Summer Peak-Load Forecast</w:t>
            </w:r>
          </w:p>
        </w:tc>
      </w:tr>
      <w:tr w:rsidR="0034080E" w:rsidRPr="003E31BE" w:rsidTr="005E3A82">
        <w:trPr>
          <w:cnfStyle w:val="000000100000"/>
        </w:trPr>
        <w:tc>
          <w:tcPr>
            <w:cnfStyle w:val="001000000000"/>
            <w:tcW w:w="1778" w:type="dxa"/>
            <w:vMerge/>
            <w:shd w:val="clear" w:color="auto" w:fill="FBCE76" w:themeFill="background2" w:themeFillTint="99"/>
            <w:tcMar>
              <w:top w:w="58" w:type="dxa"/>
              <w:bottom w:w="58" w:type="dxa"/>
            </w:tcMar>
          </w:tcPr>
          <w:p w:rsidR="00F056BC" w:rsidRPr="001865D7" w:rsidRDefault="00F056BC">
            <w:pPr>
              <w:keepNext/>
              <w:keepLines/>
              <w:spacing w:after="0"/>
              <w:rPr>
                <w:rFonts w:ascii="Arial" w:eastAsia="Times New Roman" w:hAnsi="Arial" w:cs="Arial"/>
                <w:b w:val="0"/>
                <w:bCs w:val="0"/>
                <w:color w:val="000000" w:themeColor="text1"/>
                <w:sz w:val="18"/>
                <w:szCs w:val="18"/>
              </w:rPr>
            </w:pPr>
          </w:p>
        </w:tc>
        <w:tc>
          <w:tcPr>
            <w:tcW w:w="2590" w:type="dxa"/>
            <w:vMerge/>
            <w:shd w:val="clear" w:color="auto" w:fill="FBCE76" w:themeFill="background2" w:themeFillTint="99"/>
            <w:tcMar>
              <w:top w:w="58" w:type="dxa"/>
              <w:bottom w:w="58" w:type="dxa"/>
            </w:tcMar>
          </w:tcPr>
          <w:p w:rsidR="003F3D84" w:rsidRPr="001865D7" w:rsidRDefault="003F3D84">
            <w:pPr>
              <w:keepNext/>
              <w:keepLines/>
              <w:spacing w:after="0"/>
              <w:cnfStyle w:val="000000100000"/>
              <w:rPr>
                <w:rFonts w:ascii="Arial" w:eastAsia="Times New Roman" w:hAnsi="Arial" w:cs="Arial"/>
                <w:b/>
                <w:bCs/>
                <w:color w:val="000000" w:themeColor="text1"/>
                <w:sz w:val="18"/>
                <w:szCs w:val="18"/>
              </w:rPr>
            </w:pPr>
            <w:bookmarkStart w:id="145" w:name="_Toc262722620"/>
            <w:bookmarkEnd w:id="145"/>
          </w:p>
        </w:tc>
        <w:tc>
          <w:tcPr>
            <w:tcW w:w="2525" w:type="dxa"/>
            <w:gridSpan w:val="2"/>
            <w:shd w:val="clear" w:color="auto" w:fill="FBCE76" w:themeFill="background2" w:themeFillTint="99"/>
            <w:tcMar>
              <w:top w:w="58" w:type="dxa"/>
              <w:bottom w:w="58" w:type="dxa"/>
            </w:tcMar>
          </w:tcPr>
          <w:p w:rsidR="003F3D84" w:rsidRPr="001865D7" w:rsidRDefault="000B40FA">
            <w:pPr>
              <w:keepNext/>
              <w:keepLines/>
              <w:spacing w:after="0"/>
              <w:cnfStyle w:val="000000100000"/>
              <w:rPr>
                <w:rFonts w:ascii="Arial" w:hAnsi="Arial" w:cs="Arial"/>
                <w:b/>
                <w:color w:val="000000" w:themeColor="text1"/>
                <w:sz w:val="18"/>
                <w:szCs w:val="18"/>
              </w:rPr>
            </w:pPr>
            <w:r w:rsidRPr="001865D7">
              <w:rPr>
                <w:rFonts w:ascii="Arial" w:hAnsi="Arial" w:cs="Arial"/>
                <w:b/>
                <w:color w:val="000000" w:themeColor="text1"/>
                <w:sz w:val="18"/>
                <w:szCs w:val="18"/>
              </w:rPr>
              <w:t>50/50 Load</w:t>
            </w:r>
          </w:p>
        </w:tc>
        <w:tc>
          <w:tcPr>
            <w:tcW w:w="2467" w:type="dxa"/>
            <w:gridSpan w:val="2"/>
            <w:shd w:val="clear" w:color="auto" w:fill="FBCE76" w:themeFill="background2" w:themeFillTint="99"/>
            <w:tcMar>
              <w:top w:w="58" w:type="dxa"/>
              <w:bottom w:w="58" w:type="dxa"/>
            </w:tcMar>
          </w:tcPr>
          <w:p w:rsidR="003F3D84" w:rsidRPr="001865D7" w:rsidRDefault="000B40FA">
            <w:pPr>
              <w:keepNext/>
              <w:keepLines/>
              <w:spacing w:after="0"/>
              <w:cnfStyle w:val="000000100000"/>
              <w:rPr>
                <w:rFonts w:ascii="Arial" w:hAnsi="Arial" w:cs="Arial"/>
                <w:b/>
                <w:color w:val="000000" w:themeColor="text1"/>
                <w:sz w:val="18"/>
                <w:szCs w:val="18"/>
              </w:rPr>
            </w:pPr>
            <w:r w:rsidRPr="001865D7">
              <w:rPr>
                <w:rFonts w:ascii="Arial" w:hAnsi="Arial" w:cs="Arial"/>
                <w:b/>
                <w:color w:val="000000" w:themeColor="text1"/>
                <w:sz w:val="18"/>
                <w:szCs w:val="18"/>
              </w:rPr>
              <w:t>90/10 Load</w:t>
            </w:r>
          </w:p>
        </w:tc>
      </w:tr>
      <w:tr w:rsidR="0034080E" w:rsidRPr="003E31BE" w:rsidTr="005E3A82">
        <w:trPr>
          <w:cnfStyle w:val="000000010000"/>
        </w:trPr>
        <w:tc>
          <w:tcPr>
            <w:cnfStyle w:val="001000000000"/>
            <w:tcW w:w="1778" w:type="dxa"/>
            <w:vMerge/>
            <w:shd w:val="clear" w:color="auto" w:fill="FBCE76" w:themeFill="background2" w:themeFillTint="99"/>
            <w:tcMar>
              <w:top w:w="58" w:type="dxa"/>
              <w:bottom w:w="58" w:type="dxa"/>
            </w:tcMar>
          </w:tcPr>
          <w:p w:rsidR="00F056BC" w:rsidRPr="001865D7" w:rsidRDefault="00F056BC">
            <w:pPr>
              <w:keepNext/>
              <w:keepLines/>
              <w:spacing w:after="0"/>
              <w:rPr>
                <w:rFonts w:ascii="Arial" w:eastAsia="Times New Roman" w:hAnsi="Arial" w:cs="Arial"/>
                <w:b w:val="0"/>
                <w:bCs w:val="0"/>
                <w:color w:val="000000" w:themeColor="text1"/>
                <w:sz w:val="18"/>
                <w:szCs w:val="18"/>
              </w:rPr>
            </w:pPr>
            <w:bookmarkStart w:id="146" w:name="_Toc262722621"/>
            <w:bookmarkEnd w:id="146"/>
          </w:p>
        </w:tc>
        <w:tc>
          <w:tcPr>
            <w:tcW w:w="2590" w:type="dxa"/>
            <w:vMerge/>
            <w:shd w:val="clear" w:color="auto" w:fill="FBCE76" w:themeFill="background2" w:themeFillTint="99"/>
            <w:tcMar>
              <w:top w:w="58" w:type="dxa"/>
              <w:bottom w:w="58" w:type="dxa"/>
            </w:tcMar>
          </w:tcPr>
          <w:p w:rsidR="003F3D84" w:rsidRPr="001865D7" w:rsidRDefault="003F3D84">
            <w:pPr>
              <w:keepNext/>
              <w:keepLines/>
              <w:spacing w:after="0"/>
              <w:cnfStyle w:val="000000010000"/>
              <w:rPr>
                <w:rFonts w:ascii="Arial" w:eastAsia="Times New Roman" w:hAnsi="Arial" w:cs="Arial"/>
                <w:b/>
                <w:bCs/>
                <w:color w:val="000000" w:themeColor="text1"/>
                <w:sz w:val="18"/>
                <w:szCs w:val="18"/>
              </w:rPr>
            </w:pPr>
            <w:bookmarkStart w:id="147" w:name="_Toc262722622"/>
            <w:bookmarkEnd w:id="147"/>
          </w:p>
        </w:tc>
        <w:tc>
          <w:tcPr>
            <w:tcW w:w="1308" w:type="dxa"/>
            <w:shd w:val="clear" w:color="auto" w:fill="FBCE76" w:themeFill="background2" w:themeFillTint="99"/>
            <w:tcMar>
              <w:top w:w="58" w:type="dxa"/>
              <w:bottom w:w="58" w:type="dxa"/>
            </w:tcMar>
          </w:tcPr>
          <w:p w:rsidR="003F3D84" w:rsidRPr="001865D7" w:rsidRDefault="000B40FA">
            <w:pPr>
              <w:keepNext/>
              <w:keepLines/>
              <w:spacing w:after="0"/>
              <w:cnfStyle w:val="000000010000"/>
              <w:rPr>
                <w:rFonts w:ascii="Arial" w:hAnsi="Arial" w:cs="Arial"/>
                <w:b/>
                <w:color w:val="000000" w:themeColor="text1"/>
                <w:sz w:val="18"/>
                <w:szCs w:val="18"/>
              </w:rPr>
            </w:pPr>
            <w:r w:rsidRPr="001865D7">
              <w:rPr>
                <w:rFonts w:ascii="Arial" w:hAnsi="Arial" w:cs="Arial"/>
                <w:b/>
                <w:color w:val="000000" w:themeColor="text1"/>
                <w:sz w:val="18"/>
                <w:szCs w:val="18"/>
              </w:rPr>
              <w:t>MW</w:t>
            </w:r>
          </w:p>
        </w:tc>
        <w:tc>
          <w:tcPr>
            <w:tcW w:w="1217" w:type="dxa"/>
            <w:shd w:val="clear" w:color="auto" w:fill="FBCE76" w:themeFill="background2" w:themeFillTint="99"/>
            <w:tcMar>
              <w:top w:w="58" w:type="dxa"/>
              <w:bottom w:w="58" w:type="dxa"/>
            </w:tcMar>
          </w:tcPr>
          <w:p w:rsidR="003F3D84" w:rsidRPr="001865D7" w:rsidRDefault="000B40FA">
            <w:pPr>
              <w:keepNext/>
              <w:keepLines/>
              <w:spacing w:after="0"/>
              <w:cnfStyle w:val="000000010000"/>
              <w:rPr>
                <w:rFonts w:ascii="Arial" w:hAnsi="Arial" w:cs="Arial"/>
                <w:b/>
                <w:color w:val="000000" w:themeColor="text1"/>
                <w:sz w:val="18"/>
                <w:szCs w:val="18"/>
              </w:rPr>
            </w:pPr>
            <w:r w:rsidRPr="001865D7">
              <w:rPr>
                <w:rFonts w:ascii="Arial" w:hAnsi="Arial" w:cs="Arial"/>
                <w:b/>
                <w:color w:val="000000" w:themeColor="text1"/>
                <w:sz w:val="18"/>
                <w:szCs w:val="18"/>
              </w:rPr>
              <w:t>State Peak Load, %</w:t>
            </w:r>
          </w:p>
        </w:tc>
        <w:tc>
          <w:tcPr>
            <w:tcW w:w="1250" w:type="dxa"/>
            <w:shd w:val="clear" w:color="auto" w:fill="FBCE76" w:themeFill="background2" w:themeFillTint="99"/>
            <w:tcMar>
              <w:top w:w="58" w:type="dxa"/>
              <w:bottom w:w="58" w:type="dxa"/>
            </w:tcMar>
          </w:tcPr>
          <w:p w:rsidR="003F3D84" w:rsidRPr="001865D7" w:rsidRDefault="000B40FA">
            <w:pPr>
              <w:keepNext/>
              <w:keepLines/>
              <w:spacing w:after="0"/>
              <w:cnfStyle w:val="000000010000"/>
              <w:rPr>
                <w:rFonts w:ascii="Arial" w:hAnsi="Arial" w:cs="Arial"/>
                <w:b/>
                <w:color w:val="000000" w:themeColor="text1"/>
                <w:sz w:val="18"/>
                <w:szCs w:val="18"/>
              </w:rPr>
            </w:pPr>
            <w:r w:rsidRPr="001865D7">
              <w:rPr>
                <w:rFonts w:ascii="Arial" w:hAnsi="Arial" w:cs="Arial"/>
                <w:b/>
                <w:color w:val="000000" w:themeColor="text1"/>
                <w:sz w:val="18"/>
                <w:szCs w:val="18"/>
              </w:rPr>
              <w:t>MW</w:t>
            </w:r>
          </w:p>
        </w:tc>
        <w:tc>
          <w:tcPr>
            <w:tcW w:w="1217" w:type="dxa"/>
            <w:shd w:val="clear" w:color="auto" w:fill="FBCE76" w:themeFill="background2" w:themeFillTint="99"/>
            <w:tcMar>
              <w:top w:w="58" w:type="dxa"/>
              <w:bottom w:w="58" w:type="dxa"/>
            </w:tcMar>
          </w:tcPr>
          <w:p w:rsidR="003F3D84" w:rsidRPr="001865D7" w:rsidRDefault="000B40FA">
            <w:pPr>
              <w:keepNext/>
              <w:keepLines/>
              <w:spacing w:after="0"/>
              <w:cnfStyle w:val="000000010000"/>
              <w:rPr>
                <w:rFonts w:ascii="Arial" w:hAnsi="Arial" w:cs="Arial"/>
                <w:b/>
                <w:color w:val="000000" w:themeColor="text1"/>
                <w:sz w:val="18"/>
                <w:szCs w:val="18"/>
              </w:rPr>
            </w:pPr>
            <w:r w:rsidRPr="001865D7">
              <w:rPr>
                <w:rFonts w:ascii="Arial" w:hAnsi="Arial" w:cs="Arial"/>
                <w:b/>
                <w:color w:val="000000" w:themeColor="text1"/>
                <w:sz w:val="18"/>
                <w:szCs w:val="18"/>
              </w:rPr>
              <w:t>State Peak Load, %</w:t>
            </w:r>
          </w:p>
        </w:tc>
      </w:tr>
      <w:tr w:rsidR="0034080E" w:rsidRPr="003E31BE" w:rsidTr="001D6E94">
        <w:trPr>
          <w:cnfStyle w:val="000000100000"/>
        </w:trPr>
        <w:tc>
          <w:tcPr>
            <w:cnfStyle w:val="001000000000"/>
            <w:tcW w:w="1778" w:type="dxa"/>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CT</w:t>
            </w:r>
          </w:p>
        </w:tc>
        <w:tc>
          <w:tcPr>
            <w:tcW w:w="2590" w:type="dxa"/>
            <w:noWrap/>
            <w:tcMar>
              <w:top w:w="58" w:type="dxa"/>
              <w:bottom w:w="58" w:type="dxa"/>
            </w:tcMar>
          </w:tcPr>
          <w:p w:rsidR="003F3D84" w:rsidRPr="001865D7" w:rsidRDefault="0034080E">
            <w:pPr>
              <w:keepNext/>
              <w:keepLines/>
              <w:spacing w:after="0"/>
              <w:cnfStyle w:val="000000100000"/>
              <w:rPr>
                <w:rFonts w:ascii="Arial" w:hAnsi="Arial" w:cs="Arial"/>
                <w:color w:val="000000" w:themeColor="text1"/>
                <w:sz w:val="18"/>
                <w:szCs w:val="18"/>
              </w:rPr>
            </w:pPr>
            <w:r w:rsidRPr="001865D7">
              <w:rPr>
                <w:rFonts w:ascii="Arial" w:hAnsi="Arial" w:cs="Arial"/>
                <w:color w:val="000000" w:themeColor="text1"/>
                <w:sz w:val="18"/>
                <w:szCs w:val="18"/>
              </w:rPr>
              <w:t>Connecticut</w:t>
            </w:r>
          </w:p>
        </w:tc>
        <w:tc>
          <w:tcPr>
            <w:tcW w:w="1308"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7,240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c>
          <w:tcPr>
            <w:tcW w:w="1250"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7,865</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r>
      <w:tr w:rsidR="0034080E" w:rsidRPr="003E31BE" w:rsidTr="001D6E94">
        <w:trPr>
          <w:cnfStyle w:val="000000010000"/>
        </w:trPr>
        <w:tc>
          <w:tcPr>
            <w:cnfStyle w:val="001000000000"/>
            <w:tcW w:w="1778" w:type="dxa"/>
            <w:shd w:val="clear" w:color="auto" w:fill="FDEED1" w:themeFill="background2" w:themeFillTint="33"/>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ME</w:t>
            </w:r>
          </w:p>
        </w:tc>
        <w:tc>
          <w:tcPr>
            <w:tcW w:w="2590" w:type="dxa"/>
            <w:shd w:val="clear" w:color="auto" w:fill="FDEED1" w:themeFill="background2" w:themeFillTint="33"/>
            <w:noWrap/>
            <w:tcMar>
              <w:top w:w="58" w:type="dxa"/>
              <w:bottom w:w="58" w:type="dxa"/>
            </w:tcMar>
          </w:tcPr>
          <w:p w:rsidR="003F3D84" w:rsidRPr="001865D7" w:rsidRDefault="007A49FE" w:rsidP="007A49FE">
            <w:pPr>
              <w:keepNext/>
              <w:keepLines/>
              <w:spacing w:after="0"/>
              <w:cnfStyle w:val="000000010000"/>
              <w:rPr>
                <w:rFonts w:ascii="Arial" w:hAnsi="Arial" w:cs="Arial"/>
                <w:color w:val="000000" w:themeColor="text1"/>
                <w:sz w:val="18"/>
                <w:szCs w:val="18"/>
              </w:rPr>
            </w:pPr>
            <w:r>
              <w:rPr>
                <w:rFonts w:ascii="Arial" w:hAnsi="Arial" w:cs="Arial"/>
                <w:color w:val="000000" w:themeColor="text1"/>
                <w:sz w:val="18"/>
                <w:szCs w:val="18"/>
              </w:rPr>
              <w:t>Maine</w:t>
            </w:r>
          </w:p>
        </w:tc>
        <w:tc>
          <w:tcPr>
            <w:tcW w:w="1308"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2,030</w:t>
            </w:r>
          </w:p>
        </w:tc>
        <w:tc>
          <w:tcPr>
            <w:tcW w:w="1217"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100</w:t>
            </w:r>
          </w:p>
        </w:tc>
        <w:tc>
          <w:tcPr>
            <w:tcW w:w="1250"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2,165</w:t>
            </w:r>
          </w:p>
        </w:tc>
        <w:tc>
          <w:tcPr>
            <w:tcW w:w="1217"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100</w:t>
            </w:r>
          </w:p>
        </w:tc>
      </w:tr>
      <w:tr w:rsidR="0034080E" w:rsidRPr="003E31BE" w:rsidTr="001D6E94">
        <w:trPr>
          <w:cnfStyle w:val="000000100000"/>
        </w:trPr>
        <w:tc>
          <w:tcPr>
            <w:cnfStyle w:val="001000000000"/>
            <w:tcW w:w="1778" w:type="dxa"/>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NEMA/Boston</w:t>
            </w:r>
          </w:p>
        </w:tc>
        <w:tc>
          <w:tcPr>
            <w:tcW w:w="2590" w:type="dxa"/>
            <w:vMerge w:val="restart"/>
            <w:noWrap/>
            <w:tcMar>
              <w:top w:w="58" w:type="dxa"/>
              <w:bottom w:w="58" w:type="dxa"/>
            </w:tcMar>
          </w:tcPr>
          <w:p w:rsidR="003F3D84" w:rsidRPr="001865D7" w:rsidRDefault="0034080E">
            <w:pPr>
              <w:keepNext/>
              <w:keepLines/>
              <w:spacing w:after="0"/>
              <w:cnfStyle w:val="000000100000"/>
              <w:rPr>
                <w:rFonts w:ascii="Arial" w:hAnsi="Arial" w:cs="Arial"/>
                <w:color w:val="000000" w:themeColor="text1"/>
                <w:sz w:val="18"/>
                <w:szCs w:val="18"/>
              </w:rPr>
            </w:pPr>
            <w:r w:rsidRPr="001865D7">
              <w:rPr>
                <w:rFonts w:ascii="Arial" w:hAnsi="Arial" w:cs="Arial"/>
                <w:color w:val="000000" w:themeColor="text1"/>
                <w:sz w:val="18"/>
                <w:szCs w:val="18"/>
              </w:rPr>
              <w:t>Massachusetts</w:t>
            </w:r>
          </w:p>
        </w:tc>
        <w:tc>
          <w:tcPr>
            <w:tcW w:w="1308"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5,485</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43</w:t>
            </w:r>
          </w:p>
        </w:tc>
        <w:tc>
          <w:tcPr>
            <w:tcW w:w="1250"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5,895</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43</w:t>
            </w:r>
          </w:p>
        </w:tc>
      </w:tr>
      <w:tr w:rsidR="0034080E" w:rsidRPr="003E31BE" w:rsidTr="001D6E94">
        <w:trPr>
          <w:cnfStyle w:val="000000010000"/>
        </w:trPr>
        <w:tc>
          <w:tcPr>
            <w:cnfStyle w:val="001000000000"/>
            <w:tcW w:w="1778" w:type="dxa"/>
            <w:shd w:val="clear" w:color="auto" w:fill="auto"/>
            <w:noWrap/>
            <w:tcMar>
              <w:top w:w="58" w:type="dxa"/>
              <w:bottom w:w="58" w:type="dxa"/>
            </w:tcMar>
          </w:tcPr>
          <w:p w:rsidR="00F056BC" w:rsidRPr="001865D7" w:rsidRDefault="0034080E">
            <w:pPr>
              <w:keepNext/>
              <w:keepLines/>
              <w:spacing w:after="0"/>
              <w:rPr>
                <w:rFonts w:ascii="Arial" w:eastAsiaTheme="majorEastAsia" w:hAnsi="Arial" w:cs="Arial"/>
                <w:b w:val="0"/>
                <w:bCs w:val="0"/>
                <w:color w:val="000000" w:themeColor="text1"/>
                <w:sz w:val="18"/>
                <w:szCs w:val="18"/>
              </w:rPr>
            </w:pPr>
            <w:smartTag w:uri="urn:schemas-microsoft-com:office:smarttags" w:element="stockticker">
              <w:r w:rsidRPr="001865D7">
                <w:rPr>
                  <w:rFonts w:ascii="Arial" w:hAnsi="Arial" w:cs="Arial"/>
                  <w:color w:val="000000" w:themeColor="text1"/>
                  <w:sz w:val="18"/>
                  <w:szCs w:val="18"/>
                </w:rPr>
                <w:t>SEMA</w:t>
              </w:r>
            </w:smartTag>
          </w:p>
        </w:tc>
        <w:tc>
          <w:tcPr>
            <w:tcW w:w="2590" w:type="dxa"/>
            <w:vMerge/>
            <w:shd w:val="clear" w:color="auto" w:fill="auto"/>
            <w:tcMar>
              <w:top w:w="58" w:type="dxa"/>
              <w:bottom w:w="58" w:type="dxa"/>
            </w:tcMar>
          </w:tcPr>
          <w:p w:rsidR="003F3D84" w:rsidRPr="001865D7" w:rsidRDefault="003F3D84">
            <w:pPr>
              <w:keepNext/>
              <w:keepLines/>
              <w:spacing w:after="0"/>
              <w:cnfStyle w:val="000000010000"/>
              <w:rPr>
                <w:rFonts w:ascii="Arial" w:hAnsi="Arial" w:cs="Arial"/>
                <w:color w:val="000000" w:themeColor="text1"/>
                <w:sz w:val="18"/>
                <w:szCs w:val="18"/>
              </w:rPr>
            </w:pPr>
          </w:p>
        </w:tc>
        <w:tc>
          <w:tcPr>
            <w:tcW w:w="1308" w:type="dxa"/>
            <w:shd w:val="clear" w:color="auto" w:fill="auto"/>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3,550</w:t>
            </w:r>
          </w:p>
        </w:tc>
        <w:tc>
          <w:tcPr>
            <w:tcW w:w="1217" w:type="dxa"/>
            <w:shd w:val="clear" w:color="auto" w:fill="auto"/>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28</w:t>
            </w:r>
          </w:p>
        </w:tc>
        <w:tc>
          <w:tcPr>
            <w:tcW w:w="1250" w:type="dxa"/>
            <w:shd w:val="clear" w:color="auto" w:fill="auto"/>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3,810</w:t>
            </w:r>
          </w:p>
        </w:tc>
        <w:tc>
          <w:tcPr>
            <w:tcW w:w="1217" w:type="dxa"/>
            <w:shd w:val="clear" w:color="auto" w:fill="auto"/>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28</w:t>
            </w:r>
          </w:p>
        </w:tc>
      </w:tr>
      <w:tr w:rsidR="0034080E" w:rsidRPr="003E31BE" w:rsidTr="001D6E94">
        <w:trPr>
          <w:cnfStyle w:val="000000100000"/>
        </w:trPr>
        <w:tc>
          <w:tcPr>
            <w:cnfStyle w:val="001000000000"/>
            <w:tcW w:w="1778" w:type="dxa"/>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WCMA</w:t>
            </w:r>
          </w:p>
        </w:tc>
        <w:tc>
          <w:tcPr>
            <w:tcW w:w="2590" w:type="dxa"/>
            <w:vMerge/>
            <w:tcMar>
              <w:top w:w="58" w:type="dxa"/>
              <w:bottom w:w="58" w:type="dxa"/>
            </w:tcMar>
          </w:tcPr>
          <w:p w:rsidR="003F3D84" w:rsidRPr="001865D7" w:rsidRDefault="003F3D84">
            <w:pPr>
              <w:keepNext/>
              <w:keepLines/>
              <w:spacing w:after="0"/>
              <w:cnfStyle w:val="000000100000"/>
              <w:rPr>
                <w:rFonts w:ascii="Arial" w:hAnsi="Arial" w:cs="Arial"/>
                <w:color w:val="000000" w:themeColor="text1"/>
                <w:sz w:val="18"/>
                <w:szCs w:val="18"/>
              </w:rPr>
            </w:pPr>
          </w:p>
        </w:tc>
        <w:tc>
          <w:tcPr>
            <w:tcW w:w="1308"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3,590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28</w:t>
            </w:r>
          </w:p>
        </w:tc>
        <w:tc>
          <w:tcPr>
            <w:tcW w:w="1250"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3,855</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28</w:t>
            </w:r>
          </w:p>
        </w:tc>
      </w:tr>
      <w:tr w:rsidR="0034080E" w:rsidRPr="003E31BE" w:rsidTr="001D6E94">
        <w:trPr>
          <w:cnfStyle w:val="000000010000"/>
        </w:trPr>
        <w:tc>
          <w:tcPr>
            <w:cnfStyle w:val="001000000000"/>
            <w:tcW w:w="4368" w:type="dxa"/>
            <w:gridSpan w:val="2"/>
            <w:shd w:val="clear" w:color="auto" w:fill="FDEED1" w:themeFill="background2" w:themeFillTint="33"/>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Massachusetts subtotal</w:t>
            </w:r>
          </w:p>
        </w:tc>
        <w:tc>
          <w:tcPr>
            <w:tcW w:w="1308"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12,620</w:t>
            </w:r>
          </w:p>
        </w:tc>
        <w:tc>
          <w:tcPr>
            <w:tcW w:w="1217" w:type="dxa"/>
            <w:shd w:val="clear" w:color="auto" w:fill="FDEED1" w:themeFill="background2" w:themeFillTint="33"/>
            <w:noWrap/>
            <w:tcMar>
              <w:top w:w="58" w:type="dxa"/>
              <w:bottom w:w="58" w:type="dxa"/>
              <w:right w:w="360" w:type="dxa"/>
            </w:tcMar>
          </w:tcPr>
          <w:p w:rsidR="00F056BC" w:rsidRPr="001865D7" w:rsidRDefault="00F056BC">
            <w:pPr>
              <w:keepNext/>
              <w:keepLines/>
              <w:spacing w:after="0"/>
              <w:jc w:val="right"/>
              <w:cnfStyle w:val="000000010000"/>
              <w:rPr>
                <w:rFonts w:ascii="Arial" w:eastAsia="Times New Roman" w:hAnsi="Arial" w:cs="Arial"/>
                <w:b/>
                <w:bCs/>
                <w:iCs/>
                <w:color w:val="000000" w:themeColor="text1"/>
                <w:sz w:val="18"/>
                <w:szCs w:val="18"/>
              </w:rPr>
            </w:pPr>
          </w:p>
        </w:tc>
        <w:tc>
          <w:tcPr>
            <w:tcW w:w="1250"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13,555</w:t>
            </w:r>
          </w:p>
        </w:tc>
        <w:tc>
          <w:tcPr>
            <w:tcW w:w="1217" w:type="dxa"/>
            <w:shd w:val="clear" w:color="auto" w:fill="FDEED1" w:themeFill="background2" w:themeFillTint="33"/>
            <w:noWrap/>
            <w:tcMar>
              <w:top w:w="58" w:type="dxa"/>
              <w:bottom w:w="58" w:type="dxa"/>
              <w:right w:w="360" w:type="dxa"/>
            </w:tcMar>
          </w:tcPr>
          <w:p w:rsidR="00F056BC" w:rsidRPr="001865D7" w:rsidRDefault="00F056BC">
            <w:pPr>
              <w:keepNext/>
              <w:keepLines/>
              <w:spacing w:after="0"/>
              <w:jc w:val="right"/>
              <w:cnfStyle w:val="000000010000"/>
              <w:rPr>
                <w:rFonts w:ascii="Arial" w:eastAsia="Times New Roman" w:hAnsi="Arial" w:cs="Arial"/>
                <w:b/>
                <w:bCs/>
                <w:iCs/>
                <w:color w:val="000000" w:themeColor="text1"/>
                <w:sz w:val="18"/>
                <w:szCs w:val="18"/>
              </w:rPr>
            </w:pPr>
          </w:p>
        </w:tc>
      </w:tr>
      <w:tr w:rsidR="0034080E" w:rsidRPr="003E31BE" w:rsidTr="001D6E94">
        <w:trPr>
          <w:cnfStyle w:val="000000100000"/>
        </w:trPr>
        <w:tc>
          <w:tcPr>
            <w:cnfStyle w:val="001000000000"/>
            <w:tcW w:w="1778" w:type="dxa"/>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NH</w:t>
            </w:r>
          </w:p>
        </w:tc>
        <w:tc>
          <w:tcPr>
            <w:tcW w:w="2590" w:type="dxa"/>
            <w:noWrap/>
            <w:tcMar>
              <w:top w:w="58" w:type="dxa"/>
              <w:bottom w:w="58" w:type="dxa"/>
            </w:tcMar>
          </w:tcPr>
          <w:p w:rsidR="003F3D84" w:rsidRPr="001865D7" w:rsidRDefault="0034080E">
            <w:pPr>
              <w:keepNext/>
              <w:keepLines/>
              <w:spacing w:after="0"/>
              <w:cnfStyle w:val="000000100000"/>
              <w:rPr>
                <w:rFonts w:ascii="Arial" w:hAnsi="Arial" w:cs="Arial"/>
                <w:color w:val="000000" w:themeColor="text1"/>
                <w:sz w:val="18"/>
                <w:szCs w:val="18"/>
              </w:rPr>
            </w:pPr>
            <w:r w:rsidRPr="001865D7">
              <w:rPr>
                <w:rFonts w:ascii="Arial" w:hAnsi="Arial" w:cs="Arial"/>
                <w:color w:val="000000" w:themeColor="text1"/>
                <w:sz w:val="18"/>
                <w:szCs w:val="18"/>
              </w:rPr>
              <w:t>New Hampshire</w:t>
            </w:r>
          </w:p>
        </w:tc>
        <w:tc>
          <w:tcPr>
            <w:tcW w:w="1308"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2,410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c>
          <w:tcPr>
            <w:tcW w:w="1250"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2,590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r>
      <w:tr w:rsidR="0034080E" w:rsidRPr="003E31BE" w:rsidTr="001D6E94">
        <w:trPr>
          <w:cnfStyle w:val="000000010000"/>
        </w:trPr>
        <w:tc>
          <w:tcPr>
            <w:cnfStyle w:val="001000000000"/>
            <w:tcW w:w="1778" w:type="dxa"/>
            <w:shd w:val="clear" w:color="auto" w:fill="FDEED1" w:themeFill="background2" w:themeFillTint="33"/>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RI</w:t>
            </w:r>
          </w:p>
        </w:tc>
        <w:tc>
          <w:tcPr>
            <w:tcW w:w="2590" w:type="dxa"/>
            <w:shd w:val="clear" w:color="auto" w:fill="FDEED1" w:themeFill="background2" w:themeFillTint="33"/>
            <w:noWrap/>
            <w:tcMar>
              <w:top w:w="58" w:type="dxa"/>
              <w:bottom w:w="58" w:type="dxa"/>
            </w:tcMar>
          </w:tcPr>
          <w:p w:rsidR="003F3D84" w:rsidRPr="001865D7" w:rsidRDefault="0034080E">
            <w:pPr>
              <w:keepNext/>
              <w:keepLines/>
              <w:spacing w:after="0"/>
              <w:cnfStyle w:val="000000010000"/>
              <w:rPr>
                <w:rFonts w:ascii="Arial" w:hAnsi="Arial" w:cs="Arial"/>
                <w:color w:val="000000" w:themeColor="text1"/>
                <w:sz w:val="18"/>
                <w:szCs w:val="18"/>
              </w:rPr>
            </w:pPr>
            <w:r w:rsidRPr="001865D7">
              <w:rPr>
                <w:rFonts w:ascii="Arial" w:hAnsi="Arial" w:cs="Arial"/>
                <w:color w:val="000000" w:themeColor="text1"/>
                <w:sz w:val="18"/>
                <w:szCs w:val="18"/>
              </w:rPr>
              <w:t>Rhode Island</w:t>
            </w:r>
          </w:p>
        </w:tc>
        <w:tc>
          <w:tcPr>
            <w:tcW w:w="1308"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1,825</w:t>
            </w:r>
          </w:p>
        </w:tc>
        <w:tc>
          <w:tcPr>
            <w:tcW w:w="1217"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100</w:t>
            </w:r>
          </w:p>
        </w:tc>
        <w:tc>
          <w:tcPr>
            <w:tcW w:w="1250"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2,035</w:t>
            </w:r>
          </w:p>
        </w:tc>
        <w:tc>
          <w:tcPr>
            <w:tcW w:w="1217" w:type="dxa"/>
            <w:shd w:val="clear" w:color="auto" w:fill="FDEED1" w:themeFill="background2" w:themeFillTint="33"/>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100</w:t>
            </w:r>
          </w:p>
        </w:tc>
      </w:tr>
      <w:tr w:rsidR="0034080E" w:rsidRPr="003E31BE" w:rsidTr="001D6E94">
        <w:trPr>
          <w:cnfStyle w:val="000000100000"/>
        </w:trPr>
        <w:tc>
          <w:tcPr>
            <w:cnfStyle w:val="001000000000"/>
            <w:tcW w:w="1778" w:type="dxa"/>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VT</w:t>
            </w:r>
          </w:p>
        </w:tc>
        <w:tc>
          <w:tcPr>
            <w:tcW w:w="2590" w:type="dxa"/>
            <w:noWrap/>
            <w:tcMar>
              <w:top w:w="58" w:type="dxa"/>
              <w:bottom w:w="58" w:type="dxa"/>
            </w:tcMar>
          </w:tcPr>
          <w:p w:rsidR="003F3D84" w:rsidRPr="001865D7" w:rsidRDefault="0034080E">
            <w:pPr>
              <w:keepNext/>
              <w:keepLines/>
              <w:spacing w:after="0"/>
              <w:cnfStyle w:val="000000100000"/>
              <w:rPr>
                <w:rFonts w:ascii="Arial" w:hAnsi="Arial" w:cs="Arial"/>
                <w:color w:val="000000" w:themeColor="text1"/>
                <w:sz w:val="18"/>
                <w:szCs w:val="18"/>
              </w:rPr>
            </w:pPr>
            <w:r w:rsidRPr="001865D7">
              <w:rPr>
                <w:rFonts w:ascii="Arial" w:hAnsi="Arial" w:cs="Arial"/>
                <w:color w:val="000000" w:themeColor="text1"/>
                <w:sz w:val="18"/>
                <w:szCs w:val="18"/>
              </w:rPr>
              <w:t>Vermont</w:t>
            </w:r>
          </w:p>
        </w:tc>
        <w:tc>
          <w:tcPr>
            <w:tcW w:w="1308"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1,060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c>
          <w:tcPr>
            <w:tcW w:w="1250"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1,100</w:t>
            </w:r>
          </w:p>
        </w:tc>
        <w:tc>
          <w:tcPr>
            <w:tcW w:w="1217" w:type="dxa"/>
            <w:noWrap/>
            <w:tcMar>
              <w:top w:w="58" w:type="dxa"/>
              <w:bottom w:w="58" w:type="dxa"/>
              <w:right w:w="360" w:type="dxa"/>
            </w:tcMar>
          </w:tcPr>
          <w:p w:rsidR="00F056BC" w:rsidRPr="001865D7" w:rsidRDefault="0034080E">
            <w:pPr>
              <w:keepNext/>
              <w:keepLines/>
              <w:spacing w:after="0"/>
              <w:jc w:val="right"/>
              <w:cnfStyle w:val="000000100000"/>
              <w:rPr>
                <w:rFonts w:ascii="Arial" w:hAnsi="Arial" w:cs="Arial"/>
                <w:color w:val="000000" w:themeColor="text1"/>
                <w:sz w:val="18"/>
                <w:szCs w:val="18"/>
              </w:rPr>
            </w:pPr>
            <w:r w:rsidRPr="001865D7">
              <w:rPr>
                <w:rFonts w:ascii="Arial" w:hAnsi="Arial" w:cs="Arial"/>
                <w:color w:val="000000" w:themeColor="text1"/>
                <w:sz w:val="18"/>
                <w:szCs w:val="18"/>
              </w:rPr>
              <w:t>100</w:t>
            </w:r>
          </w:p>
        </w:tc>
      </w:tr>
      <w:tr w:rsidR="00F056BC" w:rsidRPr="003E31BE" w:rsidTr="001D6E94">
        <w:trPr>
          <w:cnfStyle w:val="000000010000"/>
        </w:trPr>
        <w:tc>
          <w:tcPr>
            <w:cnfStyle w:val="001000000000"/>
            <w:tcW w:w="4368" w:type="dxa"/>
            <w:gridSpan w:val="2"/>
            <w:shd w:val="clear" w:color="auto" w:fill="FBCE76" w:themeFill="background2" w:themeFillTint="99"/>
            <w:noWrap/>
            <w:tcMar>
              <w:top w:w="58" w:type="dxa"/>
              <w:bottom w:w="58" w:type="dxa"/>
            </w:tcMar>
          </w:tcPr>
          <w:p w:rsidR="00F056BC" w:rsidRPr="001865D7" w:rsidRDefault="0034080E">
            <w:pPr>
              <w:keepNext/>
              <w:keepLines/>
              <w:spacing w:after="0"/>
              <w:rPr>
                <w:rFonts w:ascii="Arial" w:hAnsi="Arial" w:cs="Arial"/>
                <w:b w:val="0"/>
                <w:bCs w:val="0"/>
                <w:color w:val="000000" w:themeColor="text1"/>
                <w:sz w:val="18"/>
                <w:szCs w:val="18"/>
              </w:rPr>
            </w:pPr>
            <w:r w:rsidRPr="001865D7">
              <w:rPr>
                <w:rFonts w:ascii="Arial" w:hAnsi="Arial" w:cs="Arial"/>
                <w:color w:val="000000" w:themeColor="text1"/>
                <w:sz w:val="18"/>
                <w:szCs w:val="18"/>
              </w:rPr>
              <w:t>Total</w:t>
            </w:r>
            <w:r w:rsidR="000F0832" w:rsidRPr="000F0832">
              <w:rPr>
                <w:rFonts w:ascii="Arial" w:hAnsi="Arial" w:cs="Arial"/>
                <w:color w:val="000000" w:themeColor="text1"/>
                <w:sz w:val="18"/>
                <w:szCs w:val="18"/>
                <w:vertAlign w:val="superscript"/>
              </w:rPr>
              <w:t>(b)</w:t>
            </w:r>
          </w:p>
        </w:tc>
        <w:tc>
          <w:tcPr>
            <w:tcW w:w="1308" w:type="dxa"/>
            <w:shd w:val="clear" w:color="auto" w:fill="FBCE76" w:themeFill="background2" w:themeFillTint="99"/>
            <w:noWrap/>
            <w:tcMar>
              <w:top w:w="58" w:type="dxa"/>
              <w:left w:w="0"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27,190</w:t>
            </w:r>
          </w:p>
        </w:tc>
        <w:tc>
          <w:tcPr>
            <w:tcW w:w="1217" w:type="dxa"/>
            <w:shd w:val="clear" w:color="auto" w:fill="FBCE76" w:themeFill="background2" w:themeFillTint="99"/>
            <w:noWrap/>
            <w:tcMar>
              <w:top w:w="58" w:type="dxa"/>
              <w:left w:w="0" w:type="dxa"/>
              <w:bottom w:w="58" w:type="dxa"/>
              <w:right w:w="360" w:type="dxa"/>
            </w:tcMar>
          </w:tcPr>
          <w:p w:rsidR="00F056BC" w:rsidRPr="001865D7" w:rsidRDefault="00F056BC">
            <w:pPr>
              <w:keepNext/>
              <w:keepLines/>
              <w:spacing w:after="0"/>
              <w:jc w:val="right"/>
              <w:cnfStyle w:val="000000010000"/>
              <w:rPr>
                <w:rFonts w:ascii="Arial" w:eastAsia="Times New Roman" w:hAnsi="Arial" w:cs="Arial"/>
                <w:b/>
                <w:bCs/>
                <w:iCs/>
                <w:color w:val="000000" w:themeColor="text1"/>
                <w:sz w:val="18"/>
                <w:szCs w:val="18"/>
              </w:rPr>
            </w:pPr>
          </w:p>
        </w:tc>
        <w:tc>
          <w:tcPr>
            <w:tcW w:w="1250" w:type="dxa"/>
            <w:shd w:val="clear" w:color="auto" w:fill="FBCE76" w:themeFill="background2" w:themeFillTint="99"/>
            <w:noWrap/>
            <w:tcMar>
              <w:top w:w="58" w:type="dxa"/>
              <w:bottom w:w="58" w:type="dxa"/>
              <w:right w:w="360" w:type="dxa"/>
            </w:tcMar>
          </w:tcPr>
          <w:p w:rsidR="00F056BC" w:rsidRPr="001865D7" w:rsidRDefault="0034080E">
            <w:pPr>
              <w:keepNext/>
              <w:keepLines/>
              <w:spacing w:after="0"/>
              <w:jc w:val="right"/>
              <w:cnfStyle w:val="000000010000"/>
              <w:rPr>
                <w:rFonts w:ascii="Arial" w:hAnsi="Arial" w:cs="Arial"/>
                <w:color w:val="000000" w:themeColor="text1"/>
                <w:sz w:val="18"/>
                <w:szCs w:val="18"/>
              </w:rPr>
            </w:pPr>
            <w:r w:rsidRPr="001865D7">
              <w:rPr>
                <w:rFonts w:ascii="Arial" w:hAnsi="Arial" w:cs="Arial"/>
                <w:color w:val="000000" w:themeColor="text1"/>
                <w:sz w:val="18"/>
                <w:szCs w:val="18"/>
              </w:rPr>
              <w:t>29,315</w:t>
            </w:r>
          </w:p>
        </w:tc>
        <w:tc>
          <w:tcPr>
            <w:tcW w:w="1217" w:type="dxa"/>
            <w:shd w:val="clear" w:color="auto" w:fill="FBCE76" w:themeFill="background2" w:themeFillTint="99"/>
            <w:noWrap/>
            <w:tcMar>
              <w:top w:w="58" w:type="dxa"/>
              <w:bottom w:w="58" w:type="dxa"/>
              <w:right w:w="360" w:type="dxa"/>
            </w:tcMar>
          </w:tcPr>
          <w:p w:rsidR="00F056BC" w:rsidRPr="001865D7" w:rsidRDefault="00F056BC">
            <w:pPr>
              <w:keepNext/>
              <w:keepLines/>
              <w:spacing w:after="0"/>
              <w:jc w:val="right"/>
              <w:cnfStyle w:val="000000010000"/>
              <w:rPr>
                <w:rFonts w:ascii="Arial" w:eastAsia="Times New Roman" w:hAnsi="Arial" w:cs="Arial"/>
                <w:b/>
                <w:bCs/>
                <w:iCs/>
                <w:color w:val="000000" w:themeColor="text1"/>
                <w:sz w:val="18"/>
                <w:szCs w:val="18"/>
              </w:rPr>
            </w:pPr>
          </w:p>
        </w:tc>
      </w:tr>
    </w:tbl>
    <w:p w:rsidR="00C73E33" w:rsidRDefault="0036324B" w:rsidP="000F0832">
      <w:pPr>
        <w:pStyle w:val="ListParagraph"/>
        <w:numPr>
          <w:ilvl w:val="0"/>
          <w:numId w:val="0"/>
        </w:numPr>
        <w:spacing w:after="80"/>
        <w:ind w:left="274" w:right="-86" w:hanging="274"/>
        <w:contextualSpacing w:val="0"/>
        <w:rPr>
          <w:rFonts w:ascii="Arial" w:hAnsi="Arial" w:cs="Arial"/>
          <w:bCs/>
          <w:sz w:val="16"/>
          <w:szCs w:val="16"/>
        </w:rPr>
      </w:pPr>
      <w:r>
        <w:rPr>
          <w:rFonts w:ascii="Arial" w:hAnsi="Arial" w:cs="Arial"/>
          <w:sz w:val="16"/>
          <w:szCs w:val="16"/>
        </w:rPr>
        <w:t xml:space="preserve">(a) </w:t>
      </w:r>
      <w:r w:rsidR="0034080E" w:rsidRPr="00D66C7F">
        <w:rPr>
          <w:rFonts w:ascii="Arial" w:hAnsi="Arial" w:cs="Arial"/>
          <w:sz w:val="16"/>
          <w:szCs w:val="16"/>
        </w:rPr>
        <w:t>The total load-zone projections are similar to the state load projections and are available at the ISO’s “2010 Forecast Data File;</w:t>
      </w:r>
      <w:r w:rsidR="00BB6712">
        <w:rPr>
          <w:rFonts w:ascii="Arial" w:hAnsi="Arial" w:cs="Arial"/>
          <w:sz w:val="16"/>
          <w:szCs w:val="16"/>
        </w:rPr>
        <w:t>”</w:t>
      </w:r>
      <w:r w:rsidR="0034080E" w:rsidRPr="00D66C7F">
        <w:rPr>
          <w:rFonts w:ascii="Arial" w:hAnsi="Arial" w:cs="Arial"/>
          <w:sz w:val="16"/>
          <w:szCs w:val="16"/>
        </w:rPr>
        <w:t xml:space="preserve"> http://www.iso-ne.com/trans/celt/fsct_detail/index.html; tab #2, “</w:t>
      </w:r>
      <w:r w:rsidR="0034080E" w:rsidRPr="00D66C7F">
        <w:rPr>
          <w:rFonts w:ascii="Arial" w:hAnsi="Arial" w:cs="Arial"/>
          <w:bCs/>
          <w:sz w:val="16"/>
          <w:szCs w:val="16"/>
        </w:rPr>
        <w:t>ISO-NE Control Area, States, Regional System Plan (RSP10) Subareas and SMD Load Zones Energy and Seasonal Peak-Load Forecast.”</w:t>
      </w:r>
    </w:p>
    <w:p w:rsidR="000F0832" w:rsidRDefault="000F0832" w:rsidP="000F0832">
      <w:pPr>
        <w:pStyle w:val="ListParagraph"/>
        <w:numPr>
          <w:ilvl w:val="0"/>
          <w:numId w:val="0"/>
        </w:numPr>
        <w:spacing w:before="0" w:after="0"/>
        <w:ind w:left="274" w:right="-86" w:hanging="274"/>
        <w:contextualSpacing w:val="0"/>
      </w:pPr>
      <w:r>
        <w:rPr>
          <w:rFonts w:ascii="Arial" w:hAnsi="Arial" w:cs="Arial"/>
          <w:bCs/>
          <w:sz w:val="16"/>
          <w:szCs w:val="16"/>
        </w:rPr>
        <w:t>(b) Totals may not add because of rounding</w:t>
      </w:r>
      <w:r w:rsidR="00E1670A">
        <w:rPr>
          <w:rFonts w:ascii="Arial" w:hAnsi="Arial" w:cs="Arial"/>
          <w:bCs/>
          <w:sz w:val="16"/>
          <w:szCs w:val="16"/>
        </w:rPr>
        <w:t xml:space="preserve"> and may not exactly match the results for other tables in this section</w:t>
      </w:r>
      <w:r>
        <w:rPr>
          <w:rFonts w:ascii="Arial" w:hAnsi="Arial" w:cs="Arial"/>
          <w:bCs/>
          <w:sz w:val="16"/>
          <w:szCs w:val="16"/>
        </w:rPr>
        <w:t>.</w:t>
      </w:r>
    </w:p>
    <w:p w:rsidR="0034080E" w:rsidRDefault="0034080E" w:rsidP="00E209F8">
      <w:pPr>
        <w:pStyle w:val="Caption"/>
      </w:pPr>
      <w:bookmarkStart w:id="148" w:name="_Ref201978189"/>
      <w:bookmarkStart w:id="149" w:name="_Toc207531966"/>
      <w:bookmarkStart w:id="150" w:name="_Toc239157214"/>
      <w:bookmarkStart w:id="151" w:name="_Toc271552401"/>
      <w:r w:rsidRPr="005A3E87">
        <w:t>Table </w:t>
      </w:r>
      <w:r w:rsidR="00832C7A">
        <w:fldChar w:fldCharType="begin"/>
      </w:r>
      <w:r w:rsidR="00B2406F">
        <w:instrText xml:space="preserve"> STYLEREF 1 \s </w:instrText>
      </w:r>
      <w:r w:rsidR="00832C7A">
        <w:fldChar w:fldCharType="separate"/>
      </w:r>
      <w:r w:rsidR="00E5699E">
        <w:rPr>
          <w:noProof/>
        </w:rPr>
        <w:t>3</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6</w:t>
      </w:r>
      <w:r w:rsidR="00832C7A">
        <w:fldChar w:fldCharType="end"/>
      </w:r>
      <w:bookmarkEnd w:id="148"/>
      <w:r>
        <w:br/>
      </w:r>
      <w:r w:rsidRPr="005A3E87">
        <w:t>Forecasts of Peak Use of Electric Energy for RSP Subareas</w:t>
      </w:r>
      <w:r w:rsidR="00D853ED">
        <w:t>, 2010</w:t>
      </w:r>
      <w:r w:rsidRPr="00836EC7">
        <w:rPr>
          <w:vertAlign w:val="superscript"/>
        </w:rPr>
        <w:t>(a)</w:t>
      </w:r>
      <w:bookmarkStart w:id="152" w:name="_Toc201669910"/>
      <w:bookmarkStart w:id="153" w:name="_Toc201670756"/>
      <w:bookmarkStart w:id="154" w:name="_Toc201671447"/>
      <w:bookmarkEnd w:id="149"/>
      <w:bookmarkEnd w:id="150"/>
      <w:bookmarkEnd w:id="151"/>
      <w:bookmarkEnd w:id="152"/>
      <w:bookmarkEnd w:id="153"/>
      <w:bookmarkEnd w:id="154"/>
    </w:p>
    <w:tbl>
      <w:tblPr>
        <w:tblStyle w:val="MediumShading1-Accent12"/>
        <w:tblW w:w="932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080"/>
      </w:tblPr>
      <w:tblGrid>
        <w:gridCol w:w="1143"/>
        <w:gridCol w:w="1081"/>
        <w:gridCol w:w="1582"/>
        <w:gridCol w:w="842"/>
        <w:gridCol w:w="1069"/>
        <w:gridCol w:w="911"/>
        <w:gridCol w:w="810"/>
        <w:gridCol w:w="900"/>
        <w:gridCol w:w="990"/>
      </w:tblGrid>
      <w:tr w:rsidR="0034080E" w:rsidRPr="00943F5E" w:rsidTr="005E3A82">
        <w:trPr>
          <w:cnfStyle w:val="000000100000"/>
          <w:trHeight w:val="246"/>
        </w:trPr>
        <w:tc>
          <w:tcPr>
            <w:cnfStyle w:val="001000000000"/>
            <w:tcW w:w="1143" w:type="dxa"/>
            <w:vMerge w:val="restart"/>
            <w:shd w:val="clear" w:color="auto" w:fill="FBCE76" w:themeFill="background2" w:themeFillTint="99"/>
            <w:noWrap/>
            <w:hideMark/>
          </w:tcPr>
          <w:p w:rsidR="00F056BC" w:rsidRDefault="00F056BC">
            <w:pPr>
              <w:keepNext/>
              <w:keepLines/>
              <w:spacing w:after="0"/>
              <w:jc w:val="center"/>
              <w:rPr>
                <w:rFonts w:ascii="Arial" w:hAnsi="Arial" w:cs="Arial"/>
                <w:b w:val="0"/>
                <w:bCs w:val="0"/>
                <w:sz w:val="16"/>
                <w:szCs w:val="16"/>
              </w:rPr>
            </w:pPr>
          </w:p>
          <w:p w:rsidR="00F056BC" w:rsidRDefault="0034080E">
            <w:pPr>
              <w:keepNext/>
              <w:keepLines/>
              <w:spacing w:after="0"/>
              <w:jc w:val="center"/>
              <w:rPr>
                <w:rFonts w:ascii="Arial" w:hAnsi="Arial" w:cs="Arial"/>
                <w:b w:val="0"/>
                <w:bCs w:val="0"/>
                <w:sz w:val="16"/>
                <w:szCs w:val="16"/>
              </w:rPr>
            </w:pPr>
            <w:r w:rsidRPr="0036324B">
              <w:rPr>
                <w:rFonts w:ascii="Arial" w:hAnsi="Arial" w:cs="Arial"/>
                <w:sz w:val="16"/>
                <w:szCs w:val="16"/>
              </w:rPr>
              <w:t>RSP Subarea</w:t>
            </w:r>
          </w:p>
        </w:tc>
        <w:tc>
          <w:tcPr>
            <w:cnfStyle w:val="000010000000"/>
            <w:tcW w:w="1081" w:type="dxa"/>
            <w:vMerge w:val="restart"/>
            <w:shd w:val="clear" w:color="auto" w:fill="FBCE76" w:themeFill="background2" w:themeFillTint="99"/>
            <w:noWrap/>
            <w:hideMark/>
          </w:tcPr>
          <w:p w:rsidR="00F158B9" w:rsidRDefault="00F158B9">
            <w:pPr>
              <w:keepNext/>
              <w:keepLines/>
              <w:spacing w:after="0"/>
              <w:rPr>
                <w:rFonts w:ascii="Arial" w:hAnsi="Arial" w:cs="Arial"/>
                <w:b/>
                <w:sz w:val="16"/>
                <w:szCs w:val="16"/>
              </w:rPr>
            </w:pPr>
          </w:p>
          <w:p w:rsidR="00F158B9" w:rsidRDefault="0034080E">
            <w:pPr>
              <w:keepNext/>
              <w:keepLines/>
              <w:spacing w:after="0"/>
              <w:rPr>
                <w:rFonts w:ascii="Arial" w:hAnsi="Arial" w:cs="Arial"/>
                <w:b/>
                <w:sz w:val="16"/>
                <w:szCs w:val="16"/>
              </w:rPr>
            </w:pPr>
            <w:r w:rsidRPr="0036324B">
              <w:rPr>
                <w:rFonts w:ascii="Arial" w:hAnsi="Arial" w:cs="Arial"/>
                <w:b/>
                <w:sz w:val="16"/>
                <w:szCs w:val="16"/>
              </w:rPr>
              <w:t>Load Zone</w:t>
            </w:r>
          </w:p>
        </w:tc>
        <w:tc>
          <w:tcPr>
            <w:cnfStyle w:val="000001000000"/>
            <w:tcW w:w="1582" w:type="dxa"/>
            <w:vMerge w:val="restart"/>
            <w:shd w:val="clear" w:color="auto" w:fill="FBCE76" w:themeFill="background2" w:themeFillTint="99"/>
            <w:noWrap/>
            <w:hideMark/>
          </w:tcPr>
          <w:p w:rsidR="00F158B9" w:rsidRDefault="00F158B9">
            <w:pPr>
              <w:keepNext/>
              <w:keepLines/>
              <w:spacing w:after="0"/>
              <w:rPr>
                <w:rFonts w:ascii="Arial" w:hAnsi="Arial" w:cs="Arial"/>
                <w:b/>
                <w:sz w:val="16"/>
                <w:szCs w:val="16"/>
              </w:rPr>
            </w:pPr>
          </w:p>
          <w:p w:rsidR="00F158B9" w:rsidRDefault="0034080E">
            <w:pPr>
              <w:keepNext/>
              <w:keepLines/>
              <w:spacing w:after="0"/>
              <w:rPr>
                <w:rFonts w:ascii="Arial" w:hAnsi="Arial" w:cs="Arial"/>
                <w:b/>
                <w:sz w:val="16"/>
                <w:szCs w:val="16"/>
              </w:rPr>
            </w:pPr>
            <w:r w:rsidRPr="0036324B">
              <w:rPr>
                <w:rFonts w:ascii="Arial" w:hAnsi="Arial" w:cs="Arial"/>
                <w:b/>
                <w:sz w:val="16"/>
                <w:szCs w:val="16"/>
              </w:rPr>
              <w:t>State</w:t>
            </w:r>
          </w:p>
        </w:tc>
        <w:tc>
          <w:tcPr>
            <w:cnfStyle w:val="000010000000"/>
            <w:tcW w:w="2822" w:type="dxa"/>
            <w:gridSpan w:val="3"/>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50/50 Summer Peak Load</w:t>
            </w:r>
          </w:p>
        </w:tc>
        <w:tc>
          <w:tcPr>
            <w:cnfStyle w:val="000001000000"/>
            <w:tcW w:w="2700" w:type="dxa"/>
            <w:gridSpan w:val="3"/>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90/10 Summer Peak Load</w:t>
            </w:r>
          </w:p>
        </w:tc>
      </w:tr>
      <w:tr w:rsidR="00F056BC" w:rsidRPr="00943F5E" w:rsidTr="005E3A82">
        <w:trPr>
          <w:cnfStyle w:val="000000010000"/>
          <w:trHeight w:val="596"/>
        </w:trPr>
        <w:tc>
          <w:tcPr>
            <w:cnfStyle w:val="001000000000"/>
            <w:tcW w:w="1143" w:type="dxa"/>
            <w:vMerge/>
            <w:tcBorders>
              <w:top w:val="nil"/>
            </w:tcBorders>
            <w:shd w:val="clear" w:color="auto" w:fill="FBCE76" w:themeFill="background2" w:themeFillTint="99"/>
            <w:noWrap/>
            <w:hideMark/>
          </w:tcPr>
          <w:p w:rsidR="00F056BC" w:rsidRDefault="00F056BC">
            <w:pPr>
              <w:keepNext/>
              <w:keepLines/>
              <w:spacing w:after="0"/>
              <w:jc w:val="center"/>
              <w:rPr>
                <w:rFonts w:ascii="Arial" w:hAnsi="Arial" w:cs="Arial"/>
                <w:b w:val="0"/>
                <w:bCs w:val="0"/>
                <w:sz w:val="16"/>
                <w:szCs w:val="16"/>
              </w:rPr>
            </w:pPr>
          </w:p>
        </w:tc>
        <w:tc>
          <w:tcPr>
            <w:cnfStyle w:val="000010000000"/>
            <w:tcW w:w="1081" w:type="dxa"/>
            <w:vMerge/>
            <w:tcBorders>
              <w:top w:val="nil"/>
            </w:tcBorders>
            <w:shd w:val="clear" w:color="auto" w:fill="FBCE76" w:themeFill="background2" w:themeFillTint="99"/>
            <w:noWrap/>
            <w:hideMark/>
          </w:tcPr>
          <w:p w:rsidR="00F158B9" w:rsidRDefault="00F158B9">
            <w:pPr>
              <w:keepNext/>
              <w:keepLines/>
              <w:spacing w:after="0"/>
              <w:rPr>
                <w:rFonts w:ascii="Arial" w:hAnsi="Arial" w:cs="Arial"/>
                <w:b/>
                <w:sz w:val="16"/>
                <w:szCs w:val="16"/>
              </w:rPr>
            </w:pPr>
          </w:p>
        </w:tc>
        <w:tc>
          <w:tcPr>
            <w:cnfStyle w:val="000001000000"/>
            <w:tcW w:w="1582" w:type="dxa"/>
            <w:vMerge/>
            <w:tcBorders>
              <w:top w:val="nil"/>
            </w:tcBorders>
            <w:shd w:val="clear" w:color="auto" w:fill="FBCE76" w:themeFill="background2" w:themeFillTint="99"/>
            <w:noWrap/>
            <w:hideMark/>
          </w:tcPr>
          <w:p w:rsidR="00F158B9" w:rsidRDefault="00F158B9">
            <w:pPr>
              <w:keepNext/>
              <w:keepLines/>
              <w:spacing w:after="0"/>
              <w:rPr>
                <w:rFonts w:ascii="Arial" w:hAnsi="Arial" w:cs="Arial"/>
                <w:b/>
                <w:sz w:val="16"/>
                <w:szCs w:val="16"/>
              </w:rPr>
            </w:pPr>
          </w:p>
        </w:tc>
        <w:tc>
          <w:tcPr>
            <w:cnfStyle w:val="000010000000"/>
            <w:tcW w:w="842"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MW</w:t>
            </w:r>
          </w:p>
        </w:tc>
        <w:tc>
          <w:tcPr>
            <w:cnfStyle w:val="000001000000"/>
            <w:tcW w:w="1069"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 of RSP Subarea</w:t>
            </w:r>
          </w:p>
        </w:tc>
        <w:tc>
          <w:tcPr>
            <w:cnfStyle w:val="000010000000"/>
            <w:tcW w:w="911"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 of State</w:t>
            </w:r>
          </w:p>
        </w:tc>
        <w:tc>
          <w:tcPr>
            <w:cnfStyle w:val="000001000000"/>
            <w:tcW w:w="810"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MW</w:t>
            </w:r>
          </w:p>
        </w:tc>
        <w:tc>
          <w:tcPr>
            <w:cnfStyle w:val="000010000000"/>
            <w:tcW w:w="900"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 of RSP Subarea</w:t>
            </w:r>
          </w:p>
        </w:tc>
        <w:tc>
          <w:tcPr>
            <w:cnfStyle w:val="000001000000"/>
            <w:tcW w:w="990" w:type="dxa"/>
            <w:shd w:val="clear" w:color="auto" w:fill="FBCE76" w:themeFill="background2" w:themeFillTint="99"/>
            <w:noWrap/>
            <w:hideMark/>
          </w:tcPr>
          <w:p w:rsidR="00F158B9" w:rsidRDefault="0034080E">
            <w:pPr>
              <w:keepNext/>
              <w:keepLines/>
              <w:spacing w:after="0"/>
              <w:rPr>
                <w:rFonts w:ascii="Arial" w:hAnsi="Arial" w:cs="Arial"/>
                <w:b/>
                <w:sz w:val="16"/>
                <w:szCs w:val="16"/>
              </w:rPr>
            </w:pPr>
            <w:r w:rsidRPr="0036324B">
              <w:rPr>
                <w:rFonts w:ascii="Arial" w:hAnsi="Arial" w:cs="Arial"/>
                <w:b/>
                <w:sz w:val="16"/>
                <w:szCs w:val="16"/>
              </w:rPr>
              <w:t>% of State</w:t>
            </w:r>
          </w:p>
        </w:tc>
      </w:tr>
      <w:tr w:rsidR="00F056BC" w:rsidRPr="00943F5E" w:rsidTr="005E3A82">
        <w:trPr>
          <w:cnfStyle w:val="000000100000"/>
          <w:trHeight w:val="246"/>
        </w:trPr>
        <w:tc>
          <w:tcPr>
            <w:cnfStyle w:val="001000000000"/>
            <w:tcW w:w="1143" w:type="dxa"/>
            <w:shd w:val="clear" w:color="auto" w:fill="FFFFFF" w:themeFill="background1"/>
            <w:noWrap/>
            <w:hideMark/>
          </w:tcPr>
          <w:p w:rsidR="00F056BC" w:rsidRDefault="0034080E">
            <w:pPr>
              <w:keepNext/>
              <w:keepLines/>
              <w:spacing w:after="0"/>
              <w:rPr>
                <w:rFonts w:ascii="Arial" w:hAnsi="Arial" w:cs="Arial"/>
                <w:b w:val="0"/>
                <w:bCs w:val="0"/>
                <w:sz w:val="16"/>
                <w:szCs w:val="16"/>
              </w:rPr>
            </w:pPr>
            <w:r w:rsidRPr="00943F5E">
              <w:rPr>
                <w:rFonts w:ascii="Arial" w:hAnsi="Arial" w:cs="Arial"/>
                <w:sz w:val="16"/>
                <w:szCs w:val="16"/>
              </w:rPr>
              <w:t>BHE</w:t>
            </w:r>
          </w:p>
        </w:tc>
        <w:tc>
          <w:tcPr>
            <w:cnfStyle w:val="000010000000"/>
            <w:tcW w:w="1081" w:type="dxa"/>
            <w:shd w:val="clear" w:color="auto" w:fill="FFFFFF" w:themeFill="background1"/>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ME</w:t>
            </w:r>
          </w:p>
        </w:tc>
        <w:tc>
          <w:tcPr>
            <w:cnfStyle w:val="000001000000"/>
            <w:tcW w:w="1582" w:type="dxa"/>
            <w:shd w:val="clear" w:color="auto" w:fill="FFFFFF" w:themeFill="background1"/>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Maine</w:t>
            </w:r>
          </w:p>
        </w:tc>
        <w:tc>
          <w:tcPr>
            <w:cnfStyle w:val="000010000000"/>
            <w:tcW w:w="842"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325</w:t>
            </w:r>
          </w:p>
        </w:tc>
        <w:tc>
          <w:tcPr>
            <w:cnfStyle w:val="000001000000"/>
            <w:tcW w:w="1069"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10000000"/>
            <w:tcW w:w="911"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16.4</w:t>
            </w:r>
          </w:p>
        </w:tc>
        <w:tc>
          <w:tcPr>
            <w:cnfStyle w:val="000001000000"/>
            <w:tcW w:w="81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345</w:t>
            </w:r>
          </w:p>
        </w:tc>
        <w:tc>
          <w:tcPr>
            <w:cnfStyle w:val="000010000000"/>
            <w:tcW w:w="90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01000000"/>
            <w:tcW w:w="99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16.3</w:t>
            </w:r>
          </w:p>
        </w:tc>
      </w:tr>
      <w:tr w:rsidR="00F47332" w:rsidRPr="00943F5E" w:rsidTr="005E3A82">
        <w:trPr>
          <w:cnfStyle w:val="000000010000"/>
          <w:trHeight w:val="246"/>
        </w:trPr>
        <w:tc>
          <w:tcPr>
            <w:cnfStyle w:val="001000000000"/>
            <w:tcW w:w="1143" w:type="dxa"/>
            <w:vMerge w:val="restart"/>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ME</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ME</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Maine</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086</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95.7</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53.2</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158</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95.7</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53.2</w:t>
            </w:r>
          </w:p>
        </w:tc>
      </w:tr>
      <w:tr w:rsidR="00F47332" w:rsidRPr="00943F5E" w:rsidTr="005E3A82">
        <w:trPr>
          <w:cnfStyle w:val="00000010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NH</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New Hampshire</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49</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4.3</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2.0</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52</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4.3</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2.0</w:t>
            </w:r>
          </w:p>
        </w:tc>
      </w:tr>
      <w:tr w:rsidR="00F47332" w:rsidRPr="00943F5E" w:rsidTr="00F47332">
        <w:trPr>
          <w:cnfStyle w:val="000000010000"/>
          <w:trHeight w:val="317"/>
        </w:trPr>
        <w:tc>
          <w:tcPr>
            <w:cnfStyle w:val="001000000000"/>
            <w:tcW w:w="1143" w:type="dxa"/>
            <w:vMerge/>
            <w:shd w:val="clear" w:color="auto" w:fill="FDEED1" w:themeFill="background2" w:themeFillTint="33"/>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DEED1" w:themeFill="background2" w:themeFillTint="33"/>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135</w:t>
            </w:r>
          </w:p>
        </w:tc>
        <w:tc>
          <w:tcPr>
            <w:cnfStyle w:val="000010000000"/>
            <w:tcW w:w="1980" w:type="dxa"/>
            <w:gridSpan w:val="2"/>
            <w:shd w:val="clear" w:color="auto" w:fill="FDEED1" w:themeFill="background2" w:themeFillTint="33"/>
            <w:noWrap/>
            <w:tcMar>
              <w:left w:w="0" w:type="dxa"/>
              <w:right w:w="115" w:type="dxa"/>
            </w:tcMar>
            <w:hideMark/>
          </w:tcPr>
          <w:p w:rsidR="00F47332" w:rsidRDefault="00F47332" w:rsidP="00F47332">
            <w:pPr>
              <w:keepNext/>
              <w:keepLines/>
              <w:spacing w:after="0"/>
              <w:jc w:val="right"/>
              <w:rPr>
                <w:rFonts w:ascii="Arial" w:hAnsi="Arial" w:cs="Arial"/>
                <w:sz w:val="16"/>
                <w:szCs w:val="16"/>
              </w:rPr>
            </w:pPr>
            <w:r w:rsidRPr="00943F5E">
              <w:rPr>
                <w:rFonts w:ascii="Arial" w:hAnsi="Arial" w:cs="Arial"/>
                <w:sz w:val="16"/>
                <w:szCs w:val="16"/>
              </w:rPr>
              <w:t>  </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210</w:t>
            </w:r>
          </w:p>
        </w:tc>
        <w:tc>
          <w:tcPr>
            <w:cnfStyle w:val="000010000000"/>
            <w:tcW w:w="1890" w:type="dxa"/>
            <w:gridSpan w:val="2"/>
            <w:shd w:val="clear" w:color="auto" w:fill="FDEED1" w:themeFill="background2" w:themeFillTint="33"/>
            <w:noWrap/>
            <w:tcMar>
              <w:left w:w="0" w:type="dxa"/>
              <w:right w:w="115" w:type="dxa"/>
            </w:tcMar>
            <w:hideMark/>
          </w:tcPr>
          <w:p w:rsidR="00F47332" w:rsidRDefault="00F47332" w:rsidP="00F47332">
            <w:pPr>
              <w:keepNext/>
              <w:keepLines/>
              <w:spacing w:after="0"/>
              <w:jc w:val="right"/>
              <w:rPr>
                <w:rFonts w:ascii="Arial" w:hAnsi="Arial" w:cs="Arial"/>
                <w:sz w:val="16"/>
                <w:szCs w:val="16"/>
              </w:rPr>
            </w:pPr>
            <w:r w:rsidRPr="00943F5E">
              <w:rPr>
                <w:rFonts w:ascii="Arial" w:hAnsi="Arial" w:cs="Arial"/>
                <w:sz w:val="16"/>
                <w:szCs w:val="16"/>
              </w:rPr>
              <w:t>  </w:t>
            </w:r>
          </w:p>
        </w:tc>
      </w:tr>
      <w:tr w:rsidR="00F056BC" w:rsidRPr="00943F5E" w:rsidTr="005E3A82">
        <w:trPr>
          <w:cnfStyle w:val="000000100000"/>
          <w:trHeight w:val="246"/>
        </w:trPr>
        <w:tc>
          <w:tcPr>
            <w:cnfStyle w:val="001000000000"/>
            <w:tcW w:w="1143" w:type="dxa"/>
            <w:shd w:val="clear" w:color="auto" w:fill="FFFFFF" w:themeFill="background1"/>
            <w:noWrap/>
            <w:hideMark/>
          </w:tcPr>
          <w:p w:rsidR="00F056BC" w:rsidRDefault="0034080E">
            <w:pPr>
              <w:keepNext/>
              <w:keepLines/>
              <w:spacing w:after="0"/>
              <w:rPr>
                <w:rFonts w:ascii="Arial" w:hAnsi="Arial" w:cs="Arial"/>
                <w:b w:val="0"/>
                <w:bCs w:val="0"/>
                <w:sz w:val="16"/>
                <w:szCs w:val="16"/>
              </w:rPr>
            </w:pPr>
            <w:r w:rsidRPr="00943F5E">
              <w:rPr>
                <w:rFonts w:ascii="Arial" w:hAnsi="Arial" w:cs="Arial"/>
                <w:sz w:val="16"/>
                <w:szCs w:val="16"/>
              </w:rPr>
              <w:t>SME</w:t>
            </w:r>
          </w:p>
        </w:tc>
        <w:tc>
          <w:tcPr>
            <w:cnfStyle w:val="000010000000"/>
            <w:tcW w:w="1081" w:type="dxa"/>
            <w:shd w:val="clear" w:color="auto" w:fill="FFFFFF" w:themeFill="background1"/>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ME</w:t>
            </w:r>
          </w:p>
        </w:tc>
        <w:tc>
          <w:tcPr>
            <w:cnfStyle w:val="000001000000"/>
            <w:tcW w:w="1582" w:type="dxa"/>
            <w:shd w:val="clear" w:color="auto" w:fill="FFFFFF" w:themeFill="background1"/>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Maine</w:t>
            </w:r>
          </w:p>
        </w:tc>
        <w:tc>
          <w:tcPr>
            <w:cnfStyle w:val="000010000000"/>
            <w:tcW w:w="842"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575</w:t>
            </w:r>
          </w:p>
        </w:tc>
        <w:tc>
          <w:tcPr>
            <w:cnfStyle w:val="000001000000"/>
            <w:tcW w:w="1069"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10000000"/>
            <w:tcW w:w="911"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28.1</w:t>
            </w:r>
          </w:p>
        </w:tc>
        <w:tc>
          <w:tcPr>
            <w:cnfStyle w:val="000001000000"/>
            <w:tcW w:w="81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610</w:t>
            </w:r>
          </w:p>
        </w:tc>
        <w:tc>
          <w:tcPr>
            <w:cnfStyle w:val="000010000000"/>
            <w:tcW w:w="90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01000000"/>
            <w:tcW w:w="990" w:type="dxa"/>
            <w:shd w:val="clear" w:color="auto" w:fill="FFFFFF" w:themeFill="background1"/>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28.1</w:t>
            </w:r>
          </w:p>
        </w:tc>
      </w:tr>
      <w:tr w:rsidR="00F47332" w:rsidRPr="00943F5E" w:rsidTr="005E3A82">
        <w:trPr>
          <w:cnfStyle w:val="000000010000"/>
          <w:trHeight w:val="246"/>
        </w:trPr>
        <w:tc>
          <w:tcPr>
            <w:cnfStyle w:val="001000000000"/>
            <w:tcW w:w="1143" w:type="dxa"/>
            <w:vMerge w:val="restart"/>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NH</w:t>
            </w:r>
          </w:p>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ME</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Maine</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47</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2.4</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2.3</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51</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2.4</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2.3</w:t>
            </w:r>
          </w:p>
        </w:tc>
      </w:tr>
      <w:tr w:rsidR="00F47332" w:rsidRPr="00943F5E" w:rsidTr="005E3A82">
        <w:trPr>
          <w:cnfStyle w:val="00000010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NH</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New Hampshire</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866</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94.0</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77.5</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005</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94.1</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77.3</w:t>
            </w:r>
          </w:p>
        </w:tc>
      </w:tr>
      <w:tr w:rsidR="00F47332" w:rsidRPr="00943F5E" w:rsidTr="005E3A82">
        <w:trPr>
          <w:cnfStyle w:val="00000001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VT</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Vermont</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72</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3.6</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6.8</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74</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3.5</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6.8</w:t>
            </w:r>
          </w:p>
        </w:tc>
      </w:tr>
      <w:tr w:rsidR="00F47332" w:rsidRPr="00943F5E" w:rsidTr="00A614A6">
        <w:trPr>
          <w:cnfStyle w:val="000000100000"/>
          <w:trHeight w:val="246"/>
        </w:trPr>
        <w:tc>
          <w:tcPr>
            <w:cnfStyle w:val="001000000000"/>
            <w:tcW w:w="1143" w:type="dxa"/>
            <w:vMerge/>
            <w:shd w:val="clear" w:color="auto" w:fill="FDEED1" w:themeFill="background2" w:themeFillTint="33"/>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DEED1" w:themeFill="background2" w:themeFillTint="33"/>
            <w:noWrap/>
            <w:hideMark/>
          </w:tcPr>
          <w:p w:rsidR="00F47332" w:rsidRDefault="00F47332" w:rsidP="00F47332">
            <w:pPr>
              <w:keepNext/>
              <w:keepLines/>
              <w:spacing w:after="0"/>
              <w:rPr>
                <w:rFonts w:ascii="Arial" w:hAnsi="Arial" w:cs="Arial"/>
                <w:sz w:val="16"/>
                <w:szCs w:val="16"/>
              </w:rPr>
            </w:pPr>
            <w:r w:rsidRPr="00943F5E">
              <w:rPr>
                <w:rFonts w:ascii="Arial" w:hAnsi="Arial" w:cs="Arial"/>
                <w:sz w:val="16"/>
                <w:szCs w:val="16"/>
              </w:rPr>
              <w:t> </w:t>
            </w:r>
          </w:p>
        </w:tc>
        <w:tc>
          <w:tcPr>
            <w:cnfStyle w:val="000001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985</w:t>
            </w:r>
          </w:p>
        </w:tc>
        <w:tc>
          <w:tcPr>
            <w:cnfStyle w:val="000010000000"/>
            <w:tcW w:w="198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130</w:t>
            </w:r>
          </w:p>
        </w:tc>
        <w:tc>
          <w:tcPr>
            <w:cnfStyle w:val="000010000000"/>
            <w:tcW w:w="189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F47332" w:rsidRPr="00943F5E" w:rsidTr="005E3A82">
        <w:trPr>
          <w:cnfStyle w:val="000000010000"/>
          <w:trHeight w:val="246"/>
        </w:trPr>
        <w:tc>
          <w:tcPr>
            <w:cnfStyle w:val="001000000000"/>
            <w:tcW w:w="1143" w:type="dxa"/>
            <w:vMerge w:val="restart"/>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VT</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NH</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New Hampshire</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334</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26.7</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13.8</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360</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27.5</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13.9</w:t>
            </w:r>
          </w:p>
        </w:tc>
      </w:tr>
      <w:tr w:rsidR="00F47332" w:rsidRPr="00943F5E" w:rsidTr="005E3A82">
        <w:trPr>
          <w:cnfStyle w:val="000000100000"/>
          <w:trHeight w:val="246"/>
        </w:trPr>
        <w:tc>
          <w:tcPr>
            <w:cnfStyle w:val="001000000000"/>
            <w:tcW w:w="1143" w:type="dxa"/>
            <w:vMerge/>
            <w:shd w:val="clear" w:color="auto" w:fill="FFFFFF" w:themeFill="background1"/>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VT</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Vermont</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916</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73.3</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86.2</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950</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72.5</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86.2</w:t>
            </w:r>
          </w:p>
        </w:tc>
      </w:tr>
      <w:tr w:rsidR="00F47332" w:rsidRPr="00943F5E" w:rsidTr="00A614A6">
        <w:trPr>
          <w:cnfStyle w:val="000000010000"/>
          <w:trHeight w:val="246"/>
        </w:trPr>
        <w:tc>
          <w:tcPr>
            <w:cnfStyle w:val="001000000000"/>
            <w:tcW w:w="1143" w:type="dxa"/>
            <w:vMerge/>
            <w:shd w:val="clear" w:color="auto" w:fill="FFFFFF" w:themeFill="background1"/>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FFFFF" w:themeFill="background1"/>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250</w:t>
            </w:r>
          </w:p>
        </w:tc>
        <w:tc>
          <w:tcPr>
            <w:cnfStyle w:val="000010000000"/>
            <w:tcW w:w="198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310</w:t>
            </w:r>
          </w:p>
        </w:tc>
        <w:tc>
          <w:tcPr>
            <w:cnfStyle w:val="000010000000"/>
            <w:tcW w:w="189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F47332" w:rsidRPr="00943F5E" w:rsidTr="005E3A82">
        <w:trPr>
          <w:cnfStyle w:val="000000100000"/>
          <w:trHeight w:val="246"/>
        </w:trPr>
        <w:tc>
          <w:tcPr>
            <w:cnfStyle w:val="001000000000"/>
            <w:tcW w:w="1143" w:type="dxa"/>
            <w:vMerge w:val="restart"/>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rsidP="00EC73A7">
            <w:pPr>
              <w:keepNext/>
              <w:keepLines/>
              <w:spacing w:after="0"/>
              <w:rPr>
                <w:rFonts w:ascii="Arial" w:hAnsi="Arial" w:cs="Arial"/>
                <w:sz w:val="16"/>
                <w:szCs w:val="16"/>
              </w:rPr>
            </w:pPr>
            <w:r w:rsidRPr="00943F5E">
              <w:rPr>
                <w:rFonts w:ascii="Arial" w:hAnsi="Arial" w:cs="Arial"/>
                <w:sz w:val="16"/>
                <w:szCs w:val="16"/>
              </w:rPr>
              <w:t>B</w:t>
            </w:r>
            <w:r>
              <w:rPr>
                <w:rFonts w:ascii="Arial" w:hAnsi="Arial" w:cs="Arial"/>
                <w:sz w:val="16"/>
                <w:szCs w:val="16"/>
              </w:rPr>
              <w:t>OSTON</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NH</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New Hampshire</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76</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1.4</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3.1</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83</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1.4</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3.2</w:t>
            </w:r>
          </w:p>
        </w:tc>
      </w:tr>
      <w:tr w:rsidR="00F47332" w:rsidRPr="00943F5E" w:rsidTr="005E3A82">
        <w:trPr>
          <w:cnfStyle w:val="00000001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rsidP="00C13450">
            <w:pPr>
              <w:keepNext/>
              <w:keepLines/>
              <w:spacing w:after="0"/>
              <w:rPr>
                <w:rFonts w:ascii="Arial" w:hAnsi="Arial" w:cs="Arial"/>
                <w:sz w:val="16"/>
                <w:szCs w:val="16"/>
              </w:rPr>
            </w:pPr>
            <w:r w:rsidRPr="00943F5E">
              <w:rPr>
                <w:rFonts w:ascii="Arial" w:hAnsi="Arial" w:cs="Arial"/>
                <w:sz w:val="16"/>
                <w:szCs w:val="16"/>
              </w:rPr>
              <w:t>N</w:t>
            </w:r>
            <w:r>
              <w:rPr>
                <w:rFonts w:ascii="Arial" w:hAnsi="Arial" w:cs="Arial"/>
                <w:sz w:val="16"/>
                <w:szCs w:val="16"/>
              </w:rPr>
              <w:t>EMA/</w:t>
            </w:r>
            <w:r>
              <w:rPr>
                <w:rFonts w:ascii="Arial" w:hAnsi="Arial" w:cs="Arial"/>
                <w:sz w:val="16"/>
                <w:szCs w:val="16"/>
              </w:rPr>
              <w:br/>
            </w:r>
            <w:r w:rsidRPr="00943F5E">
              <w:rPr>
                <w:rFonts w:ascii="Arial" w:hAnsi="Arial" w:cs="Arial"/>
                <w:sz w:val="16"/>
                <w:szCs w:val="16"/>
              </w:rPr>
              <w:t>B</w:t>
            </w:r>
            <w:r>
              <w:rPr>
                <w:rFonts w:ascii="Arial" w:hAnsi="Arial" w:cs="Arial"/>
                <w:sz w:val="16"/>
                <w:szCs w:val="16"/>
              </w:rPr>
              <w:t>oston</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Massachusetts</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w:t>
            </w:r>
            <w:r>
              <w:rPr>
                <w:rFonts w:ascii="Arial" w:hAnsi="Arial" w:cs="Arial"/>
                <w:sz w:val="16"/>
                <w:szCs w:val="16"/>
              </w:rPr>
              <w:t>,</w:t>
            </w:r>
            <w:r w:rsidRPr="00943F5E">
              <w:rPr>
                <w:rFonts w:ascii="Arial" w:hAnsi="Arial" w:cs="Arial"/>
                <w:sz w:val="16"/>
                <w:szCs w:val="16"/>
              </w:rPr>
              <w:t>489</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98.6</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43.5</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w:t>
            </w:r>
            <w:r>
              <w:rPr>
                <w:rFonts w:ascii="Arial" w:hAnsi="Arial" w:cs="Arial"/>
                <w:sz w:val="16"/>
                <w:szCs w:val="16"/>
              </w:rPr>
              <w:t>,</w:t>
            </w:r>
            <w:r w:rsidRPr="00943F5E">
              <w:rPr>
                <w:rFonts w:ascii="Arial" w:hAnsi="Arial" w:cs="Arial"/>
                <w:sz w:val="16"/>
                <w:szCs w:val="16"/>
              </w:rPr>
              <w:t>892</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98.6</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43.5</w:t>
            </w:r>
          </w:p>
        </w:tc>
      </w:tr>
      <w:tr w:rsidR="00F47332" w:rsidRPr="00943F5E" w:rsidTr="00A614A6">
        <w:trPr>
          <w:cnfStyle w:val="000000100000"/>
          <w:trHeight w:val="246"/>
        </w:trPr>
        <w:tc>
          <w:tcPr>
            <w:cnfStyle w:val="001000000000"/>
            <w:tcW w:w="1143" w:type="dxa"/>
            <w:vMerge/>
            <w:shd w:val="clear" w:color="auto" w:fill="FDEED1" w:themeFill="background2" w:themeFillTint="33"/>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DEED1" w:themeFill="background2" w:themeFillTint="33"/>
            <w:noWrap/>
            <w:hideMark/>
          </w:tcPr>
          <w:p w:rsidR="00F47332" w:rsidRDefault="00F47332" w:rsidP="00F47332">
            <w:pPr>
              <w:keepNext/>
              <w:keepLines/>
              <w:spacing w:after="0"/>
              <w:jc w:val="left"/>
              <w:rPr>
                <w:rFonts w:ascii="Arial" w:hAnsi="Arial" w:cs="Arial"/>
                <w:sz w:val="16"/>
                <w:szCs w:val="16"/>
              </w:rPr>
            </w:pPr>
          </w:p>
        </w:tc>
        <w:tc>
          <w:tcPr>
            <w:cnfStyle w:val="000001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w:t>
            </w:r>
            <w:r>
              <w:rPr>
                <w:rFonts w:ascii="Arial" w:hAnsi="Arial" w:cs="Arial"/>
                <w:sz w:val="16"/>
                <w:szCs w:val="16"/>
              </w:rPr>
              <w:t>,</w:t>
            </w:r>
            <w:r w:rsidRPr="00943F5E">
              <w:rPr>
                <w:rFonts w:ascii="Arial" w:hAnsi="Arial" w:cs="Arial"/>
                <w:sz w:val="16"/>
                <w:szCs w:val="16"/>
              </w:rPr>
              <w:t>565</w:t>
            </w:r>
          </w:p>
        </w:tc>
        <w:tc>
          <w:tcPr>
            <w:cnfStyle w:val="000010000000"/>
            <w:tcW w:w="198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w:t>
            </w:r>
            <w:r>
              <w:rPr>
                <w:rFonts w:ascii="Arial" w:hAnsi="Arial" w:cs="Arial"/>
                <w:sz w:val="16"/>
                <w:szCs w:val="16"/>
              </w:rPr>
              <w:t>,</w:t>
            </w:r>
            <w:r w:rsidRPr="00943F5E">
              <w:rPr>
                <w:rFonts w:ascii="Arial" w:hAnsi="Arial" w:cs="Arial"/>
                <w:sz w:val="16"/>
                <w:szCs w:val="16"/>
              </w:rPr>
              <w:t>975</w:t>
            </w:r>
          </w:p>
        </w:tc>
        <w:tc>
          <w:tcPr>
            <w:cnfStyle w:val="000010000000"/>
            <w:tcW w:w="1890" w:type="dxa"/>
            <w:gridSpan w:val="2"/>
            <w:shd w:val="clear" w:color="auto" w:fill="FDEED1" w:themeFill="background2" w:themeFillTint="33"/>
            <w:noWrap/>
            <w:tcMar>
              <w:left w:w="0" w:type="dxa"/>
              <w:right w:w="115" w:type="dxa"/>
            </w:tcMar>
            <w:hideMark/>
          </w:tcPr>
          <w:p w:rsidR="00F47332" w:rsidRDefault="00F47332" w:rsidP="00F47332">
            <w:pPr>
              <w:keepNext/>
              <w:keepLines/>
              <w:spacing w:after="0"/>
              <w:rPr>
                <w:rFonts w:ascii="Arial" w:hAnsi="Arial" w:cs="Arial"/>
                <w:sz w:val="16"/>
                <w:szCs w:val="16"/>
              </w:rPr>
            </w:pPr>
            <w:r w:rsidRPr="00943F5E">
              <w:rPr>
                <w:rFonts w:ascii="Arial" w:hAnsi="Arial" w:cs="Arial"/>
                <w:sz w:val="16"/>
                <w:szCs w:val="16"/>
              </w:rPr>
              <w:t> </w:t>
            </w:r>
          </w:p>
        </w:tc>
      </w:tr>
      <w:tr w:rsidR="00F47332" w:rsidRPr="00943F5E" w:rsidTr="005E3A82">
        <w:trPr>
          <w:cnfStyle w:val="000000010000"/>
          <w:trHeight w:val="246"/>
        </w:trPr>
        <w:tc>
          <w:tcPr>
            <w:cnfStyle w:val="001000000000"/>
            <w:tcW w:w="1143" w:type="dxa"/>
            <w:vMerge w:val="restart"/>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CMA/NEMA</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NH</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New Hampshire</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85</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4.7</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3.5</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92</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4.8</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3.5</w:t>
            </w:r>
          </w:p>
        </w:tc>
      </w:tr>
      <w:tr w:rsidR="00F47332" w:rsidRPr="00943F5E" w:rsidTr="005E3A82">
        <w:trPr>
          <w:cnfStyle w:val="000000100000"/>
          <w:trHeight w:val="246"/>
        </w:trPr>
        <w:tc>
          <w:tcPr>
            <w:cnfStyle w:val="001000000000"/>
            <w:tcW w:w="1143" w:type="dxa"/>
            <w:vMerge/>
            <w:shd w:val="clear" w:color="auto" w:fill="FFFFFF" w:themeFill="background1"/>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WCMA</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Massachusetts</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710</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95.3</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13.5</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833</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95.2</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13.5</w:t>
            </w:r>
          </w:p>
        </w:tc>
      </w:tr>
      <w:tr w:rsidR="00F47332" w:rsidRPr="00943F5E" w:rsidTr="00A614A6">
        <w:trPr>
          <w:cnfStyle w:val="000000010000"/>
          <w:trHeight w:val="246"/>
        </w:trPr>
        <w:tc>
          <w:tcPr>
            <w:cnfStyle w:val="001000000000"/>
            <w:tcW w:w="1143" w:type="dxa"/>
            <w:vMerge/>
            <w:shd w:val="clear" w:color="auto" w:fill="FFFFFF" w:themeFill="background1"/>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FFFFF" w:themeFill="background1"/>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795</w:t>
            </w:r>
          </w:p>
        </w:tc>
        <w:tc>
          <w:tcPr>
            <w:cnfStyle w:val="000010000000"/>
            <w:tcW w:w="198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925</w:t>
            </w:r>
          </w:p>
        </w:tc>
        <w:tc>
          <w:tcPr>
            <w:cnfStyle w:val="000010000000"/>
            <w:tcW w:w="189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F47332" w:rsidRPr="00943F5E" w:rsidTr="005E3A82">
        <w:trPr>
          <w:cnfStyle w:val="000000100000"/>
          <w:trHeight w:val="246"/>
        </w:trPr>
        <w:tc>
          <w:tcPr>
            <w:cnfStyle w:val="001000000000"/>
            <w:tcW w:w="1143" w:type="dxa"/>
            <w:vMerge w:val="restart"/>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WMA</w:t>
            </w:r>
          </w:p>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VT</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Vermont</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75</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3.7</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7.0</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78</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3.6</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7.0</w:t>
            </w:r>
          </w:p>
        </w:tc>
      </w:tr>
      <w:tr w:rsidR="00F47332" w:rsidRPr="00943F5E" w:rsidTr="005E3A82">
        <w:trPr>
          <w:cnfStyle w:val="00000001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CT</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Connecticut</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77</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3.8</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1.1</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83</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3.8</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1.1</w:t>
            </w:r>
          </w:p>
        </w:tc>
      </w:tr>
      <w:tr w:rsidR="00F47332" w:rsidRPr="00943F5E" w:rsidTr="005E3A82">
        <w:trPr>
          <w:cnfStyle w:val="00000010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WCMA</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Massachusetts</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878</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92.5</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14.9</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019</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92.6</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14.9</w:t>
            </w:r>
          </w:p>
        </w:tc>
      </w:tr>
      <w:tr w:rsidR="00F47332" w:rsidRPr="00943F5E" w:rsidTr="00A614A6">
        <w:trPr>
          <w:cnfStyle w:val="000000010000"/>
          <w:trHeight w:val="246"/>
        </w:trPr>
        <w:tc>
          <w:tcPr>
            <w:cnfStyle w:val="001000000000"/>
            <w:tcW w:w="1143" w:type="dxa"/>
            <w:vMerge/>
            <w:shd w:val="clear" w:color="auto" w:fill="FDEED1" w:themeFill="background2" w:themeFillTint="33"/>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DEED1" w:themeFill="background2" w:themeFillTint="33"/>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030</w:t>
            </w:r>
          </w:p>
        </w:tc>
        <w:tc>
          <w:tcPr>
            <w:cnfStyle w:val="000010000000"/>
            <w:tcW w:w="198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180</w:t>
            </w:r>
          </w:p>
        </w:tc>
        <w:tc>
          <w:tcPr>
            <w:cnfStyle w:val="000010000000"/>
            <w:tcW w:w="189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F47332" w:rsidRPr="00943F5E" w:rsidTr="005E3A82">
        <w:trPr>
          <w:cnfStyle w:val="000000100000"/>
          <w:trHeight w:val="246"/>
        </w:trPr>
        <w:tc>
          <w:tcPr>
            <w:cnfStyle w:val="001000000000"/>
            <w:tcW w:w="1143" w:type="dxa"/>
            <w:vMerge w:val="restart"/>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SEMA</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RI</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Rhode Island</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153</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5.3</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8.4</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171</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5.5</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8.4</w:t>
            </w:r>
          </w:p>
        </w:tc>
      </w:tr>
      <w:tr w:rsidR="00F47332" w:rsidRPr="00943F5E" w:rsidTr="005E3A82">
        <w:trPr>
          <w:cnfStyle w:val="000000010000"/>
          <w:trHeight w:val="246"/>
        </w:trPr>
        <w:tc>
          <w:tcPr>
            <w:cnfStyle w:val="001000000000"/>
            <w:tcW w:w="1143" w:type="dxa"/>
            <w:vMerge/>
            <w:shd w:val="clear" w:color="auto" w:fill="FFFFFF" w:themeFill="background1"/>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SEMA</w:t>
            </w:r>
          </w:p>
        </w:tc>
        <w:tc>
          <w:tcPr>
            <w:cnfStyle w:val="000001000000"/>
            <w:tcW w:w="1582" w:type="dxa"/>
            <w:shd w:val="clear" w:color="auto" w:fill="FFFFFF" w:themeFill="background1"/>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Massachusetts</w:t>
            </w:r>
          </w:p>
        </w:tc>
        <w:tc>
          <w:tcPr>
            <w:cnfStyle w:val="000010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722</w:t>
            </w:r>
          </w:p>
        </w:tc>
        <w:tc>
          <w:tcPr>
            <w:cnfStyle w:val="000001000000"/>
            <w:tcW w:w="1069"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94.7</w:t>
            </w:r>
          </w:p>
        </w:tc>
        <w:tc>
          <w:tcPr>
            <w:cnfStyle w:val="000010000000"/>
            <w:tcW w:w="911"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21.6</w:t>
            </w: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924</w:t>
            </w:r>
          </w:p>
        </w:tc>
        <w:tc>
          <w:tcPr>
            <w:cnfStyle w:val="000010000000"/>
            <w:tcW w:w="90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94.5</w:t>
            </w:r>
          </w:p>
        </w:tc>
        <w:tc>
          <w:tcPr>
            <w:cnfStyle w:val="000001000000"/>
            <w:tcW w:w="99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21.6</w:t>
            </w:r>
          </w:p>
        </w:tc>
      </w:tr>
      <w:tr w:rsidR="00F47332" w:rsidRPr="00943F5E" w:rsidTr="00A614A6">
        <w:trPr>
          <w:cnfStyle w:val="000000100000"/>
          <w:trHeight w:val="246"/>
        </w:trPr>
        <w:tc>
          <w:tcPr>
            <w:cnfStyle w:val="001000000000"/>
            <w:tcW w:w="1143" w:type="dxa"/>
            <w:vMerge/>
            <w:shd w:val="clear" w:color="auto" w:fill="FFFFFF" w:themeFill="background1"/>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FFFFF" w:themeFill="background1"/>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875</w:t>
            </w:r>
          </w:p>
        </w:tc>
        <w:tc>
          <w:tcPr>
            <w:cnfStyle w:val="000010000000"/>
            <w:tcW w:w="198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w:t>
            </w:r>
            <w:r>
              <w:rPr>
                <w:rFonts w:ascii="Arial" w:hAnsi="Arial" w:cs="Arial"/>
                <w:sz w:val="16"/>
                <w:szCs w:val="16"/>
              </w:rPr>
              <w:t>,</w:t>
            </w:r>
            <w:r w:rsidRPr="00943F5E">
              <w:rPr>
                <w:rFonts w:ascii="Arial" w:hAnsi="Arial" w:cs="Arial"/>
                <w:sz w:val="16"/>
                <w:szCs w:val="16"/>
              </w:rPr>
              <w:t>095</w:t>
            </w:r>
          </w:p>
        </w:tc>
        <w:tc>
          <w:tcPr>
            <w:cnfStyle w:val="000010000000"/>
            <w:tcW w:w="1890" w:type="dxa"/>
            <w:gridSpan w:val="2"/>
            <w:shd w:val="clear" w:color="auto" w:fill="FFFFFF" w:themeFill="background1"/>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F47332" w:rsidRPr="00943F5E" w:rsidTr="005E3A82">
        <w:trPr>
          <w:cnfStyle w:val="000000010000"/>
          <w:trHeight w:val="246"/>
        </w:trPr>
        <w:tc>
          <w:tcPr>
            <w:cnfStyle w:val="001000000000"/>
            <w:tcW w:w="1143" w:type="dxa"/>
            <w:vMerge w:val="restart"/>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 </w:t>
            </w:r>
          </w:p>
          <w:p w:rsidR="00F47332" w:rsidRDefault="00F47332">
            <w:pPr>
              <w:keepNext/>
              <w:keepLines/>
              <w:spacing w:after="0"/>
              <w:rPr>
                <w:rFonts w:ascii="Arial" w:hAnsi="Arial" w:cs="Arial"/>
                <w:sz w:val="16"/>
                <w:szCs w:val="16"/>
              </w:rPr>
            </w:pPr>
            <w:r w:rsidRPr="00943F5E">
              <w:rPr>
                <w:rFonts w:ascii="Arial" w:hAnsi="Arial" w:cs="Arial"/>
                <w:sz w:val="16"/>
                <w:szCs w:val="16"/>
              </w:rPr>
              <w:t>RI</w:t>
            </w:r>
          </w:p>
          <w:p w:rsidR="00F47332" w:rsidRDefault="00F47332" w:rsidP="00A614A6">
            <w:pPr>
              <w:keepNext/>
              <w:keepLines/>
              <w:spacing w:after="0"/>
              <w:rPr>
                <w:rFonts w:ascii="Arial" w:hAnsi="Arial" w:cs="Arial"/>
                <w:b w:val="0"/>
                <w:bCs w:val="0"/>
                <w:sz w:val="16"/>
                <w:szCs w:val="16"/>
              </w:rPr>
            </w:pPr>
            <w:r w:rsidRPr="00943F5E">
              <w:rPr>
                <w:rFonts w:ascii="Arial" w:hAnsi="Arial" w:cs="Arial"/>
                <w:sz w:val="16"/>
                <w:szCs w:val="16"/>
              </w:rPr>
              <w:t> </w:t>
            </w: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RI</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Rhode Island</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674</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67.0</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91.6</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1</w:t>
            </w:r>
            <w:r>
              <w:rPr>
                <w:rFonts w:ascii="Arial" w:hAnsi="Arial" w:cs="Arial"/>
                <w:sz w:val="16"/>
                <w:szCs w:val="16"/>
              </w:rPr>
              <w:t>,</w:t>
            </w:r>
            <w:r w:rsidRPr="00943F5E">
              <w:rPr>
                <w:rFonts w:ascii="Arial" w:hAnsi="Arial" w:cs="Arial"/>
                <w:sz w:val="16"/>
                <w:szCs w:val="16"/>
              </w:rPr>
              <w:t>864</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67.8</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91.6</w:t>
            </w:r>
          </w:p>
        </w:tc>
      </w:tr>
      <w:tr w:rsidR="00F47332" w:rsidRPr="00943F5E" w:rsidTr="005E3A82">
        <w:trPr>
          <w:cnfStyle w:val="000000100000"/>
          <w:trHeight w:val="246"/>
        </w:trPr>
        <w:tc>
          <w:tcPr>
            <w:cnfStyle w:val="001000000000"/>
            <w:tcW w:w="1143" w:type="dxa"/>
            <w:vMerge/>
            <w:shd w:val="clear" w:color="auto" w:fill="FDEED1" w:themeFill="background2" w:themeFillTint="33"/>
            <w:noWrap/>
            <w:hideMark/>
          </w:tcPr>
          <w:p w:rsidR="00F47332" w:rsidRDefault="00F47332" w:rsidP="00A614A6">
            <w:pPr>
              <w:keepNext/>
              <w:keepLines/>
              <w:spacing w:after="0"/>
              <w:rPr>
                <w:rFonts w:ascii="Arial" w:hAnsi="Arial" w:cs="Arial"/>
                <w:b w:val="0"/>
                <w:bCs w:val="0"/>
                <w:sz w:val="16"/>
                <w:szCs w:val="16"/>
              </w:rPr>
            </w:pPr>
          </w:p>
        </w:tc>
        <w:tc>
          <w:tcPr>
            <w:cnfStyle w:val="000010000000"/>
            <w:tcW w:w="1081"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SEMA</w:t>
            </w:r>
          </w:p>
        </w:tc>
        <w:tc>
          <w:tcPr>
            <w:cnfStyle w:val="000001000000"/>
            <w:tcW w:w="1582" w:type="dxa"/>
            <w:shd w:val="clear" w:color="auto" w:fill="FDEED1" w:themeFill="background2" w:themeFillTint="33"/>
            <w:noWrap/>
            <w:hideMark/>
          </w:tcPr>
          <w:p w:rsidR="00F47332" w:rsidRDefault="00F47332">
            <w:pPr>
              <w:keepNext/>
              <w:keepLines/>
              <w:spacing w:after="0"/>
              <w:rPr>
                <w:rFonts w:ascii="Arial" w:hAnsi="Arial" w:cs="Arial"/>
                <w:sz w:val="16"/>
                <w:szCs w:val="16"/>
              </w:rPr>
            </w:pPr>
            <w:r w:rsidRPr="00943F5E">
              <w:rPr>
                <w:rFonts w:ascii="Arial" w:hAnsi="Arial" w:cs="Arial"/>
                <w:sz w:val="16"/>
                <w:szCs w:val="16"/>
              </w:rPr>
              <w:t>Massachusetts</w:t>
            </w:r>
          </w:p>
        </w:tc>
        <w:tc>
          <w:tcPr>
            <w:cnfStyle w:val="000010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826</w:t>
            </w:r>
          </w:p>
        </w:tc>
        <w:tc>
          <w:tcPr>
            <w:cnfStyle w:val="000001000000"/>
            <w:tcW w:w="1069"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33.0</w:t>
            </w:r>
          </w:p>
        </w:tc>
        <w:tc>
          <w:tcPr>
            <w:cnfStyle w:val="000010000000"/>
            <w:tcW w:w="911"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6.5</w:t>
            </w: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886</w:t>
            </w:r>
          </w:p>
        </w:tc>
        <w:tc>
          <w:tcPr>
            <w:cnfStyle w:val="000010000000"/>
            <w:tcW w:w="90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32.2</w:t>
            </w:r>
          </w:p>
        </w:tc>
        <w:tc>
          <w:tcPr>
            <w:cnfStyle w:val="000001000000"/>
            <w:tcW w:w="99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6.5</w:t>
            </w:r>
          </w:p>
        </w:tc>
      </w:tr>
      <w:tr w:rsidR="00F47332" w:rsidRPr="00943F5E" w:rsidTr="00A614A6">
        <w:trPr>
          <w:cnfStyle w:val="000000010000"/>
          <w:trHeight w:val="246"/>
        </w:trPr>
        <w:tc>
          <w:tcPr>
            <w:cnfStyle w:val="001000000000"/>
            <w:tcW w:w="1143" w:type="dxa"/>
            <w:vMerge/>
            <w:shd w:val="clear" w:color="auto" w:fill="FDEED1" w:themeFill="background2" w:themeFillTint="33"/>
            <w:noWrap/>
            <w:hideMark/>
          </w:tcPr>
          <w:p w:rsidR="00F47332" w:rsidRDefault="00F47332">
            <w:pPr>
              <w:keepNext/>
              <w:keepLines/>
              <w:spacing w:after="0"/>
              <w:rPr>
                <w:rFonts w:ascii="Arial" w:hAnsi="Arial" w:cs="Arial"/>
                <w:b w:val="0"/>
                <w:bCs w:val="0"/>
                <w:sz w:val="16"/>
                <w:szCs w:val="16"/>
              </w:rPr>
            </w:pPr>
          </w:p>
        </w:tc>
        <w:tc>
          <w:tcPr>
            <w:cnfStyle w:val="000010000000"/>
            <w:tcW w:w="2663" w:type="dxa"/>
            <w:gridSpan w:val="2"/>
            <w:shd w:val="clear" w:color="auto" w:fill="FDEED1" w:themeFill="background2" w:themeFillTint="33"/>
            <w:noWrap/>
            <w:hideMark/>
          </w:tcPr>
          <w:p w:rsidR="00F47332" w:rsidRDefault="00F47332">
            <w:pPr>
              <w:keepNext/>
              <w:keepLines/>
              <w:spacing w:after="0"/>
              <w:rPr>
                <w:rFonts w:ascii="Arial" w:hAnsi="Arial" w:cs="Arial"/>
                <w:sz w:val="16"/>
                <w:szCs w:val="16"/>
              </w:rPr>
            </w:pPr>
          </w:p>
        </w:tc>
        <w:tc>
          <w:tcPr>
            <w:cnfStyle w:val="000001000000"/>
            <w:tcW w:w="842"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500</w:t>
            </w:r>
          </w:p>
        </w:tc>
        <w:tc>
          <w:tcPr>
            <w:cnfStyle w:val="000010000000"/>
            <w:tcW w:w="198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p>
        </w:tc>
        <w:tc>
          <w:tcPr>
            <w:cnfStyle w:val="000001000000"/>
            <w:tcW w:w="810" w:type="dxa"/>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2</w:t>
            </w:r>
            <w:r>
              <w:rPr>
                <w:rFonts w:ascii="Arial" w:hAnsi="Arial" w:cs="Arial"/>
                <w:sz w:val="16"/>
                <w:szCs w:val="16"/>
              </w:rPr>
              <w:t>,</w:t>
            </w:r>
            <w:r w:rsidRPr="00943F5E">
              <w:rPr>
                <w:rFonts w:ascii="Arial" w:hAnsi="Arial" w:cs="Arial"/>
                <w:sz w:val="16"/>
                <w:szCs w:val="16"/>
              </w:rPr>
              <w:t>750</w:t>
            </w:r>
          </w:p>
        </w:tc>
        <w:tc>
          <w:tcPr>
            <w:cnfStyle w:val="000010000000"/>
            <w:tcW w:w="1890" w:type="dxa"/>
            <w:gridSpan w:val="2"/>
            <w:shd w:val="clear" w:color="auto" w:fill="FDEED1" w:themeFill="background2" w:themeFillTint="33"/>
            <w:noWrap/>
            <w:tcMar>
              <w:left w:w="0" w:type="dxa"/>
              <w:right w:w="115" w:type="dxa"/>
            </w:tcMar>
            <w:hideMark/>
          </w:tcPr>
          <w:p w:rsidR="00F47332" w:rsidRDefault="00F47332">
            <w:pPr>
              <w:keepNext/>
              <w:keepLines/>
              <w:spacing w:after="0"/>
              <w:jc w:val="right"/>
              <w:rPr>
                <w:rFonts w:ascii="Arial" w:hAnsi="Arial" w:cs="Arial"/>
                <w:sz w:val="16"/>
                <w:szCs w:val="16"/>
              </w:rPr>
            </w:pPr>
            <w:r w:rsidRPr="00943F5E">
              <w:rPr>
                <w:rFonts w:ascii="Arial" w:hAnsi="Arial" w:cs="Arial"/>
                <w:sz w:val="16"/>
                <w:szCs w:val="16"/>
              </w:rPr>
              <w:t> </w:t>
            </w:r>
          </w:p>
        </w:tc>
      </w:tr>
      <w:tr w:rsidR="0034080E" w:rsidRPr="00943F5E" w:rsidTr="005E3A82">
        <w:trPr>
          <w:cnfStyle w:val="000000100000"/>
          <w:trHeight w:val="246"/>
        </w:trPr>
        <w:tc>
          <w:tcPr>
            <w:cnfStyle w:val="001000000000"/>
            <w:tcW w:w="1143" w:type="dxa"/>
            <w:noWrap/>
            <w:hideMark/>
          </w:tcPr>
          <w:p w:rsidR="00F056BC" w:rsidRDefault="0034080E">
            <w:pPr>
              <w:keepNext/>
              <w:keepLines/>
              <w:spacing w:after="0"/>
              <w:rPr>
                <w:rFonts w:ascii="Arial" w:hAnsi="Arial" w:cs="Arial"/>
                <w:b w:val="0"/>
                <w:bCs w:val="0"/>
                <w:sz w:val="16"/>
                <w:szCs w:val="16"/>
              </w:rPr>
            </w:pPr>
            <w:r w:rsidRPr="00943F5E">
              <w:rPr>
                <w:rFonts w:ascii="Arial" w:hAnsi="Arial" w:cs="Arial"/>
                <w:sz w:val="16"/>
                <w:szCs w:val="16"/>
              </w:rPr>
              <w:t>CT</w:t>
            </w:r>
          </w:p>
        </w:tc>
        <w:tc>
          <w:tcPr>
            <w:cnfStyle w:val="000010000000"/>
            <w:tcW w:w="1081" w:type="dxa"/>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CT</w:t>
            </w:r>
          </w:p>
        </w:tc>
        <w:tc>
          <w:tcPr>
            <w:cnfStyle w:val="000001000000"/>
            <w:tcW w:w="1582" w:type="dxa"/>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Connecticut</w:t>
            </w:r>
          </w:p>
        </w:tc>
        <w:tc>
          <w:tcPr>
            <w:cnfStyle w:val="000010000000"/>
            <w:tcW w:w="842"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w:t>
            </w:r>
            <w:r w:rsidR="004D72C6">
              <w:rPr>
                <w:rFonts w:ascii="Arial" w:hAnsi="Arial" w:cs="Arial"/>
                <w:sz w:val="16"/>
                <w:szCs w:val="16"/>
              </w:rPr>
              <w:t>,</w:t>
            </w:r>
            <w:r w:rsidRPr="00943F5E">
              <w:rPr>
                <w:rFonts w:ascii="Arial" w:hAnsi="Arial" w:cs="Arial"/>
                <w:sz w:val="16"/>
                <w:szCs w:val="16"/>
              </w:rPr>
              <w:t>450</w:t>
            </w:r>
          </w:p>
        </w:tc>
        <w:tc>
          <w:tcPr>
            <w:cnfStyle w:val="000001000000"/>
            <w:tcW w:w="1069"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10000000"/>
            <w:tcW w:w="911"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47.7</w:t>
            </w:r>
          </w:p>
        </w:tc>
        <w:tc>
          <w:tcPr>
            <w:cnfStyle w:val="000001000000"/>
            <w:tcW w:w="81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w:t>
            </w:r>
            <w:r w:rsidR="004D72C6">
              <w:rPr>
                <w:rFonts w:ascii="Arial" w:hAnsi="Arial" w:cs="Arial"/>
                <w:sz w:val="16"/>
                <w:szCs w:val="16"/>
              </w:rPr>
              <w:t>,</w:t>
            </w:r>
            <w:r w:rsidRPr="00943F5E">
              <w:rPr>
                <w:rFonts w:ascii="Arial" w:hAnsi="Arial" w:cs="Arial"/>
                <w:sz w:val="16"/>
                <w:szCs w:val="16"/>
              </w:rPr>
              <w:t>750</w:t>
            </w:r>
          </w:p>
        </w:tc>
        <w:tc>
          <w:tcPr>
            <w:cnfStyle w:val="000010000000"/>
            <w:tcW w:w="90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01000000"/>
            <w:tcW w:w="99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47.7</w:t>
            </w:r>
          </w:p>
        </w:tc>
      </w:tr>
      <w:tr w:rsidR="00F056BC" w:rsidRPr="00943F5E" w:rsidTr="005E3A82">
        <w:trPr>
          <w:cnfStyle w:val="000000010000"/>
          <w:trHeight w:val="246"/>
        </w:trPr>
        <w:tc>
          <w:tcPr>
            <w:cnfStyle w:val="001000000000"/>
            <w:tcW w:w="1143" w:type="dxa"/>
            <w:shd w:val="clear" w:color="auto" w:fill="FDEED1" w:themeFill="background2" w:themeFillTint="33"/>
            <w:noWrap/>
            <w:hideMark/>
          </w:tcPr>
          <w:p w:rsidR="00F056BC" w:rsidRDefault="0034080E">
            <w:pPr>
              <w:keepNext/>
              <w:keepLines/>
              <w:spacing w:after="0"/>
              <w:rPr>
                <w:rFonts w:ascii="Arial" w:hAnsi="Arial" w:cs="Arial"/>
                <w:b w:val="0"/>
                <w:bCs w:val="0"/>
                <w:sz w:val="16"/>
                <w:szCs w:val="16"/>
              </w:rPr>
            </w:pPr>
            <w:r w:rsidRPr="00943F5E">
              <w:rPr>
                <w:rFonts w:ascii="Arial" w:hAnsi="Arial" w:cs="Arial"/>
                <w:sz w:val="16"/>
                <w:szCs w:val="16"/>
              </w:rPr>
              <w:t>SWCT</w:t>
            </w:r>
          </w:p>
        </w:tc>
        <w:tc>
          <w:tcPr>
            <w:cnfStyle w:val="000010000000"/>
            <w:tcW w:w="1081" w:type="dxa"/>
            <w:shd w:val="clear" w:color="auto" w:fill="FDEED1" w:themeFill="background2" w:themeFillTint="33"/>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CT</w:t>
            </w:r>
          </w:p>
        </w:tc>
        <w:tc>
          <w:tcPr>
            <w:cnfStyle w:val="000001000000"/>
            <w:tcW w:w="1582" w:type="dxa"/>
            <w:shd w:val="clear" w:color="auto" w:fill="FDEED1" w:themeFill="background2" w:themeFillTint="33"/>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Connecticut</w:t>
            </w:r>
          </w:p>
        </w:tc>
        <w:tc>
          <w:tcPr>
            <w:cnfStyle w:val="000010000000"/>
            <w:tcW w:w="842"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2</w:t>
            </w:r>
            <w:r w:rsidR="004D72C6">
              <w:rPr>
                <w:rFonts w:ascii="Arial" w:hAnsi="Arial" w:cs="Arial"/>
                <w:sz w:val="16"/>
                <w:szCs w:val="16"/>
              </w:rPr>
              <w:t>,</w:t>
            </w:r>
            <w:r w:rsidRPr="00943F5E">
              <w:rPr>
                <w:rFonts w:ascii="Arial" w:hAnsi="Arial" w:cs="Arial"/>
                <w:sz w:val="16"/>
                <w:szCs w:val="16"/>
              </w:rPr>
              <w:t>370</w:t>
            </w:r>
          </w:p>
        </w:tc>
        <w:tc>
          <w:tcPr>
            <w:cnfStyle w:val="000001000000"/>
            <w:tcW w:w="1069"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10000000"/>
            <w:tcW w:w="911"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32.7</w:t>
            </w:r>
          </w:p>
        </w:tc>
        <w:tc>
          <w:tcPr>
            <w:cnfStyle w:val="000001000000"/>
            <w:tcW w:w="810"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2</w:t>
            </w:r>
            <w:r w:rsidR="004D72C6">
              <w:rPr>
                <w:rFonts w:ascii="Arial" w:hAnsi="Arial" w:cs="Arial"/>
                <w:sz w:val="16"/>
                <w:szCs w:val="16"/>
              </w:rPr>
              <w:t>,</w:t>
            </w:r>
            <w:r w:rsidRPr="00943F5E">
              <w:rPr>
                <w:rFonts w:ascii="Arial" w:hAnsi="Arial" w:cs="Arial"/>
                <w:sz w:val="16"/>
                <w:szCs w:val="16"/>
              </w:rPr>
              <w:t>575</w:t>
            </w:r>
          </w:p>
        </w:tc>
        <w:tc>
          <w:tcPr>
            <w:cnfStyle w:val="000010000000"/>
            <w:tcW w:w="900"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01000000"/>
            <w:tcW w:w="990" w:type="dxa"/>
            <w:shd w:val="clear" w:color="auto" w:fill="FDEED1" w:themeFill="background2" w:themeFillTint="33"/>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32.7</w:t>
            </w:r>
          </w:p>
        </w:tc>
      </w:tr>
      <w:tr w:rsidR="0034080E" w:rsidRPr="00943F5E" w:rsidTr="005E3A82">
        <w:trPr>
          <w:cnfStyle w:val="000000100000"/>
          <w:trHeight w:val="246"/>
        </w:trPr>
        <w:tc>
          <w:tcPr>
            <w:cnfStyle w:val="001000000000"/>
            <w:tcW w:w="1143" w:type="dxa"/>
            <w:noWrap/>
            <w:hideMark/>
          </w:tcPr>
          <w:p w:rsidR="00F056BC" w:rsidRDefault="0034080E">
            <w:pPr>
              <w:keepNext/>
              <w:keepLines/>
              <w:spacing w:after="0"/>
              <w:rPr>
                <w:rFonts w:ascii="Arial" w:hAnsi="Arial" w:cs="Arial"/>
                <w:b w:val="0"/>
                <w:bCs w:val="0"/>
                <w:sz w:val="16"/>
                <w:szCs w:val="16"/>
              </w:rPr>
            </w:pPr>
            <w:r w:rsidRPr="00943F5E">
              <w:rPr>
                <w:rFonts w:ascii="Arial" w:hAnsi="Arial" w:cs="Arial"/>
                <w:sz w:val="16"/>
                <w:szCs w:val="16"/>
              </w:rPr>
              <w:t>NOR</w:t>
            </w:r>
          </w:p>
        </w:tc>
        <w:tc>
          <w:tcPr>
            <w:cnfStyle w:val="000010000000"/>
            <w:tcW w:w="1081" w:type="dxa"/>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CT</w:t>
            </w:r>
          </w:p>
        </w:tc>
        <w:tc>
          <w:tcPr>
            <w:cnfStyle w:val="000001000000"/>
            <w:tcW w:w="1582" w:type="dxa"/>
            <w:noWrap/>
            <w:hideMark/>
          </w:tcPr>
          <w:p w:rsidR="00F158B9" w:rsidRDefault="0034080E">
            <w:pPr>
              <w:keepNext/>
              <w:keepLines/>
              <w:spacing w:after="0"/>
              <w:rPr>
                <w:rFonts w:ascii="Arial" w:hAnsi="Arial" w:cs="Arial"/>
                <w:sz w:val="16"/>
                <w:szCs w:val="16"/>
              </w:rPr>
            </w:pPr>
            <w:r w:rsidRPr="00943F5E">
              <w:rPr>
                <w:rFonts w:ascii="Arial" w:hAnsi="Arial" w:cs="Arial"/>
                <w:sz w:val="16"/>
                <w:szCs w:val="16"/>
              </w:rPr>
              <w:t>Connecticut</w:t>
            </w:r>
          </w:p>
        </w:tc>
        <w:tc>
          <w:tcPr>
            <w:cnfStyle w:val="000010000000"/>
            <w:tcW w:w="842"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w:t>
            </w:r>
            <w:r w:rsidR="004D72C6">
              <w:rPr>
                <w:rFonts w:ascii="Arial" w:hAnsi="Arial" w:cs="Arial"/>
                <w:sz w:val="16"/>
                <w:szCs w:val="16"/>
              </w:rPr>
              <w:t>,</w:t>
            </w:r>
            <w:r w:rsidRPr="00943F5E">
              <w:rPr>
                <w:rFonts w:ascii="Arial" w:hAnsi="Arial" w:cs="Arial"/>
                <w:sz w:val="16"/>
                <w:szCs w:val="16"/>
              </w:rPr>
              <w:t>345</w:t>
            </w:r>
          </w:p>
        </w:tc>
        <w:tc>
          <w:tcPr>
            <w:cnfStyle w:val="000001000000"/>
            <w:tcW w:w="1069"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10000000"/>
            <w:tcW w:w="911"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18.6</w:t>
            </w:r>
          </w:p>
        </w:tc>
        <w:tc>
          <w:tcPr>
            <w:cnfStyle w:val="000001000000"/>
            <w:tcW w:w="81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w:t>
            </w:r>
            <w:r w:rsidR="004D72C6">
              <w:rPr>
                <w:rFonts w:ascii="Arial" w:hAnsi="Arial" w:cs="Arial"/>
                <w:sz w:val="16"/>
                <w:szCs w:val="16"/>
              </w:rPr>
              <w:t>,</w:t>
            </w:r>
            <w:r w:rsidRPr="00943F5E">
              <w:rPr>
                <w:rFonts w:ascii="Arial" w:hAnsi="Arial" w:cs="Arial"/>
                <w:sz w:val="16"/>
                <w:szCs w:val="16"/>
              </w:rPr>
              <w:t>460</w:t>
            </w:r>
          </w:p>
        </w:tc>
        <w:tc>
          <w:tcPr>
            <w:cnfStyle w:val="000010000000"/>
            <w:tcW w:w="90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100.0</w:t>
            </w:r>
          </w:p>
        </w:tc>
        <w:tc>
          <w:tcPr>
            <w:cnfStyle w:val="000001000000"/>
            <w:tcW w:w="990" w:type="dxa"/>
            <w:noWrap/>
            <w:tcMar>
              <w:left w:w="0" w:type="dxa"/>
              <w:right w:w="115" w:type="dxa"/>
            </w:tcMar>
            <w:hideMark/>
          </w:tcPr>
          <w:p w:rsidR="00F056BC" w:rsidRDefault="0034080E">
            <w:pPr>
              <w:keepNext/>
              <w:keepLines/>
              <w:spacing w:after="0"/>
              <w:jc w:val="right"/>
              <w:rPr>
                <w:rFonts w:ascii="Arial" w:hAnsi="Arial" w:cs="Arial"/>
                <w:sz w:val="16"/>
                <w:szCs w:val="16"/>
              </w:rPr>
            </w:pPr>
            <w:r w:rsidRPr="00943F5E">
              <w:rPr>
                <w:rFonts w:ascii="Arial" w:hAnsi="Arial" w:cs="Arial"/>
                <w:sz w:val="16"/>
                <w:szCs w:val="16"/>
              </w:rPr>
              <w:t>18.6</w:t>
            </w:r>
          </w:p>
        </w:tc>
      </w:tr>
    </w:tbl>
    <w:p w:rsidR="0034080E" w:rsidRPr="00943F5E" w:rsidRDefault="0034080E" w:rsidP="008E39C2">
      <w:pPr>
        <w:keepNext/>
        <w:keepLines/>
        <w:spacing w:before="120" w:after="0" w:line="240" w:lineRule="auto"/>
        <w:rPr>
          <w:rFonts w:ascii="Arial" w:hAnsi="Arial" w:cs="Arial"/>
          <w:sz w:val="16"/>
          <w:szCs w:val="16"/>
        </w:rPr>
      </w:pPr>
      <w:r w:rsidRPr="00943F5E">
        <w:rPr>
          <w:rFonts w:ascii="Arial" w:hAnsi="Arial" w:cs="Arial"/>
          <w:sz w:val="16"/>
          <w:szCs w:val="16"/>
        </w:rPr>
        <w:t xml:space="preserve">(a) Numbers may not add </w:t>
      </w:r>
      <w:r w:rsidR="002975B6">
        <w:rPr>
          <w:rFonts w:ascii="Arial" w:hAnsi="Arial" w:cs="Arial"/>
          <w:sz w:val="16"/>
          <w:szCs w:val="16"/>
        </w:rPr>
        <w:t>because of</w:t>
      </w:r>
      <w:r w:rsidRPr="00943F5E">
        <w:rPr>
          <w:rFonts w:ascii="Arial" w:hAnsi="Arial" w:cs="Arial"/>
          <w:sz w:val="16"/>
          <w:szCs w:val="16"/>
        </w:rPr>
        <w:t xml:space="preserve"> rounding</w:t>
      </w:r>
      <w:r w:rsidR="00E1670A">
        <w:rPr>
          <w:rFonts w:ascii="Arial" w:hAnsi="Arial" w:cs="Arial"/>
          <w:sz w:val="16"/>
          <w:szCs w:val="16"/>
        </w:rPr>
        <w:t xml:space="preserve"> </w:t>
      </w:r>
      <w:r w:rsidR="00E1670A">
        <w:rPr>
          <w:rFonts w:ascii="Arial" w:hAnsi="Arial" w:cs="Arial"/>
          <w:bCs/>
          <w:sz w:val="16"/>
          <w:szCs w:val="16"/>
        </w:rPr>
        <w:t>and may not exactly match the results for other tables in this section</w:t>
      </w:r>
      <w:r w:rsidR="00E260CA">
        <w:rPr>
          <w:rFonts w:ascii="Arial" w:hAnsi="Arial" w:cs="Arial"/>
          <w:bCs/>
          <w:sz w:val="16"/>
          <w:szCs w:val="16"/>
        </w:rPr>
        <w:t>.</w:t>
      </w:r>
    </w:p>
    <w:p w:rsidR="0034080E" w:rsidRDefault="0034080E" w:rsidP="00073277"/>
    <w:p w:rsidR="001B3090" w:rsidRDefault="0034080E">
      <w:pPr>
        <w:pStyle w:val="Heading2"/>
      </w:pPr>
      <w:bookmarkStart w:id="155" w:name="_Ref265051921"/>
      <w:bookmarkStart w:id="156" w:name="_Toc271632213"/>
      <w:r>
        <w:t>The CELT Forecast and Passive Demand Resources</w:t>
      </w:r>
      <w:bookmarkEnd w:id="155"/>
      <w:bookmarkEnd w:id="156"/>
    </w:p>
    <w:p w:rsidR="0034080E" w:rsidRDefault="0034080E" w:rsidP="00073277">
      <w:r>
        <w:t xml:space="preserve">The seasonal peak load and energy forecast, as published </w:t>
      </w:r>
      <w:r w:rsidRPr="00A525A9">
        <w:t xml:space="preserve">in the </w:t>
      </w:r>
      <w:r w:rsidR="00A525A9" w:rsidRPr="00276F20">
        <w:rPr>
          <w:i/>
          <w:iCs/>
        </w:rPr>
        <w:t>20</w:t>
      </w:r>
      <w:r w:rsidR="00A525A9">
        <w:rPr>
          <w:i/>
          <w:iCs/>
        </w:rPr>
        <w:t>1</w:t>
      </w:r>
      <w:r w:rsidR="00A525A9" w:rsidRPr="00276F20">
        <w:rPr>
          <w:i/>
          <w:iCs/>
        </w:rPr>
        <w:t>0–201</w:t>
      </w:r>
      <w:r w:rsidR="00A525A9">
        <w:rPr>
          <w:i/>
          <w:iCs/>
        </w:rPr>
        <w:t>9</w:t>
      </w:r>
      <w:r w:rsidR="00A525A9" w:rsidRPr="00276F20">
        <w:rPr>
          <w:i/>
          <w:iCs/>
        </w:rPr>
        <w:t xml:space="preserve"> Forecast Report of Capacity, Energy, Loads, and Transmission</w:t>
      </w:r>
      <w:r w:rsidR="00A525A9" w:rsidRPr="00276F20">
        <w:t xml:space="preserve"> (</w:t>
      </w:r>
      <w:r w:rsidR="00A525A9">
        <w:t>2010</w:t>
      </w:r>
      <w:r w:rsidR="00A525A9" w:rsidRPr="008C1D7A">
        <w:t> CELT Report</w:t>
      </w:r>
      <w:r w:rsidR="00A525A9" w:rsidRPr="00276F20">
        <w:t>)</w:t>
      </w:r>
      <w:r w:rsidR="00A525A9">
        <w:t xml:space="preserve"> </w:t>
      </w:r>
      <w:r w:rsidRPr="00A525A9">
        <w:t>and used for calc</w:t>
      </w:r>
      <w:r>
        <w:t>ulating the Installed Capacity Requirement</w:t>
      </w:r>
      <w:r w:rsidR="000B4F7F">
        <w:t xml:space="preserve"> (ICR)</w:t>
      </w:r>
      <w:r>
        <w:t xml:space="preserve">, </w:t>
      </w:r>
      <w:r w:rsidR="007F22DF">
        <w:t>fully reflects historical passive</w:t>
      </w:r>
      <w:r w:rsidR="00A858AC">
        <w:t xml:space="preserve"> demand</w:t>
      </w:r>
      <w:r w:rsidR="007F22DF">
        <w:t xml:space="preserve"> resources and future federal appliance standards.</w:t>
      </w:r>
      <w:r w:rsidR="00EC5161" w:rsidRPr="0043463F">
        <w:rPr>
          <w:rStyle w:val="FootnoteReference"/>
          <w:sz w:val="22"/>
        </w:rPr>
        <w:footnoteReference w:id="73"/>
      </w:r>
      <w:r w:rsidR="007F22DF" w:rsidRPr="0043463F">
        <w:t xml:space="preserve"> </w:t>
      </w:r>
      <w:r w:rsidR="007F22DF">
        <w:t xml:space="preserve">The load forecast </w:t>
      </w:r>
      <w:r>
        <w:t xml:space="preserve">does not reflect the peak and energy savings of </w:t>
      </w:r>
      <w:r w:rsidR="00D4331C" w:rsidRPr="00D4331C">
        <w:t>the passive demand resources that have cleared the Forward Capacity Auctions and are listed in the CELT Report as capacity and are assumed held constant for years beyond FCA #3. The</w:t>
      </w:r>
      <w:r w:rsidRPr="00E47476">
        <w:t xml:space="preserve"> impacts these </w:t>
      </w:r>
      <w:r w:rsidR="00EE6778">
        <w:t xml:space="preserve">PDRs </w:t>
      </w:r>
      <w:r w:rsidR="00D4331C" w:rsidRPr="00D4331C">
        <w:t>have</w:t>
      </w:r>
      <w:r>
        <w:t xml:space="preserve"> on the</w:t>
      </w:r>
      <w:r w:rsidR="00216E51">
        <w:t xml:space="preserve"> systemwide load</w:t>
      </w:r>
      <w:r>
        <w:t xml:space="preserve"> forecast is demonstrated in the following </w:t>
      </w:r>
      <w:r w:rsidR="00EE6778">
        <w:t xml:space="preserve">plots </w:t>
      </w:r>
      <w:r w:rsidR="00D4331C" w:rsidRPr="00D4331C">
        <w:t>of annual</w:t>
      </w:r>
      <w:r w:rsidR="00EE6778">
        <w:t xml:space="preserve"> electric </w:t>
      </w:r>
      <w:r>
        <w:t xml:space="preserve">energy </w:t>
      </w:r>
      <w:r w:rsidR="00EE6778">
        <w:t xml:space="preserve">use </w:t>
      </w:r>
      <w:r>
        <w:t>and summer peaks</w:t>
      </w:r>
      <w:r w:rsidR="00BB6712">
        <w:t>.</w:t>
      </w:r>
      <w:r>
        <w:t xml:space="preserve"> </w:t>
      </w:r>
      <w:r w:rsidR="00832C7A">
        <w:fldChar w:fldCharType="begin"/>
      </w:r>
      <w:r w:rsidR="00B878C5">
        <w:instrText xml:space="preserve"> REF _Ref262119021 \h </w:instrText>
      </w:r>
      <w:r w:rsidR="00832C7A">
        <w:fldChar w:fldCharType="separate"/>
      </w:r>
      <w:r w:rsidR="00E5699E" w:rsidRPr="004068A2">
        <w:t>Figure </w:t>
      </w:r>
      <w:r w:rsidR="00E5699E">
        <w:rPr>
          <w:noProof/>
        </w:rPr>
        <w:t>3</w:t>
      </w:r>
      <w:r w:rsidR="00E5699E">
        <w:noBreakHyphen/>
      </w:r>
      <w:r w:rsidR="00E5699E">
        <w:rPr>
          <w:noProof/>
        </w:rPr>
        <w:t>3</w:t>
      </w:r>
      <w:r w:rsidR="00832C7A">
        <w:fldChar w:fldCharType="end"/>
      </w:r>
      <w:r>
        <w:t xml:space="preserve"> shows the ISO’s 50/50 historical summer peak loads and the forecasted load with and without passive resources.</w:t>
      </w:r>
      <w:r w:rsidR="00306B65" w:rsidRPr="0043463F">
        <w:rPr>
          <w:rStyle w:val="FootnoteReference"/>
          <w:sz w:val="22"/>
        </w:rPr>
        <w:footnoteReference w:id="74"/>
      </w:r>
      <w:r>
        <w:t xml:space="preserve"> </w:t>
      </w:r>
      <w:r w:rsidR="00832C7A">
        <w:fldChar w:fldCharType="begin"/>
      </w:r>
      <w:r w:rsidR="00B878C5">
        <w:instrText xml:space="preserve"> REF _Ref262119040 \h </w:instrText>
      </w:r>
      <w:r w:rsidR="00832C7A">
        <w:fldChar w:fldCharType="separate"/>
      </w:r>
      <w:r w:rsidR="00E5699E" w:rsidRPr="004068A2">
        <w:t>Figure </w:t>
      </w:r>
      <w:r w:rsidR="00E5699E">
        <w:rPr>
          <w:noProof/>
        </w:rPr>
        <w:t>3</w:t>
      </w:r>
      <w:r w:rsidR="00E5699E">
        <w:noBreakHyphen/>
      </w:r>
      <w:r w:rsidR="00E5699E">
        <w:rPr>
          <w:noProof/>
        </w:rPr>
        <w:t>4</w:t>
      </w:r>
      <w:r w:rsidR="00832C7A">
        <w:fldChar w:fldCharType="end"/>
      </w:r>
      <w:r>
        <w:t xml:space="preserve"> shows the ISO’s historical net energy for load and the forecasted net energy for load with and without passive resources.</w:t>
      </w:r>
      <w:r w:rsidR="00216E51" w:rsidRPr="00216E51">
        <w:t xml:space="preserve"> </w:t>
      </w:r>
      <w:r w:rsidR="00216E51">
        <w:t xml:space="preserve">Stakeholders have suggested that demand resources could show additional growth beyond FCA #3 and </w:t>
      </w:r>
      <w:r w:rsidR="002936AC">
        <w:t>s</w:t>
      </w:r>
      <w:r w:rsidR="00216E51">
        <w:t xml:space="preserve">tate </w:t>
      </w:r>
      <w:r w:rsidR="003D08E8">
        <w:t>EE</w:t>
      </w:r>
      <w:r w:rsidR="00216E51">
        <w:t xml:space="preserve"> programs</w:t>
      </w:r>
      <w:r w:rsidR="002936AC">
        <w:t xml:space="preserve"> could lead to additional savings</w:t>
      </w:r>
      <w:r w:rsidR="00216E51">
        <w:t>, especially beyond 2012.</w:t>
      </w:r>
    </w:p>
    <w:p w:rsidR="009607CE" w:rsidRDefault="009607CE" w:rsidP="009607CE">
      <w:pPr>
        <w:spacing w:after="0" w:line="240" w:lineRule="auto"/>
        <w:jc w:val="center"/>
      </w:pPr>
      <w:r w:rsidRPr="009607CE">
        <w:rPr>
          <w:noProof/>
        </w:rPr>
        <w:drawing>
          <wp:inline distT="0" distB="0" distL="0" distR="0">
            <wp:extent cx="4546519" cy="3611761"/>
            <wp:effectExtent l="19050" t="19050" r="25481" b="26789"/>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47199" cy="3612301"/>
                    </a:xfrm>
                    <a:prstGeom prst="rect">
                      <a:avLst/>
                    </a:prstGeom>
                    <a:noFill/>
                    <a:ln w="3175">
                      <a:solidFill>
                        <a:schemeClr val="tx1"/>
                      </a:solidFill>
                      <a:miter lim="800000"/>
                      <a:headEnd/>
                      <a:tailEnd/>
                    </a:ln>
                  </pic:spPr>
                </pic:pic>
              </a:graphicData>
            </a:graphic>
          </wp:inline>
        </w:drawing>
      </w:r>
    </w:p>
    <w:p w:rsidR="0034080E" w:rsidRDefault="0034080E" w:rsidP="00A525A9">
      <w:pPr>
        <w:pStyle w:val="Caption-Figure"/>
        <w:tabs>
          <w:tab w:val="left" w:pos="8370"/>
        </w:tabs>
        <w:spacing w:after="80"/>
        <w:ind w:left="1080" w:right="990"/>
      </w:pPr>
      <w:bookmarkStart w:id="157" w:name="_Ref262119021"/>
      <w:bookmarkStart w:id="158" w:name="_Toc271552370"/>
      <w:r w:rsidRPr="004068A2">
        <w:t>Figure </w:t>
      </w:r>
      <w:r w:rsidR="00832C7A">
        <w:fldChar w:fldCharType="begin"/>
      </w:r>
      <w:r w:rsidR="00807C8D">
        <w:instrText xml:space="preserve"> STYLEREF 1 \s </w:instrText>
      </w:r>
      <w:r w:rsidR="00832C7A">
        <w:fldChar w:fldCharType="separate"/>
      </w:r>
      <w:r w:rsidR="00E5699E">
        <w:rPr>
          <w:noProof/>
        </w:rPr>
        <w:t>3</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3</w:t>
      </w:r>
      <w:r w:rsidR="00832C7A">
        <w:fldChar w:fldCharType="end"/>
      </w:r>
      <w:bookmarkEnd w:id="157"/>
      <w:r w:rsidRPr="004068A2">
        <w:t>: Historical and forecast annual summer-peak load</w:t>
      </w:r>
      <w:r w:rsidR="00960A95">
        <w:t>s</w:t>
      </w:r>
      <w:r w:rsidRPr="004068A2">
        <w:t>, 1980 to 201</w:t>
      </w:r>
      <w:r>
        <w:t>9.</w:t>
      </w:r>
      <w:bookmarkEnd w:id="158"/>
    </w:p>
    <w:p w:rsidR="0034080E" w:rsidRDefault="003174D8" w:rsidP="00A525A9">
      <w:pPr>
        <w:tabs>
          <w:tab w:val="left" w:pos="8370"/>
        </w:tabs>
        <w:spacing w:after="0" w:line="240" w:lineRule="auto"/>
        <w:ind w:left="1080" w:right="990"/>
        <w:rPr>
          <w:rFonts w:ascii="Arial" w:eastAsia="Times New Roman" w:hAnsi="Arial" w:cs="Arial"/>
          <w:sz w:val="16"/>
          <w:szCs w:val="16"/>
        </w:rPr>
      </w:pPr>
      <w:r w:rsidRPr="003174D8">
        <w:rPr>
          <w:rFonts w:ascii="Arial" w:hAnsi="Arial" w:cs="Arial"/>
          <w:b/>
          <w:sz w:val="16"/>
          <w:szCs w:val="16"/>
        </w:rPr>
        <w:t>Note:</w:t>
      </w:r>
      <w:r w:rsidRPr="003174D8">
        <w:rPr>
          <w:rFonts w:ascii="Arial" w:hAnsi="Arial" w:cs="Arial"/>
          <w:sz w:val="16"/>
          <w:szCs w:val="16"/>
        </w:rPr>
        <w:t xml:space="preserve"> Additional information is available at “CELT</w:t>
      </w:r>
      <w:r w:rsidR="00A22B1D" w:rsidRPr="00A22B1D">
        <w:rPr>
          <w:rFonts w:ascii="Arial" w:hAnsi="Arial" w:cs="Arial"/>
          <w:sz w:val="16"/>
          <w:szCs w:val="16"/>
        </w:rPr>
        <w:t xml:space="preserve"> Forecasting Details 2010;” http://www.iso-ne.com/trans/celt/fsct_detail/index.html, and “CELT Report 2010;” http://www.iso-ne.com/trans/celt/report/index.html.</w:t>
      </w:r>
      <w:r w:rsidR="0034080E" w:rsidRPr="00C323B0">
        <w:rPr>
          <w:rFonts w:ascii="Arial" w:eastAsia="Times New Roman" w:hAnsi="Arial" w:cs="Arial"/>
          <w:sz w:val="16"/>
          <w:szCs w:val="16"/>
        </w:rPr>
        <w:t xml:space="preserve"> </w:t>
      </w:r>
    </w:p>
    <w:p w:rsidR="0034080E" w:rsidRDefault="00136742" w:rsidP="00136742">
      <w:pPr>
        <w:spacing w:after="0" w:line="240" w:lineRule="auto"/>
        <w:jc w:val="center"/>
      </w:pPr>
      <w:r w:rsidRPr="00136742">
        <w:rPr>
          <w:noProof/>
        </w:rPr>
        <w:drawing>
          <wp:inline distT="0" distB="0" distL="0" distR="0">
            <wp:extent cx="4633018" cy="3658703"/>
            <wp:effectExtent l="19050" t="19050" r="15182" b="17947"/>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633326" cy="3658946"/>
                    </a:xfrm>
                    <a:prstGeom prst="rect">
                      <a:avLst/>
                    </a:prstGeom>
                    <a:noFill/>
                    <a:ln w="3175">
                      <a:solidFill>
                        <a:schemeClr val="tx1"/>
                      </a:solidFill>
                      <a:miter lim="800000"/>
                      <a:headEnd/>
                      <a:tailEnd/>
                    </a:ln>
                  </pic:spPr>
                </pic:pic>
              </a:graphicData>
            </a:graphic>
          </wp:inline>
        </w:drawing>
      </w:r>
    </w:p>
    <w:p w:rsidR="0031359B" w:rsidRDefault="0034080E" w:rsidP="00133916">
      <w:pPr>
        <w:pStyle w:val="Caption-Figure"/>
        <w:ind w:left="1080"/>
      </w:pPr>
      <w:bookmarkStart w:id="159" w:name="_Ref262119040"/>
      <w:bookmarkStart w:id="160" w:name="_Toc271552371"/>
      <w:r w:rsidRPr="004068A2">
        <w:t>Figure </w:t>
      </w:r>
      <w:r w:rsidR="00832C7A">
        <w:fldChar w:fldCharType="begin"/>
      </w:r>
      <w:r w:rsidR="00807C8D">
        <w:instrText xml:space="preserve"> STYLEREF 1 \s </w:instrText>
      </w:r>
      <w:r w:rsidR="00832C7A">
        <w:fldChar w:fldCharType="separate"/>
      </w:r>
      <w:r w:rsidR="00E5699E">
        <w:rPr>
          <w:noProof/>
        </w:rPr>
        <w:t>3</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4</w:t>
      </w:r>
      <w:r w:rsidR="00832C7A">
        <w:fldChar w:fldCharType="end"/>
      </w:r>
      <w:bookmarkEnd w:id="159"/>
      <w:r w:rsidRPr="004068A2">
        <w:t xml:space="preserve">: Historical and forecast annual </w:t>
      </w:r>
      <w:r>
        <w:t>energy</w:t>
      </w:r>
      <w:r w:rsidR="009E210E">
        <w:t xml:space="preserve"> use</w:t>
      </w:r>
      <w:r w:rsidRPr="004068A2">
        <w:t>, 1980 to 201</w:t>
      </w:r>
      <w:r>
        <w:t>9.</w:t>
      </w:r>
      <w:bookmarkEnd w:id="160"/>
    </w:p>
    <w:p w:rsidR="0034080E" w:rsidRDefault="0034080E" w:rsidP="00073277"/>
    <w:p w:rsidR="001B3090" w:rsidRDefault="0034080E">
      <w:pPr>
        <w:pStyle w:val="Heading2"/>
      </w:pPr>
      <w:bookmarkStart w:id="161" w:name="_Toc271632214"/>
      <w:r w:rsidRPr="005E539A">
        <w:t>Summary of Key Findings</w:t>
      </w:r>
      <w:bookmarkEnd w:id="161"/>
    </w:p>
    <w:p w:rsidR="0034080E" w:rsidRPr="00B8718F" w:rsidRDefault="0034080E" w:rsidP="00073277">
      <w:r w:rsidRPr="00B8718F">
        <w:t>The RSP</w:t>
      </w:r>
      <w:r>
        <w:t>1</w:t>
      </w:r>
      <w:r w:rsidRPr="00B8718F">
        <w:t xml:space="preserve">0 forecasts of annual and peak use of electric energy are </w:t>
      </w:r>
      <w:r>
        <w:t xml:space="preserve">key inputs in establishing the system needs </w:t>
      </w:r>
      <w:r w:rsidRPr="000B50B6">
        <w:t>discussed in Sections 4 through 1</w:t>
      </w:r>
      <w:r w:rsidR="00D721A5">
        <w:t>2</w:t>
      </w:r>
      <w:r w:rsidRPr="000B50B6">
        <w:t>. The</w:t>
      </w:r>
      <w:r>
        <w:t xml:space="preserve"> RSP10 forecasts are </w:t>
      </w:r>
      <w:r w:rsidRPr="00B8718F">
        <w:t>lower than those for RSP0</w:t>
      </w:r>
      <w:r>
        <w:t>9</w:t>
      </w:r>
      <w:r w:rsidR="002975B6">
        <w:t>,</w:t>
      </w:r>
      <w:r>
        <w:t xml:space="preserve"> </w:t>
      </w:r>
      <w:r w:rsidRPr="00B8718F">
        <w:t xml:space="preserve">mainly </w:t>
      </w:r>
      <w:r w:rsidR="002975B6">
        <w:t xml:space="preserve">because of </w:t>
      </w:r>
      <w:r w:rsidRPr="00B8718F">
        <w:t xml:space="preserve">the </w:t>
      </w:r>
      <w:r>
        <w:t xml:space="preserve">severity of the </w:t>
      </w:r>
      <w:r w:rsidRPr="00B8718F">
        <w:t>current recession</w:t>
      </w:r>
      <w:r w:rsidR="00662103">
        <w:t xml:space="preserve">. </w:t>
      </w:r>
      <w:r>
        <w:t xml:space="preserve">The key points of the forecast are as follows: </w:t>
      </w:r>
    </w:p>
    <w:p w:rsidR="0034080E" w:rsidRDefault="0034080E" w:rsidP="00073277">
      <w:pPr>
        <w:pStyle w:val="Bullet-Solid"/>
      </w:pPr>
      <w:r w:rsidRPr="00B8718F">
        <w:t>The recession</w:t>
      </w:r>
      <w:r>
        <w:t>, although more severe than forecasted for RSP09,</w:t>
      </w:r>
      <w:r w:rsidRPr="00B8718F">
        <w:t xml:space="preserve"> is forecast to end by mid to late 2009</w:t>
      </w:r>
      <w:r w:rsidR="002975B6">
        <w:t>,</w:t>
      </w:r>
      <w:r w:rsidRPr="00B8718F">
        <w:t xml:space="preserve"> followed by weak economic growth in 2010. The economy is forecast to rebound</w:t>
      </w:r>
      <w:r>
        <w:t xml:space="preserve"> </w:t>
      </w:r>
      <w:r w:rsidRPr="00B8718F">
        <w:t xml:space="preserve">through 2012 and then return to a long-run sustainable growth rate. The recovery assumes </w:t>
      </w:r>
      <w:r>
        <w:t xml:space="preserve">the resolution of </w:t>
      </w:r>
      <w:r w:rsidRPr="00B8718F">
        <w:t>the credit crisis and the</w:t>
      </w:r>
      <w:r>
        <w:t xml:space="preserve"> success of the</w:t>
      </w:r>
      <w:r w:rsidRPr="00B8718F">
        <w:t xml:space="preserve"> economic stimulus program</w:t>
      </w:r>
      <w:r>
        <w:t xml:space="preserve">. </w:t>
      </w:r>
    </w:p>
    <w:p w:rsidR="0034080E" w:rsidRDefault="0034080E" w:rsidP="00073277">
      <w:pPr>
        <w:pStyle w:val="Bullet-Solid"/>
      </w:pPr>
      <w:r w:rsidRPr="00B8718F">
        <w:t>The 50/50 summer peak forecast is lower than in RSP0</w:t>
      </w:r>
      <w:r>
        <w:t>9</w:t>
      </w:r>
      <w:r w:rsidRPr="00B8718F">
        <w:t xml:space="preserve"> by </w:t>
      </w:r>
      <w:r>
        <w:t>970</w:t>
      </w:r>
      <w:r w:rsidRPr="00B8718F">
        <w:t xml:space="preserve"> MW in 20</w:t>
      </w:r>
      <w:r>
        <w:t>1</w:t>
      </w:r>
      <w:r w:rsidRPr="00B8718F">
        <w:t xml:space="preserve">0, </w:t>
      </w:r>
      <w:r>
        <w:t>795</w:t>
      </w:r>
      <w:r w:rsidRPr="00B8718F">
        <w:t xml:space="preserve"> MW in 201</w:t>
      </w:r>
      <w:r>
        <w:t>3</w:t>
      </w:r>
      <w:r w:rsidRPr="00B8718F">
        <w:t>, and 5</w:t>
      </w:r>
      <w:r>
        <w:t>30</w:t>
      </w:r>
      <w:r w:rsidRPr="00B8718F">
        <w:t xml:space="preserve"> MW in 201</w:t>
      </w:r>
      <w:r>
        <w:t>8</w:t>
      </w:r>
      <w:r w:rsidRPr="00B8718F">
        <w:t>.</w:t>
      </w:r>
      <w:r w:rsidRPr="00BB7579">
        <w:t xml:space="preserve"> </w:t>
      </w:r>
      <w:r>
        <w:t>The 90/10 summer peak forecast is lower than in RSP09 by 800 MW in 2010, 630 MW in 2013, and 340 MW in 2018. The forecasts reflect the projected growth of the summer cooling load.</w:t>
      </w:r>
    </w:p>
    <w:p w:rsidR="0034080E" w:rsidRDefault="0034080E" w:rsidP="00073277">
      <w:pPr>
        <w:pStyle w:val="Bullet-Solid"/>
      </w:pPr>
      <w:r>
        <w:t xml:space="preserve">The updating of the historical weather (from 1963–1999 to 1969–2008) used in the peak load forecasts accounts for approximately 240 MW of the difference in the 50/50 summer peak from RSP09 but only 45 MW of the difference in the 90/10 summer peak from RSP09. </w:t>
      </w:r>
    </w:p>
    <w:p w:rsidR="001A446F" w:rsidRDefault="0034080E">
      <w:pPr>
        <w:pStyle w:val="Bullet-Solid"/>
      </w:pPr>
      <w:r w:rsidRPr="00B8718F">
        <w:t xml:space="preserve">The 50/50 </w:t>
      </w:r>
      <w:r>
        <w:t xml:space="preserve">and 90/10 </w:t>
      </w:r>
      <w:r w:rsidRPr="00B8718F">
        <w:t xml:space="preserve">winter peak forecast </w:t>
      </w:r>
      <w:r>
        <w:t>have not significantly changed from RSP09.</w:t>
      </w:r>
      <w:r w:rsidRPr="00B8718F">
        <w:t xml:space="preserve"> </w:t>
      </w:r>
    </w:p>
    <w:p w:rsidR="002936AC" w:rsidRDefault="002936AC" w:rsidP="002936AC">
      <w:pPr>
        <w:pStyle w:val="Bullet-Solid"/>
      </w:pPr>
      <w:r>
        <w:t>While historical load forecasts have been accurate, the ISO will continue working with stakeholders to examine ways for further improvement</w:t>
      </w:r>
      <w:r w:rsidR="00E84B2C">
        <w:t xml:space="preserve">. </w:t>
      </w:r>
    </w:p>
    <w:p w:rsidR="004E3B8A" w:rsidRPr="0030548F" w:rsidRDefault="004E3B8A" w:rsidP="00DF39BB">
      <w:pPr>
        <w:pStyle w:val="Heading1"/>
      </w:pPr>
      <w:r w:rsidRPr="0030548F">
        <w:br/>
      </w:r>
      <w:bookmarkStart w:id="162" w:name="_Toc176244994"/>
      <w:bookmarkStart w:id="163" w:name="_Ref230857005"/>
      <w:bookmarkStart w:id="164" w:name="_Ref230967163"/>
      <w:bookmarkStart w:id="165" w:name="_Ref230970810"/>
      <w:bookmarkStart w:id="166" w:name="_Ref231138253"/>
      <w:bookmarkStart w:id="167" w:name="_Ref235964658"/>
      <w:bookmarkStart w:id="168" w:name="_Ref235964676"/>
      <w:bookmarkStart w:id="169" w:name="_Toc239157056"/>
      <w:bookmarkStart w:id="170" w:name="_Ref262722844"/>
      <w:bookmarkStart w:id="171" w:name="_Ref262722881"/>
      <w:bookmarkStart w:id="172" w:name="_Ref262722902"/>
      <w:bookmarkStart w:id="173" w:name="_Ref262722915"/>
      <w:bookmarkStart w:id="174" w:name="_Ref262722930"/>
      <w:bookmarkStart w:id="175" w:name="_Ref265051943"/>
      <w:bookmarkStart w:id="176" w:name="_Ref266550660"/>
      <w:bookmarkStart w:id="177" w:name="_Ref267384552"/>
      <w:bookmarkStart w:id="178" w:name="_Ref267385154"/>
      <w:bookmarkStart w:id="179" w:name="_Toc271632215"/>
      <w:r w:rsidRPr="0030548F">
        <w:t>Resource Adequacy and Capacity</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4E3B8A" w:rsidRDefault="00832C7A" w:rsidP="004E3B8A">
      <w:r>
        <w:rPr>
          <w:noProof/>
          <w:lang w:eastAsia="zh-TW"/>
        </w:rPr>
        <w:pict>
          <v:shape id="_x0000_s1029" type="#_x0000_t202" style="position:absolute;margin-left:16859.45pt;margin-top:62.9pt;width:250.75pt;height:346.7pt;z-index:251703296;mso-wrap-distance-top:7.2pt;mso-wrap-distance-bottom:7.2pt;mso-position-horizontal:right;mso-position-horizontal-relative:margin;mso-position-vertical-relative:margin;mso-width-relative:margin;mso-height-relative:margin" fillcolor="#ebe8e6 [665]" strokecolor="black [3213]" strokeweight=".25pt">
            <v:textbox style="mso-next-textbox:#_x0000_s1029" inset="8.64pt,8.64pt,8.64pt,8.64pt">
              <w:txbxContent>
                <w:p w:rsidR="003C78A4" w:rsidRDefault="003C78A4">
                  <w:pPr>
                    <w:pStyle w:val="BodyText1"/>
                  </w:pPr>
                  <w:r>
                    <w:t xml:space="preserve">“The RSP shall identify: . . . (ii) the requirements and characteristics of the types of resources that may satisfy PTF system reliability and market efficiency needs to provide stakeholders an opportunity to develop and propose efficient market responses to meet the needs identified in Needs Assessments.” (Attachment K, Overview) </w:t>
                  </w:r>
                </w:p>
                <w:p w:rsidR="003C78A4" w:rsidRDefault="003C78A4">
                  <w:pPr>
                    <w:pStyle w:val="BodyText1"/>
                  </w:pPr>
                  <w:r>
                    <w:t xml:space="preserve">“The RSP shall, among other things: . . .(ii) provide the projected annual and peak demands for electric energy for a five- to ten-year horizon, the needs for resources over this period and how such resources are expected to be provided; (iii) specify the physical characteristics of the physical solutions that can meet the needs defined in the Needs Assessments and include information on market responses that can address them . . .” (Attachment K, § 3.1) </w:t>
                  </w:r>
                </w:p>
                <w:p w:rsidR="003C78A4" w:rsidRDefault="003C78A4">
                  <w:pPr>
                    <w:pStyle w:val="BodyText1"/>
                  </w:pPr>
                  <w:r w:rsidDel="00F8473B">
                    <w:t xml:space="preserve"> </w:t>
                  </w:r>
                  <w:r>
                    <w:t xml:space="preserve">“The RSP shall be designed and implemented to: . . .((ii) identify facilities that are necessary to meet Planning and Reliability Criteria; (iii) avoid the imposition of unreasonable costs upon any Transmission Owner, Transmission Customer or other user of a transmission facility; and (vi) properly coordinate with market responses, including, but not limited to generation, merchant transmission and demand-side responses.” (Attachment K,, § 3.4) </w:t>
                  </w:r>
                </w:p>
                <w:p w:rsidR="003C78A4" w:rsidRDefault="003C78A4" w:rsidP="00651C37">
                  <w:pPr>
                    <w:pStyle w:val="BodyText1"/>
                  </w:pPr>
                  <w:r>
                    <w:t xml:space="preserve">“Needs Assessments may examine resource adequacy . . .” (Attachment K, § 4.1.d) </w:t>
                  </w:r>
                </w:p>
                <w:p w:rsidR="003C78A4" w:rsidRDefault="003C78A4" w:rsidP="00651C37">
                  <w:pPr>
                    <w:pStyle w:val="BodyText1"/>
                  </w:pPr>
                  <w:r>
                    <w:t>“Specifically, the ISO shall incorporate or update information regarding resources in Needs Assessments that have been proposed and (i) have cleared in a Forward Capacity Auction pursuant to Market Rule 1 of the ISO Tariff, (ii) have been selected in, and are contractually bound by, a state-sponsored Request For Proposals, or (iii) have a financially binding obligation pursuant to a contract.”  (Attachment K,, § 4.2)]</w:t>
                  </w:r>
                </w:p>
              </w:txbxContent>
            </v:textbox>
            <w10:wrap type="square" anchorx="margin" anchory="margin"/>
          </v:shape>
        </w:pict>
      </w:r>
      <w:r w:rsidR="00E904AF" w:rsidRPr="00EF64AC">
        <w:t>The amount of capacity the New England power system needs to meet its resource adequacy and reliability</w:t>
      </w:r>
      <w:r w:rsidR="00402B91" w:rsidRPr="00EF64AC">
        <w:t xml:space="preserve"> </w:t>
      </w:r>
      <w:r w:rsidR="00E904AF" w:rsidRPr="00EF64AC">
        <w:t>requirements is called the Installed Capacity Requirement</w:t>
      </w:r>
      <w:r w:rsidR="000B4F7F">
        <w:t xml:space="preserve">. </w:t>
      </w:r>
      <w:r w:rsidR="004E3B8A" w:rsidRPr="00EF64AC">
        <w:t xml:space="preserve">To ensure </w:t>
      </w:r>
      <w:r w:rsidR="00483268">
        <w:t xml:space="preserve">the </w:t>
      </w:r>
      <w:r w:rsidR="004E3B8A" w:rsidRPr="00EF64AC">
        <w:t>power system</w:t>
      </w:r>
      <w:r w:rsidR="004E3B8A" w:rsidRPr="0030548F">
        <w:t xml:space="preserve"> has adequate capacity resources to meet its requirements</w:t>
      </w:r>
      <w:r w:rsidR="004E3B8A">
        <w:t xml:space="preserve"> under a wide range of existing and future system conditions, the ISO forecasts future electricity demand and</w:t>
      </w:r>
      <w:r w:rsidR="00186859">
        <w:t xml:space="preserve"> </w:t>
      </w:r>
      <w:r w:rsidR="004E3B8A">
        <w:t xml:space="preserve">identifies the quantity of resources needed to meet this demand after accounting for uncertainties, contingencies, and resource performance. It also must procure these resources through the Forward Capacity Market. Collectively, this process is referred to as the Resource Adequacy Process. Both supply-side and demand-side resources participate in the FCM, and both are used to effectively meet the resource needs of the New England region. </w:t>
      </w:r>
    </w:p>
    <w:p w:rsidR="002B5F70" w:rsidRDefault="004E3B8A" w:rsidP="004E3B8A">
      <w:r w:rsidRPr="00893805">
        <w:t>Through the F</w:t>
      </w:r>
      <w:r>
        <w:t xml:space="preserve">CM, </w:t>
      </w:r>
      <w:r w:rsidRPr="00893805">
        <w:t>which consists of a series of auctions and bilateral trading periods, the specific resources committed to meet the New England I</w:t>
      </w:r>
      <w:r w:rsidR="00483268">
        <w:t xml:space="preserve">CR </w:t>
      </w:r>
      <w:r w:rsidRPr="00893805">
        <w:t>and related values are identified</w:t>
      </w:r>
      <w:r w:rsidR="00483268">
        <w:t>.</w:t>
      </w:r>
      <w:r w:rsidRPr="004922CF">
        <w:t xml:space="preserve"> </w:t>
      </w:r>
      <w:r>
        <w:t>P</w:t>
      </w:r>
      <w:r w:rsidRPr="004922CF">
        <w:t>urchased capacity</w:t>
      </w:r>
      <w:r>
        <w:t xml:space="preserve"> resources</w:t>
      </w:r>
      <w:r w:rsidRPr="004922CF">
        <w:t xml:space="preserve"> </w:t>
      </w:r>
      <w:r>
        <w:t>must</w:t>
      </w:r>
      <w:r w:rsidRPr="004922CF">
        <w:t xml:space="preserve"> be available in the specified timeframe</w:t>
      </w:r>
      <w:r>
        <w:t xml:space="preserve"> to </w:t>
      </w:r>
      <w:r w:rsidRPr="001766B4">
        <w:t>ensure the region ha</w:t>
      </w:r>
      <w:r>
        <w:t>s</w:t>
      </w:r>
      <w:r w:rsidRPr="001766B4">
        <w:t xml:space="preserve"> adequate resources to meet regional resource needs</w:t>
      </w:r>
      <w:r w:rsidRPr="00352D1A">
        <w:t>.</w:t>
      </w:r>
      <w:r>
        <w:t xml:space="preserve"> Because of </w:t>
      </w:r>
      <w:r w:rsidR="00EF25EB" w:rsidRPr="00EF25EB">
        <w:t>the present capacity</w:t>
      </w:r>
      <w:r>
        <w:t xml:space="preserve"> surplus and the ongoing operation of the market, which allows resource owners to acquire, trade, and dispose of capacity supply obligations (CSOs), the </w:t>
      </w:r>
      <w:r w:rsidR="00BC4E15" w:rsidRPr="00BC4E15">
        <w:t xml:space="preserve">specific </w:t>
      </w:r>
      <w:r w:rsidR="00EF25EB" w:rsidRPr="00BC4E15">
        <w:t>mix</w:t>
      </w:r>
      <w:r w:rsidR="00BC4E15" w:rsidRPr="00BC4E15">
        <w:t xml:space="preserve"> </w:t>
      </w:r>
      <w:r w:rsidR="00EF25EB" w:rsidRPr="00BC4E15">
        <w:t xml:space="preserve">of resources </w:t>
      </w:r>
      <w:r w:rsidRPr="00BC4E15">
        <w:t>committed</w:t>
      </w:r>
      <w:r>
        <w:t xml:space="preserve"> to the New England system for any particular delivery period </w:t>
      </w:r>
      <w:r w:rsidRPr="004F5411">
        <w:t>changes over time.</w:t>
      </w:r>
      <w:r w:rsidRPr="00483268">
        <w:rPr>
          <w:rStyle w:val="FootnoteReference"/>
          <w:sz w:val="22"/>
        </w:rPr>
        <w:footnoteReference w:id="75"/>
      </w:r>
      <w:r w:rsidRPr="004F5411">
        <w:t xml:space="preserve"> Because of this ongoing operation of the market, no static report such as this one can possibly capture the “latest” available information. All the data in this report are accurate as of </w:t>
      </w:r>
      <w:r w:rsidR="00EF25EB" w:rsidRPr="004F5411">
        <w:t>the date they were pre</w:t>
      </w:r>
      <w:r w:rsidR="00BC4E15" w:rsidRPr="004F5411">
        <w:t>sented before the PAC</w:t>
      </w:r>
      <w:r w:rsidR="00EF25EB" w:rsidRPr="004F5411">
        <w:t>,</w:t>
      </w:r>
      <w:r w:rsidRPr="004F5411">
        <w:t xml:space="preserve"> but specific results may have changed by the time this report becomes available.</w:t>
      </w:r>
      <w:r w:rsidR="004F5411" w:rsidRPr="00483268">
        <w:rPr>
          <w:rStyle w:val="FootnoteReference"/>
          <w:sz w:val="22"/>
        </w:rPr>
        <w:footnoteReference w:id="76"/>
      </w:r>
    </w:p>
    <w:p w:rsidR="004E3B8A" w:rsidRPr="0070493C" w:rsidRDefault="004E3B8A" w:rsidP="004E3B8A">
      <w:r w:rsidRPr="00EB0652">
        <w:t>This section describes the</w:t>
      </w:r>
      <w:r>
        <w:t xml:space="preserve"> </w:t>
      </w:r>
      <w:r w:rsidRPr="00EB0652">
        <w:t>requirements for resource adequacy over the planning period,</w:t>
      </w:r>
      <w:r>
        <w:t xml:space="preserve"> </w:t>
      </w:r>
      <w:r w:rsidRPr="00EB0652">
        <w:t xml:space="preserve">the analyses conducted to determine specific </w:t>
      </w:r>
      <w:r>
        <w:t>systemwide</w:t>
      </w:r>
      <w:r w:rsidRPr="00EB0652">
        <w:t xml:space="preserve"> and local-area resource adequacy needs, the results and findings of these analyses, and the region’s efforts to meet the need for resources through the </w:t>
      </w:r>
      <w:r>
        <w:t>FCM</w:t>
      </w:r>
      <w:r w:rsidRPr="00EB0652">
        <w:t xml:space="preserve"> and the ISO’s Generato</w:t>
      </w:r>
      <w:r>
        <w:t>r</w:t>
      </w:r>
      <w:r w:rsidRPr="00EB0652">
        <w:t xml:space="preserve"> </w:t>
      </w:r>
      <w:r w:rsidRPr="00B560B9">
        <w:t xml:space="preserve">Interconnection </w:t>
      </w:r>
      <w:r w:rsidR="003174D8" w:rsidRPr="00B560B9">
        <w:t>Queue</w:t>
      </w:r>
      <w:r w:rsidRPr="00B560B9">
        <w:t>.</w:t>
      </w:r>
      <w:r w:rsidR="009C7916" w:rsidRPr="00483268">
        <w:rPr>
          <w:rStyle w:val="FootnoteReference"/>
          <w:sz w:val="22"/>
        </w:rPr>
        <w:footnoteReference w:id="77"/>
      </w:r>
      <w:r w:rsidRPr="00483268">
        <w:t xml:space="preserve"> </w:t>
      </w:r>
      <w:r w:rsidRPr="00B560B9">
        <w:t>Some</w:t>
      </w:r>
      <w:r>
        <w:t xml:space="preserve"> of the new </w:t>
      </w:r>
      <w:r w:rsidR="004F5411">
        <w:t xml:space="preserve">and evolving </w:t>
      </w:r>
      <w:r>
        <w:t>features of the Forward Capacity Market are</w:t>
      </w:r>
      <w:r w:rsidR="004F5411">
        <w:t xml:space="preserve"> discussed</w:t>
      </w:r>
      <w:r>
        <w:t xml:space="preserve">. This section also addresses the net operable capability assessments necessary </w:t>
      </w:r>
      <w:r w:rsidR="00E57CD8">
        <w:t xml:space="preserve">for </w:t>
      </w:r>
      <w:r>
        <w:t>determin</w:t>
      </w:r>
      <w:r w:rsidR="00E57CD8">
        <w:t>ing</w:t>
      </w:r>
      <w:r>
        <w:t xml:space="preserve"> whether sufficient resources will be available </w:t>
      </w:r>
      <w:r w:rsidRPr="0070493C">
        <w:t xml:space="preserve">under a variety of </w:t>
      </w:r>
      <w:r w:rsidR="004F5411">
        <w:t xml:space="preserve">scenarios examining </w:t>
      </w:r>
      <w:r w:rsidRPr="0070493C">
        <w:t>deterministic stressed-system conditions.</w:t>
      </w:r>
      <w:r w:rsidRPr="00483268">
        <w:rPr>
          <w:rStyle w:val="FootnoteReference"/>
          <w:sz w:val="22"/>
        </w:rPr>
        <w:footnoteReference w:id="78"/>
      </w:r>
      <w:r w:rsidRPr="0070493C">
        <w:t xml:space="preserve"> </w:t>
      </w:r>
      <w:bookmarkStart w:id="180" w:name="_Ref173391876"/>
      <w:bookmarkStart w:id="181" w:name="_Toc176244995"/>
      <w:bookmarkStart w:id="182" w:name="_Toc201669913"/>
      <w:bookmarkStart w:id="183" w:name="_Toc207531813"/>
      <w:bookmarkStart w:id="184" w:name="_Toc239157057"/>
    </w:p>
    <w:p w:rsidR="00C17C87" w:rsidRDefault="00205075" w:rsidP="004E3B8A">
      <w:r w:rsidRPr="0070493C">
        <w:t xml:space="preserve">Specifying the need for capacity resources over the 10-year period and providing sufficient information to assess the quality, general locations, and types of supply- or demand-side resources that can either satisfy the defined needs or potentially modify, offset, or defer regulated transmission upgrades complies with </w:t>
      </w:r>
      <w:r w:rsidR="00C17C87" w:rsidRPr="0070493C">
        <w:t>Section 3.1</w:t>
      </w:r>
      <w:r w:rsidR="0070493C" w:rsidRPr="0070493C">
        <w:t xml:space="preserve"> of </w:t>
      </w:r>
      <w:r w:rsidRPr="0070493C">
        <w:t>the OATT Attachment K.</w:t>
      </w:r>
      <w:r w:rsidR="00C17C87">
        <w:t xml:space="preserve"> </w:t>
      </w:r>
    </w:p>
    <w:p w:rsidR="001B3090" w:rsidRDefault="004E3B8A">
      <w:pPr>
        <w:pStyle w:val="Heading2"/>
      </w:pPr>
      <w:bookmarkStart w:id="185" w:name="_Ref266541080"/>
      <w:bookmarkStart w:id="186" w:name="_Toc271632216"/>
      <w:r w:rsidRPr="00DC14F1">
        <w:t xml:space="preserve">Systemwide </w:t>
      </w:r>
      <w:r>
        <w:t>Installed Capacity Requirement</w:t>
      </w:r>
      <w:bookmarkEnd w:id="180"/>
      <w:bookmarkEnd w:id="181"/>
      <w:bookmarkEnd w:id="182"/>
      <w:bookmarkEnd w:id="183"/>
      <w:bookmarkEnd w:id="184"/>
      <w:bookmarkEnd w:id="185"/>
      <w:bookmarkEnd w:id="186"/>
    </w:p>
    <w:p w:rsidR="004E3B8A" w:rsidRDefault="004E3B8A" w:rsidP="004E3B8A">
      <w:r>
        <w:t xml:space="preserve">To ensure the system </w:t>
      </w:r>
      <w:r w:rsidR="00E6718E">
        <w:t xml:space="preserve">continually </w:t>
      </w:r>
      <w:r>
        <w:t>has</w:t>
      </w:r>
      <w:r w:rsidR="00E6718E">
        <w:t xml:space="preserve"> </w:t>
      </w:r>
      <w:r>
        <w:t xml:space="preserve">adequate capacity </w:t>
      </w:r>
      <w:r w:rsidR="00EF25EB" w:rsidRPr="00EF25EB">
        <w:t>resources, each year the</w:t>
      </w:r>
      <w:r w:rsidRPr="00381D4A">
        <w:t xml:space="preserve"> ISO </w:t>
      </w:r>
      <w:r>
        <w:t xml:space="preserve">must determine the regional Installed Capacity Requirement, </w:t>
      </w:r>
      <w:r w:rsidRPr="00525A8A">
        <w:t>which forms the basis</w:t>
      </w:r>
      <w:r w:rsidRPr="00EB0652">
        <w:t xml:space="preserve"> of </w:t>
      </w:r>
      <w:r w:rsidRPr="00576F64">
        <w:t xml:space="preserve">the </w:t>
      </w:r>
      <w:r>
        <w:t>systemwide</w:t>
      </w:r>
      <w:r w:rsidRPr="00576F64">
        <w:t xml:space="preserve"> total </w:t>
      </w:r>
      <w:r w:rsidRPr="00E363D1">
        <w:t xml:space="preserve">amount of new and existing resources the annual Forward Capacity Auctions </w:t>
      </w:r>
      <w:r w:rsidR="00E6718E">
        <w:t xml:space="preserve">must procure </w:t>
      </w:r>
      <w:r w:rsidRPr="00E363D1">
        <w:t>as</w:t>
      </w:r>
      <w:r>
        <w:t xml:space="preserve"> part of the FCM</w:t>
      </w:r>
      <w:r w:rsidRPr="00EB0652">
        <w:t xml:space="preserve">. </w:t>
      </w:r>
      <w:r>
        <w:t xml:space="preserve">The ICR is determined </w:t>
      </w:r>
      <w:r w:rsidRPr="00381D4A">
        <w:t>us</w:t>
      </w:r>
      <w:r>
        <w:t xml:space="preserve">ing the </w:t>
      </w:r>
      <w:r w:rsidRPr="00381D4A">
        <w:t xml:space="preserve">well-established probabilistic loss-of-load-expectation </w:t>
      </w:r>
      <w:r>
        <w:t xml:space="preserve">(LOLE) </w:t>
      </w:r>
      <w:r w:rsidRPr="00381D4A">
        <w:t>analysis.</w:t>
      </w:r>
      <w:r w:rsidRPr="007C099B">
        <w:rPr>
          <w:rStyle w:val="FootnoteReference"/>
          <w:sz w:val="22"/>
        </w:rPr>
        <w:footnoteReference w:id="79"/>
      </w:r>
      <w:r w:rsidRPr="00381D4A">
        <w:t xml:space="preserve"> The </w:t>
      </w:r>
      <w:r w:rsidRPr="00643629">
        <w:rPr>
          <w:i/>
        </w:rPr>
        <w:t>LOLE analysis</w:t>
      </w:r>
      <w:r w:rsidRPr="00947FB7">
        <w:t xml:space="preserve"> identifies</w:t>
      </w:r>
      <w:r>
        <w:t xml:space="preserve"> </w:t>
      </w:r>
      <w:r w:rsidRPr="00381D4A">
        <w:t xml:space="preserve">the amount of installed capacity </w:t>
      </w:r>
      <w:r>
        <w:t xml:space="preserve">(MW) </w:t>
      </w:r>
      <w:r w:rsidRPr="00381D4A">
        <w:t xml:space="preserve">the system needs to meet the NPCC and ISO resource adequacy planning criterion to not disconnect firm load more </w:t>
      </w:r>
      <w:r w:rsidRPr="00F34716">
        <w:t>frequently than once in 10</w:t>
      </w:r>
      <w:r>
        <w:t> </w:t>
      </w:r>
      <w:r w:rsidRPr="00F34716">
        <w:t>years.</w:t>
      </w:r>
      <w:r w:rsidRPr="007C099B">
        <w:rPr>
          <w:rStyle w:val="FootnoteReference"/>
          <w:sz w:val="22"/>
        </w:rPr>
        <w:footnoteReference w:id="80"/>
      </w:r>
      <w:r w:rsidRPr="00F34716">
        <w:t xml:space="preserve"> To meet th</w:t>
      </w:r>
      <w:r>
        <w:t xml:space="preserve">is </w:t>
      </w:r>
      <w:r w:rsidRPr="00F34716">
        <w:t xml:space="preserve">“once-in-10-years” </w:t>
      </w:r>
      <w:r w:rsidRPr="00F34716">
        <w:rPr>
          <w:lang w:eastAsia="ar-SA"/>
        </w:rPr>
        <w:t>LOLE</w:t>
      </w:r>
      <w:r w:rsidRPr="00F34716">
        <w:t xml:space="preserve"> </w:t>
      </w:r>
      <w:r w:rsidRPr="00204738">
        <w:t xml:space="preserve">requirement, </w:t>
      </w:r>
      <w:r w:rsidR="00965BF0" w:rsidRPr="00204738">
        <w:t>the</w:t>
      </w:r>
      <w:r w:rsidRPr="00204738">
        <w:t xml:space="preserve"> </w:t>
      </w:r>
      <w:r w:rsidR="00A73FE0" w:rsidRPr="00204738">
        <w:t>region’s</w:t>
      </w:r>
      <w:r w:rsidRPr="00204738">
        <w:t xml:space="preserve"> power</w:t>
      </w:r>
      <w:r w:rsidRPr="00F34716">
        <w:rPr>
          <w:lang w:eastAsia="ar-SA"/>
        </w:rPr>
        <w:t xml:space="preserve"> s</w:t>
      </w:r>
      <w:r w:rsidRPr="00F34716">
        <w:t xml:space="preserve">ystem needs installed capacity in an amount equal to the expected demand plus </w:t>
      </w:r>
      <w:r>
        <w:t>additional capacity</w:t>
      </w:r>
      <w:r w:rsidRPr="00F34716">
        <w:t xml:space="preserve"> to handle any </w:t>
      </w:r>
      <w:r w:rsidRPr="00EB0652">
        <w:t xml:space="preserve">uncertainties associated with load or the performance of the capacity resources. </w:t>
      </w:r>
    </w:p>
    <w:p w:rsidR="004E3B8A" w:rsidRDefault="004E3B8A" w:rsidP="004E3B8A">
      <w:r w:rsidRPr="00DC659F">
        <w:t>The analysis for</w:t>
      </w:r>
      <w:r>
        <w:t xml:space="preserve"> calculating the ICR for New England </w:t>
      </w:r>
      <w:r w:rsidRPr="00F34716">
        <w:t>examines system resource adequacy</w:t>
      </w:r>
      <w:r>
        <w:t xml:space="preserve"> using</w:t>
      </w:r>
      <w:r w:rsidRPr="00F34716">
        <w:t xml:space="preserve"> assumptions for the load forecast, resource availability, and </w:t>
      </w:r>
      <w:r w:rsidRPr="00576F64">
        <w:t xml:space="preserve">possible </w:t>
      </w:r>
      <w:r>
        <w:rPr>
          <w:i/>
        </w:rPr>
        <w:t>tie-reliability</w:t>
      </w:r>
      <w:r w:rsidRPr="00576F64">
        <w:rPr>
          <w:i/>
        </w:rPr>
        <w:t xml:space="preserve"> benefits</w:t>
      </w:r>
      <w:r w:rsidRPr="00576F64">
        <w:t xml:space="preserve"> (i.e</w:t>
      </w:r>
      <w:r w:rsidRPr="00F34716">
        <w:t>., the receipt of emergency electric energy from neighboring regions)</w:t>
      </w:r>
      <w:r>
        <w:t>.</w:t>
      </w:r>
      <w:r w:rsidRPr="007C099B">
        <w:rPr>
          <w:rStyle w:val="FootnoteReference"/>
          <w:sz w:val="22"/>
        </w:rPr>
        <w:footnoteReference w:id="81"/>
      </w:r>
      <w:r w:rsidRPr="00F34716">
        <w:t xml:space="preserve"> </w:t>
      </w:r>
      <w:r>
        <w:t xml:space="preserve">The model also accounts for the load and capacity relief that can be obtained from implementing operating procedures, including </w:t>
      </w:r>
      <w:r w:rsidR="00B35FC1">
        <w:t>demand</w:t>
      </w:r>
      <w:r w:rsidRPr="00CF51DD">
        <w:t xml:space="preserve">-response </w:t>
      </w:r>
      <w:r w:rsidRPr="00302712">
        <w:t>programs</w:t>
      </w:r>
      <w:r>
        <w:t>. The ICR calculation, which uses a</w:t>
      </w:r>
      <w:r w:rsidRPr="00666533">
        <w:t xml:space="preserve"> single-bus model, does not consider the transmission system constraints within New England.</w:t>
      </w:r>
      <w:r w:rsidRPr="007C099B">
        <w:rPr>
          <w:rStyle w:val="FootnoteReference"/>
          <w:sz w:val="22"/>
        </w:rPr>
        <w:footnoteReference w:id="82"/>
      </w:r>
      <w:r>
        <w:t xml:space="preserve"> In addition to resources located in New England, the ICR analysis</w:t>
      </w:r>
      <w:r w:rsidRPr="00666533">
        <w:t xml:space="preserve"> model</w:t>
      </w:r>
      <w:r>
        <w:t>s</w:t>
      </w:r>
      <w:r w:rsidRPr="00666533">
        <w:t xml:space="preserve"> all </w:t>
      </w:r>
      <w:r>
        <w:t>existing qualified imports</w:t>
      </w:r>
      <w:r w:rsidRPr="005C147A">
        <w:t xml:space="preserve">, as reported in the ISO’s </w:t>
      </w:r>
      <w:r>
        <w:t>2010</w:t>
      </w:r>
      <w:r w:rsidRPr="008C1D7A">
        <w:t> CELT Report</w:t>
      </w:r>
      <w:r w:rsidRPr="00276F20">
        <w:t>.</w:t>
      </w:r>
      <w:r w:rsidRPr="007C099B">
        <w:rPr>
          <w:rStyle w:val="FootnoteReference"/>
          <w:sz w:val="22"/>
        </w:rPr>
        <w:footnoteReference w:id="83"/>
      </w:r>
      <w:r w:rsidRPr="00666533">
        <w:t xml:space="preserve"> </w:t>
      </w:r>
    </w:p>
    <w:p w:rsidR="004E3B8A" w:rsidRDefault="004E3B8A" w:rsidP="004E3B8A">
      <w:r>
        <w:t xml:space="preserve">RSP10 presents the established ICR values for the 2010 through </w:t>
      </w:r>
      <w:r w:rsidRPr="005E1A14">
        <w:t>2013 capacity commitment periods and</w:t>
      </w:r>
      <w:r w:rsidRPr="00EB0652">
        <w:t xml:space="preserve"> shows </w:t>
      </w:r>
      <w:r w:rsidRPr="00E363D1">
        <w:t>representative net</w:t>
      </w:r>
      <w:r w:rsidRPr="00853846">
        <w:t xml:space="preserve"> ICR</w:t>
      </w:r>
      <w:r w:rsidRPr="00EB0652">
        <w:t xml:space="preserve"> values for the 201</w:t>
      </w:r>
      <w:r>
        <w:t>4</w:t>
      </w:r>
      <w:r w:rsidRPr="00EB0652">
        <w:t xml:space="preserve"> through 20</w:t>
      </w:r>
      <w:r>
        <w:t xml:space="preserve">19 </w:t>
      </w:r>
      <w:r w:rsidRPr="00853846">
        <w:t>periods.</w:t>
      </w:r>
      <w:r w:rsidRPr="00853846">
        <w:rPr>
          <w:rStyle w:val="FootnoteReference"/>
          <w:sz w:val="22"/>
        </w:rPr>
        <w:footnoteReference w:id="84"/>
      </w:r>
      <w:r>
        <w:t xml:space="preserve"> The projected</w:t>
      </w:r>
      <w:r w:rsidRPr="00EB0652">
        <w:t xml:space="preserve"> net ICR</w:t>
      </w:r>
      <w:r>
        <w:t xml:space="preserve"> values do not indicate the definitive amount of capacity the region must purchase for that period but </w:t>
      </w:r>
      <w:r w:rsidRPr="000236EE">
        <w:t>provid</w:t>
      </w:r>
      <w:r>
        <w:t>e</w:t>
      </w:r>
      <w:r w:rsidRPr="001766B4">
        <w:t xml:space="preserve"> stakeholders with </w:t>
      </w:r>
      <w:r>
        <w:t xml:space="preserve">a general forecast of the likely </w:t>
      </w:r>
      <w:r w:rsidRPr="001766B4">
        <w:t xml:space="preserve">resource </w:t>
      </w:r>
      <w:r>
        <w:t xml:space="preserve">needs of the region. </w:t>
      </w:r>
      <w:r w:rsidRPr="00666533">
        <w:t xml:space="preserve">The assumptions </w:t>
      </w:r>
      <w:r>
        <w:t xml:space="preserve">used to develop the ICR values published in RSP10 </w:t>
      </w:r>
      <w:r w:rsidRPr="00666533">
        <w:t xml:space="preserve">were </w:t>
      </w:r>
      <w:r>
        <w:t xml:space="preserve">presented to and </w:t>
      </w:r>
      <w:r w:rsidRPr="00666533">
        <w:t xml:space="preserve">discussed </w:t>
      </w:r>
      <w:r>
        <w:t xml:space="preserve">thoroughly </w:t>
      </w:r>
      <w:r w:rsidRPr="00666533">
        <w:t>with the Power Supply Planning Committee</w:t>
      </w:r>
      <w:r>
        <w:t xml:space="preserve"> (PSPC), </w:t>
      </w:r>
      <w:r w:rsidRPr="00666533">
        <w:t xml:space="preserve">the </w:t>
      </w:r>
      <w:r>
        <w:t xml:space="preserve">Reliability </w:t>
      </w:r>
      <w:r w:rsidRPr="00781779">
        <w:t>Committee</w:t>
      </w:r>
      <w:r>
        <w:t xml:space="preserve"> (RC), and the Planning Advisory Committee.</w:t>
      </w:r>
      <w:r w:rsidRPr="00A03D83">
        <w:rPr>
          <w:rStyle w:val="FootnoteReference"/>
          <w:sz w:val="22"/>
        </w:rPr>
        <w:footnoteReference w:id="85"/>
      </w:r>
      <w:r w:rsidRPr="00A03D83">
        <w:t xml:space="preserve"> </w:t>
      </w:r>
    </w:p>
    <w:p w:rsidR="00B462A6" w:rsidRDefault="004E3B8A">
      <w:pPr>
        <w:pStyle w:val="Heading3"/>
      </w:pPr>
      <w:bookmarkStart w:id="187" w:name="_Ref266559888"/>
      <w:bookmarkStart w:id="188" w:name="_Toc271632217"/>
      <w:r w:rsidRPr="00643629">
        <w:t>ICR Values for 2010/2011 through 2019/2020 Capa</w:t>
      </w:r>
      <w:r w:rsidR="00643629" w:rsidRPr="00643629">
        <w:t>city Commitment Periods</w:t>
      </w:r>
      <w:bookmarkEnd w:id="187"/>
      <w:bookmarkEnd w:id="188"/>
    </w:p>
    <w:p w:rsidR="004E3B8A" w:rsidRDefault="00832C7A" w:rsidP="004E3B8A">
      <w:fldSimple w:instr=" REF _Ref262584696 \h  \* MERGEFORMAT ">
        <w:r w:rsidR="00E5699E" w:rsidRPr="00EF18B4">
          <w:t>Table </w:t>
        </w:r>
        <w:r w:rsidR="00E5699E">
          <w:t>4</w:t>
        </w:r>
        <w:r w:rsidR="00E5699E">
          <w:noBreakHyphen/>
          <w:t>1</w:t>
        </w:r>
      </w:fldSimple>
      <w:r w:rsidR="00697E8E" w:rsidRPr="00643629">
        <w:t xml:space="preserve"> </w:t>
      </w:r>
      <w:r w:rsidR="004E3B8A" w:rsidRPr="00643629">
        <w:t>summarizes the 50/50 peak load forecast, the net ICR values for the 2010/2011 through 2013/2014 capacity commitment periods, the representative net ICR values for the 2014/2015 through 2019/2020 periods, and the percentage of the resulting reserves.</w:t>
      </w:r>
      <w:r w:rsidR="004E3B8A" w:rsidRPr="00A03D83">
        <w:rPr>
          <w:rStyle w:val="FootnoteReference"/>
          <w:sz w:val="22"/>
        </w:rPr>
        <w:footnoteReference w:id="86"/>
      </w:r>
      <w:r w:rsidR="004E3B8A" w:rsidRPr="00643629">
        <w:t xml:space="preserve"> The net ICR values for the 2010/2011 through 2013/2014 capacity commitment periods, which are calculated as the ICR minus the value of </w:t>
      </w:r>
      <w:r w:rsidR="00EF25EB" w:rsidRPr="00643629">
        <w:t xml:space="preserve">Hydro-Québec </w:t>
      </w:r>
      <w:r w:rsidR="00025FCC" w:rsidRPr="00643629">
        <w:t>Interconnection</w:t>
      </w:r>
      <w:r w:rsidR="00EF25EB" w:rsidRPr="00643629">
        <w:t xml:space="preserve"> Capability Credit (HQICC)</w:t>
      </w:r>
      <w:r w:rsidR="004E3B8A" w:rsidRPr="00643629">
        <w:t xml:space="preserve"> for the particular capability year, reflect the latest ICR values established for those years. The ICR and HQICC values for the 2010/2011 through 2013/2014 commitment periods have been approved by FERC. The representative net ICR values for 2014/2015 and beyond were calculated by the ISO with stakeholder input using the following assumptions:</w:t>
      </w:r>
      <w:r w:rsidR="004E3B8A">
        <w:t xml:space="preserve"> </w:t>
      </w:r>
    </w:p>
    <w:p w:rsidR="004E3B8A" w:rsidRDefault="004E3B8A" w:rsidP="004E3B8A">
      <w:pPr>
        <w:pStyle w:val="Bullet-Solid"/>
      </w:pPr>
      <w:r w:rsidRPr="00AF09C0">
        <w:t>The availability of 1,</w:t>
      </w:r>
      <w:r>
        <w:t>700</w:t>
      </w:r>
      <w:r w:rsidRPr="00AF09C0">
        <w:t xml:space="preserve"> MW of total tie-line benefits from the three neighboring balancing authority areas of Québe</w:t>
      </w:r>
      <w:r>
        <w:t>c, the Canadian Maritime provinces, and New York</w:t>
      </w:r>
    </w:p>
    <w:p w:rsidR="004E3B8A" w:rsidRDefault="004E3B8A" w:rsidP="004E3B8A">
      <w:pPr>
        <w:pStyle w:val="Bullet-Solid"/>
      </w:pPr>
      <w:r w:rsidRPr="00AF09C0">
        <w:t>20</w:t>
      </w:r>
      <w:r>
        <w:t>1</w:t>
      </w:r>
      <w:r w:rsidRPr="00AF09C0">
        <w:t>0 CELT load</w:t>
      </w:r>
      <w:r w:rsidR="00965BF0">
        <w:t xml:space="preserve"> forecast</w:t>
      </w:r>
    </w:p>
    <w:p w:rsidR="004E3B8A" w:rsidRPr="00FF5BB5" w:rsidRDefault="004E3B8A" w:rsidP="004E3B8A">
      <w:pPr>
        <w:pStyle w:val="Bullet-Solid"/>
      </w:pPr>
      <w:r w:rsidRPr="00AF09C0">
        <w:t xml:space="preserve">Generating </w:t>
      </w:r>
      <w:r>
        <w:t>and demand-</w:t>
      </w:r>
      <w:r w:rsidRPr="00AF09C0">
        <w:t>resource capability ratings</w:t>
      </w:r>
      <w:r>
        <w:t>, availability, and performance metrics,</w:t>
      </w:r>
      <w:r w:rsidRPr="00AF09C0">
        <w:t xml:space="preserve"> </w:t>
      </w:r>
      <w:r>
        <w:t xml:space="preserve">based on the values used to calculate the ICR for the </w:t>
      </w:r>
      <w:r w:rsidRPr="00FF5BB5">
        <w:t xml:space="preserve">fourth </w:t>
      </w:r>
      <w:r w:rsidRPr="00893805">
        <w:t>FCA (FCA #4</w:t>
      </w:r>
      <w:r>
        <w:t>) for the 2013/2014 capability period</w:t>
      </w:r>
      <w:r w:rsidRPr="009906F2">
        <w:rPr>
          <w:rStyle w:val="FootnoteReference"/>
          <w:sz w:val="22"/>
        </w:rPr>
        <w:footnoteReference w:id="87"/>
      </w:r>
      <w:r w:rsidRPr="007D7C60">
        <w:t xml:space="preserve"> </w:t>
      </w:r>
    </w:p>
    <w:p w:rsidR="004E3B8A" w:rsidRPr="00EF18B4" w:rsidRDefault="004E3B8A" w:rsidP="004E3B8A">
      <w:pPr>
        <w:pStyle w:val="Caption"/>
      </w:pPr>
      <w:bookmarkStart w:id="189" w:name="_Ref262584696"/>
      <w:bookmarkStart w:id="190" w:name="_Toc271552402"/>
      <w:r w:rsidRPr="00EF18B4">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189"/>
      <w:r w:rsidRPr="00EF18B4">
        <w:br/>
        <w:t>Actual and Representative Future New England Net Installed Capacity Requirements for 2010–2019 and Resulting Reserves</w:t>
      </w:r>
      <w:bookmarkEnd w:id="190"/>
      <w:r>
        <w:t xml:space="preserve"> </w:t>
      </w:r>
    </w:p>
    <w:tbl>
      <w:tblPr>
        <w:tblStyle w:val="MediumShading1-Accent1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bottom w:w="43" w:type="dxa"/>
        </w:tblCellMar>
        <w:tblLook w:val="01E0"/>
      </w:tblPr>
      <w:tblGrid>
        <w:gridCol w:w="1490"/>
        <w:gridCol w:w="2020"/>
        <w:gridCol w:w="2019"/>
        <w:gridCol w:w="2020"/>
      </w:tblGrid>
      <w:tr w:rsidR="004E3B8A" w:rsidRPr="00ED5355" w:rsidTr="004E3B8A">
        <w:trPr>
          <w:cnfStyle w:val="100000000000"/>
        </w:trPr>
        <w:tc>
          <w:tcPr>
            <w:cnfStyle w:val="001000000100"/>
            <w:tcW w:w="1490" w:type="dxa"/>
            <w:shd w:val="clear" w:color="auto" w:fill="FBCE76" w:themeFill="background2" w:themeFillTint="99"/>
          </w:tcPr>
          <w:p w:rsidR="004E3B8A" w:rsidRPr="00ED5355" w:rsidRDefault="004E3B8A" w:rsidP="002B5F70">
            <w:pPr>
              <w:keepNext/>
              <w:keepLines/>
              <w:widowControl w:val="0"/>
              <w:spacing w:after="0"/>
              <w:jc w:val="center"/>
              <w:rPr>
                <w:rFonts w:ascii="Arial" w:hAnsi="Arial"/>
                <w:bCs w:val="0"/>
                <w:color w:val="000000" w:themeColor="text1"/>
                <w:sz w:val="18"/>
                <w:szCs w:val="18"/>
              </w:rPr>
            </w:pPr>
            <w:r w:rsidRPr="00ED5355">
              <w:rPr>
                <w:rFonts w:ascii="Arial" w:hAnsi="Arial"/>
                <w:bCs w:val="0"/>
                <w:color w:val="000000" w:themeColor="text1"/>
                <w:sz w:val="18"/>
                <w:szCs w:val="18"/>
              </w:rPr>
              <w:t>Year</w:t>
            </w:r>
          </w:p>
        </w:tc>
        <w:tc>
          <w:tcPr>
            <w:cnfStyle w:val="000010000000"/>
            <w:tcW w:w="2020" w:type="dxa"/>
            <w:shd w:val="clear" w:color="auto" w:fill="FBCE76" w:themeFill="background2" w:themeFillTint="99"/>
          </w:tcPr>
          <w:p w:rsidR="004E3B8A" w:rsidRPr="00ED5355" w:rsidRDefault="004E3B8A" w:rsidP="00BC08FA">
            <w:pPr>
              <w:keepNext/>
              <w:keepLines/>
              <w:widowControl w:val="0"/>
              <w:spacing w:after="0"/>
              <w:rPr>
                <w:rFonts w:ascii="Arial" w:hAnsi="Arial"/>
                <w:bCs w:val="0"/>
                <w:color w:val="000000" w:themeColor="text1"/>
                <w:sz w:val="18"/>
                <w:szCs w:val="18"/>
              </w:rPr>
            </w:pPr>
            <w:r w:rsidRPr="00ED5355">
              <w:rPr>
                <w:rFonts w:ascii="Arial" w:hAnsi="Arial"/>
                <w:bCs w:val="0"/>
                <w:color w:val="000000" w:themeColor="text1"/>
                <w:sz w:val="18"/>
                <w:szCs w:val="18"/>
              </w:rPr>
              <w:t>Forecast</w:t>
            </w:r>
            <w:r w:rsidRPr="00ED5355">
              <w:rPr>
                <w:rFonts w:ascii="Arial" w:hAnsi="Arial"/>
                <w:bCs w:val="0"/>
                <w:color w:val="000000" w:themeColor="text1"/>
                <w:sz w:val="18"/>
                <w:szCs w:val="18"/>
              </w:rPr>
              <w:br/>
              <w:t>50/50 Peak</w:t>
            </w:r>
            <w:r w:rsidR="00BC08FA">
              <w:rPr>
                <w:rFonts w:ascii="Arial" w:hAnsi="Arial"/>
                <w:bCs w:val="0"/>
                <w:color w:val="000000" w:themeColor="text1"/>
                <w:sz w:val="18"/>
                <w:szCs w:val="18"/>
              </w:rPr>
              <w:br/>
            </w:r>
            <w:r w:rsidR="008E3B22">
              <w:rPr>
                <w:rFonts w:ascii="Arial" w:hAnsi="Arial"/>
                <w:bCs w:val="0"/>
                <w:color w:val="000000" w:themeColor="text1"/>
                <w:sz w:val="18"/>
                <w:szCs w:val="18"/>
              </w:rPr>
              <w:t>(MW)</w:t>
            </w:r>
          </w:p>
        </w:tc>
        <w:tc>
          <w:tcPr>
            <w:cnfStyle w:val="000001000000"/>
            <w:tcW w:w="2019" w:type="dxa"/>
            <w:shd w:val="clear" w:color="auto" w:fill="FBCE76" w:themeFill="background2" w:themeFillTint="99"/>
          </w:tcPr>
          <w:p w:rsidR="004E3B8A" w:rsidRPr="00ED5355" w:rsidRDefault="00E46A8C" w:rsidP="002B5F70">
            <w:pPr>
              <w:keepNext/>
              <w:keepLines/>
              <w:widowControl w:val="0"/>
              <w:spacing w:after="0"/>
              <w:rPr>
                <w:rFonts w:ascii="Arial" w:hAnsi="Arial"/>
                <w:bCs w:val="0"/>
                <w:color w:val="000000" w:themeColor="text1"/>
                <w:sz w:val="18"/>
                <w:szCs w:val="18"/>
              </w:rPr>
            </w:pPr>
            <w:r>
              <w:rPr>
                <w:rFonts w:ascii="Arial" w:hAnsi="Arial"/>
                <w:bCs w:val="0"/>
                <w:color w:val="000000" w:themeColor="text1"/>
                <w:sz w:val="18"/>
                <w:szCs w:val="18"/>
              </w:rPr>
              <w:t xml:space="preserve">Actual and </w:t>
            </w:r>
            <w:r w:rsidR="004E3B8A" w:rsidRPr="00ED5355">
              <w:rPr>
                <w:rFonts w:ascii="Arial" w:hAnsi="Arial"/>
                <w:bCs w:val="0"/>
                <w:color w:val="000000" w:themeColor="text1"/>
                <w:sz w:val="18"/>
                <w:szCs w:val="18"/>
              </w:rPr>
              <w:t>Representative</w:t>
            </w:r>
            <w:r w:rsidR="004E3B8A">
              <w:rPr>
                <w:rFonts w:ascii="Arial" w:hAnsi="Arial"/>
                <w:bCs w:val="0"/>
                <w:color w:val="000000" w:themeColor="text1"/>
                <w:sz w:val="18"/>
                <w:szCs w:val="18"/>
              </w:rPr>
              <w:br/>
            </w:r>
            <w:r w:rsidR="004E3B8A" w:rsidRPr="00ED5355">
              <w:rPr>
                <w:rFonts w:ascii="Arial" w:hAnsi="Arial"/>
                <w:bCs w:val="0"/>
                <w:color w:val="000000" w:themeColor="text1"/>
                <w:sz w:val="18"/>
                <w:szCs w:val="18"/>
              </w:rPr>
              <w:t>Future Net ICR</w:t>
            </w:r>
            <w:r w:rsidR="004E3B8A" w:rsidRPr="00ED5355">
              <w:rPr>
                <w:rFonts w:ascii="Arial" w:hAnsi="Arial"/>
                <w:bCs w:val="0"/>
                <w:color w:val="000000" w:themeColor="text1"/>
                <w:sz w:val="18"/>
                <w:szCs w:val="18"/>
                <w:vertAlign w:val="superscript"/>
              </w:rPr>
              <w:t>(a)</w:t>
            </w:r>
            <w:r w:rsidR="00BC08FA">
              <w:rPr>
                <w:rFonts w:ascii="Arial" w:hAnsi="Arial"/>
                <w:bCs w:val="0"/>
                <w:color w:val="000000" w:themeColor="text1"/>
                <w:sz w:val="18"/>
                <w:szCs w:val="18"/>
                <w:vertAlign w:val="superscript"/>
              </w:rPr>
              <w:br/>
            </w:r>
            <w:r w:rsidR="00F46CEB" w:rsidRPr="00F46CEB">
              <w:rPr>
                <w:rFonts w:ascii="Arial" w:hAnsi="Arial"/>
                <w:color w:val="000000" w:themeColor="text1"/>
                <w:sz w:val="18"/>
                <w:szCs w:val="18"/>
              </w:rPr>
              <w:t>(MW)</w:t>
            </w:r>
          </w:p>
        </w:tc>
        <w:tc>
          <w:tcPr>
            <w:cnfStyle w:val="000100001000"/>
            <w:tcW w:w="2020" w:type="dxa"/>
            <w:shd w:val="clear" w:color="auto" w:fill="FBCE76" w:themeFill="background2" w:themeFillTint="99"/>
          </w:tcPr>
          <w:p w:rsidR="004E3B8A" w:rsidRPr="00ED5355" w:rsidRDefault="004E3B8A" w:rsidP="002B5F70">
            <w:pPr>
              <w:keepNext/>
              <w:keepLines/>
              <w:widowControl w:val="0"/>
              <w:spacing w:after="0"/>
              <w:rPr>
                <w:rFonts w:ascii="Arial" w:hAnsi="Arial"/>
                <w:bCs w:val="0"/>
                <w:color w:val="000000" w:themeColor="text1"/>
                <w:sz w:val="18"/>
                <w:szCs w:val="18"/>
              </w:rPr>
            </w:pPr>
            <w:r w:rsidRPr="00ED5355">
              <w:rPr>
                <w:rFonts w:ascii="Arial" w:hAnsi="Arial"/>
                <w:bCs w:val="0"/>
                <w:color w:val="000000" w:themeColor="text1"/>
                <w:sz w:val="18"/>
                <w:szCs w:val="18"/>
              </w:rPr>
              <w:t>Resulting Reserves (%)</w:t>
            </w:r>
          </w:p>
        </w:tc>
      </w:tr>
      <w:tr w:rsidR="004E3B8A" w:rsidRPr="00EF18B4" w:rsidTr="004E3B8A">
        <w:trPr>
          <w:cnfStyle w:val="000000100000"/>
        </w:trPr>
        <w:tc>
          <w:tcPr>
            <w:cnfStyle w:val="001000000000"/>
            <w:tcW w:w="1490" w:type="dxa"/>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2010/2011</w:t>
            </w:r>
          </w:p>
        </w:tc>
        <w:tc>
          <w:tcPr>
            <w:cnfStyle w:val="000010000000"/>
            <w:tcW w:w="2020"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27,190</w:t>
            </w:r>
          </w:p>
        </w:tc>
        <w:tc>
          <w:tcPr>
            <w:cnfStyle w:val="000001000000"/>
            <w:tcW w:w="2019"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31,110</w:t>
            </w:r>
            <w:r w:rsidR="00C6659E" w:rsidRPr="00C030F6">
              <w:rPr>
                <w:rFonts w:ascii="Arial" w:hAnsi="Arial" w:cs="Arial"/>
                <w:sz w:val="18"/>
                <w:szCs w:val="18"/>
                <w:vertAlign w:val="superscript"/>
              </w:rPr>
              <w:t>(b)</w:t>
            </w:r>
          </w:p>
        </w:tc>
        <w:tc>
          <w:tcPr>
            <w:cnfStyle w:val="000100000000"/>
            <w:tcW w:w="2020" w:type="dxa"/>
            <w:noWrap/>
          </w:tcPr>
          <w:p w:rsidR="004E3B8A" w:rsidRPr="00EF18B4" w:rsidRDefault="004E3B8A" w:rsidP="002B5F70">
            <w:pPr>
              <w:keepNext/>
              <w:keepLines/>
              <w:spacing w:after="0"/>
              <w:rPr>
                <w:rFonts w:ascii="Arial" w:hAnsi="Arial" w:cs="Arial"/>
                <w:szCs w:val="18"/>
              </w:rPr>
            </w:pPr>
            <w:r w:rsidRPr="00EF18B4">
              <w:rPr>
                <w:rFonts w:ascii="Arial" w:hAnsi="Arial" w:cs="Arial"/>
                <w:szCs w:val="18"/>
              </w:rPr>
              <w:t>14.4</w:t>
            </w:r>
          </w:p>
        </w:tc>
      </w:tr>
      <w:tr w:rsidR="004E3B8A" w:rsidRPr="00EF18B4" w:rsidTr="004E3B8A">
        <w:trPr>
          <w:cnfStyle w:val="000000010000"/>
        </w:trPr>
        <w:tc>
          <w:tcPr>
            <w:cnfStyle w:val="001000000000"/>
            <w:tcW w:w="1490" w:type="dxa"/>
            <w:shd w:val="clear" w:color="auto" w:fill="FDEED1" w:themeFill="background2" w:themeFillTint="33"/>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2011/2012</w:t>
            </w:r>
          </w:p>
        </w:tc>
        <w:tc>
          <w:tcPr>
            <w:cnfStyle w:val="00001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27,660</w:t>
            </w:r>
          </w:p>
        </w:tc>
        <w:tc>
          <w:tcPr>
            <w:cnfStyle w:val="000001000000"/>
            <w:tcW w:w="2019"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31,741</w:t>
            </w:r>
            <w:r w:rsidR="00C030F6">
              <w:rPr>
                <w:rFonts w:ascii="Arial" w:hAnsi="Arial" w:cs="Arial"/>
                <w:sz w:val="18"/>
                <w:szCs w:val="18"/>
                <w:vertAlign w:val="superscript"/>
              </w:rPr>
              <w:t>(c</w:t>
            </w:r>
            <w:r w:rsidR="00C030F6" w:rsidRPr="00C030F6">
              <w:rPr>
                <w:rFonts w:ascii="Arial" w:hAnsi="Arial" w:cs="Arial"/>
                <w:sz w:val="18"/>
                <w:szCs w:val="18"/>
                <w:vertAlign w:val="superscript"/>
              </w:rPr>
              <w:t>)</w:t>
            </w:r>
          </w:p>
        </w:tc>
        <w:tc>
          <w:tcPr>
            <w:cnfStyle w:val="00010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Cs w:val="18"/>
              </w:rPr>
            </w:pPr>
            <w:r w:rsidRPr="00EF18B4">
              <w:rPr>
                <w:rFonts w:ascii="Arial" w:hAnsi="Arial" w:cs="Arial"/>
                <w:szCs w:val="18"/>
              </w:rPr>
              <w:t>14.8</w:t>
            </w:r>
          </w:p>
        </w:tc>
      </w:tr>
      <w:tr w:rsidR="004E3B8A" w:rsidRPr="00EF18B4" w:rsidTr="004E3B8A">
        <w:trPr>
          <w:cnfStyle w:val="000000100000"/>
        </w:trPr>
        <w:tc>
          <w:tcPr>
            <w:cnfStyle w:val="001000000000"/>
            <w:tcW w:w="1490" w:type="dxa"/>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2012/2013</w:t>
            </w:r>
          </w:p>
        </w:tc>
        <w:tc>
          <w:tcPr>
            <w:cnfStyle w:val="000010000000"/>
            <w:tcW w:w="2020"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28,165</w:t>
            </w:r>
          </w:p>
        </w:tc>
        <w:tc>
          <w:tcPr>
            <w:cnfStyle w:val="000001000000"/>
            <w:tcW w:w="2019"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31,965</w:t>
            </w:r>
            <w:r w:rsidR="00C030F6">
              <w:rPr>
                <w:rFonts w:ascii="Arial" w:hAnsi="Arial" w:cs="Arial"/>
                <w:sz w:val="18"/>
                <w:szCs w:val="18"/>
                <w:vertAlign w:val="superscript"/>
              </w:rPr>
              <w:t>(d</w:t>
            </w:r>
            <w:r w:rsidR="00C030F6" w:rsidRPr="00C030F6">
              <w:rPr>
                <w:rFonts w:ascii="Arial" w:hAnsi="Arial" w:cs="Arial"/>
                <w:sz w:val="18"/>
                <w:szCs w:val="18"/>
                <w:vertAlign w:val="superscript"/>
              </w:rPr>
              <w:t>)</w:t>
            </w:r>
          </w:p>
        </w:tc>
        <w:tc>
          <w:tcPr>
            <w:cnfStyle w:val="000100000000"/>
            <w:tcW w:w="2020" w:type="dxa"/>
            <w:noWrap/>
          </w:tcPr>
          <w:p w:rsidR="004E3B8A" w:rsidRPr="00EF18B4" w:rsidRDefault="004E3B8A" w:rsidP="002B5F70">
            <w:pPr>
              <w:keepNext/>
              <w:keepLines/>
              <w:spacing w:after="0"/>
              <w:rPr>
                <w:rFonts w:ascii="Arial" w:hAnsi="Arial" w:cs="Arial"/>
                <w:szCs w:val="18"/>
              </w:rPr>
            </w:pPr>
            <w:r w:rsidRPr="00EF18B4">
              <w:rPr>
                <w:rFonts w:ascii="Arial" w:hAnsi="Arial" w:cs="Arial"/>
                <w:szCs w:val="18"/>
              </w:rPr>
              <w:t>13.5</w:t>
            </w:r>
          </w:p>
        </w:tc>
      </w:tr>
      <w:tr w:rsidR="004E3B8A" w:rsidRPr="00EF18B4" w:rsidTr="004E3B8A">
        <w:trPr>
          <w:cnfStyle w:val="000000010000"/>
        </w:trPr>
        <w:tc>
          <w:tcPr>
            <w:cnfStyle w:val="001000000000"/>
            <w:tcW w:w="1490" w:type="dxa"/>
            <w:shd w:val="clear" w:color="auto" w:fill="FDEED1" w:themeFill="background2" w:themeFillTint="33"/>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2013/2014</w:t>
            </w:r>
          </w:p>
        </w:tc>
        <w:tc>
          <w:tcPr>
            <w:cnfStyle w:val="00001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28,570</w:t>
            </w:r>
          </w:p>
        </w:tc>
        <w:tc>
          <w:tcPr>
            <w:cnfStyle w:val="000001000000"/>
            <w:tcW w:w="2019"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32,127</w:t>
            </w:r>
            <w:r w:rsidR="00C030F6">
              <w:rPr>
                <w:rFonts w:ascii="Arial" w:hAnsi="Arial" w:cs="Arial"/>
                <w:sz w:val="18"/>
                <w:szCs w:val="18"/>
                <w:vertAlign w:val="superscript"/>
              </w:rPr>
              <w:t>(e</w:t>
            </w:r>
            <w:r w:rsidR="00C030F6" w:rsidRPr="00C030F6">
              <w:rPr>
                <w:rFonts w:ascii="Arial" w:hAnsi="Arial" w:cs="Arial"/>
                <w:sz w:val="18"/>
                <w:szCs w:val="18"/>
                <w:vertAlign w:val="superscript"/>
              </w:rPr>
              <w:t>)</w:t>
            </w:r>
          </w:p>
        </w:tc>
        <w:tc>
          <w:tcPr>
            <w:cnfStyle w:val="00010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Cs w:val="18"/>
              </w:rPr>
            </w:pPr>
            <w:r w:rsidRPr="00EF18B4">
              <w:rPr>
                <w:rFonts w:ascii="Arial" w:hAnsi="Arial" w:cs="Arial"/>
                <w:szCs w:val="18"/>
              </w:rPr>
              <w:t>12.5</w:t>
            </w:r>
          </w:p>
        </w:tc>
      </w:tr>
      <w:tr w:rsidR="004E3B8A" w:rsidRPr="00EF18B4" w:rsidTr="004E3B8A">
        <w:trPr>
          <w:cnfStyle w:val="000000100000"/>
        </w:trPr>
        <w:tc>
          <w:tcPr>
            <w:cnfStyle w:val="001000000000"/>
            <w:tcW w:w="1490" w:type="dxa"/>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2014/2015</w:t>
            </w:r>
          </w:p>
        </w:tc>
        <w:tc>
          <w:tcPr>
            <w:cnfStyle w:val="000010000000"/>
            <w:tcW w:w="2020"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29,025</w:t>
            </w:r>
          </w:p>
        </w:tc>
        <w:tc>
          <w:tcPr>
            <w:cnfStyle w:val="000001000000"/>
            <w:tcW w:w="2019" w:type="dxa"/>
            <w:noWrap/>
          </w:tcPr>
          <w:p w:rsidR="004E3B8A" w:rsidRPr="00EF18B4" w:rsidRDefault="004E3B8A" w:rsidP="00C030F6">
            <w:pPr>
              <w:keepNext/>
              <w:keepLines/>
              <w:spacing w:after="0"/>
              <w:rPr>
                <w:rFonts w:ascii="Arial" w:hAnsi="Arial" w:cs="Arial"/>
                <w:sz w:val="18"/>
                <w:szCs w:val="18"/>
              </w:rPr>
            </w:pPr>
            <w:r>
              <w:rPr>
                <w:rFonts w:ascii="Arial" w:hAnsi="Arial" w:cs="Arial"/>
                <w:sz w:val="18"/>
                <w:szCs w:val="18"/>
              </w:rPr>
              <w:t>32,672</w:t>
            </w:r>
            <w:r w:rsidR="00C030F6" w:rsidRPr="00C030F6">
              <w:rPr>
                <w:rFonts w:ascii="Arial" w:hAnsi="Arial" w:cs="Arial"/>
                <w:sz w:val="18"/>
                <w:szCs w:val="18"/>
                <w:vertAlign w:val="superscript"/>
              </w:rPr>
              <w:t>(</w:t>
            </w:r>
            <w:r w:rsidR="00C030F6">
              <w:rPr>
                <w:rFonts w:ascii="Arial" w:hAnsi="Arial" w:cs="Arial"/>
                <w:sz w:val="18"/>
                <w:szCs w:val="18"/>
                <w:vertAlign w:val="superscript"/>
              </w:rPr>
              <w:t>f</w:t>
            </w:r>
            <w:r w:rsidR="00C030F6" w:rsidRPr="00C030F6">
              <w:rPr>
                <w:rFonts w:ascii="Arial" w:hAnsi="Arial" w:cs="Arial"/>
                <w:sz w:val="18"/>
                <w:szCs w:val="18"/>
                <w:vertAlign w:val="superscript"/>
              </w:rPr>
              <w:t>)</w:t>
            </w:r>
          </w:p>
        </w:tc>
        <w:tc>
          <w:tcPr>
            <w:cnfStyle w:val="000100000000"/>
            <w:tcW w:w="2020" w:type="dxa"/>
            <w:noWrap/>
          </w:tcPr>
          <w:p w:rsidR="004E3B8A" w:rsidRPr="00EF18B4" w:rsidRDefault="004E3B8A" w:rsidP="002B5F70">
            <w:pPr>
              <w:keepNext/>
              <w:keepLines/>
              <w:spacing w:after="0"/>
              <w:rPr>
                <w:rFonts w:ascii="Arial" w:hAnsi="Arial" w:cs="Arial"/>
                <w:szCs w:val="18"/>
              </w:rPr>
            </w:pPr>
            <w:r>
              <w:rPr>
                <w:rFonts w:ascii="Arial" w:hAnsi="Arial" w:cs="Arial"/>
                <w:szCs w:val="18"/>
              </w:rPr>
              <w:t>12.6</w:t>
            </w:r>
          </w:p>
        </w:tc>
      </w:tr>
      <w:tr w:rsidR="004E3B8A" w:rsidRPr="00EF18B4" w:rsidTr="004E3B8A">
        <w:trPr>
          <w:cnfStyle w:val="000000010000"/>
        </w:trPr>
        <w:tc>
          <w:tcPr>
            <w:cnfStyle w:val="001000000000"/>
            <w:tcW w:w="1490" w:type="dxa"/>
            <w:shd w:val="clear" w:color="auto" w:fill="FDEED1" w:themeFill="background2" w:themeFillTint="33"/>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2015/2016</w:t>
            </w:r>
          </w:p>
        </w:tc>
        <w:tc>
          <w:tcPr>
            <w:cnfStyle w:val="00001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29,450</w:t>
            </w:r>
          </w:p>
        </w:tc>
        <w:tc>
          <w:tcPr>
            <w:cnfStyle w:val="000001000000"/>
            <w:tcW w:w="2019"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Pr>
                <w:rFonts w:ascii="Arial" w:hAnsi="Arial" w:cs="Arial"/>
                <w:sz w:val="18"/>
                <w:szCs w:val="18"/>
              </w:rPr>
              <w:t>33,178</w:t>
            </w:r>
            <w:r w:rsidR="00C030F6" w:rsidRPr="00C030F6">
              <w:rPr>
                <w:rFonts w:ascii="Arial" w:hAnsi="Arial" w:cs="Arial"/>
                <w:sz w:val="18"/>
                <w:szCs w:val="18"/>
                <w:vertAlign w:val="superscript"/>
              </w:rPr>
              <w:t>(</w:t>
            </w:r>
            <w:r w:rsidR="00C030F6">
              <w:rPr>
                <w:rFonts w:ascii="Arial" w:hAnsi="Arial" w:cs="Arial"/>
                <w:sz w:val="18"/>
                <w:szCs w:val="18"/>
                <w:vertAlign w:val="superscript"/>
              </w:rPr>
              <w:t>f</w:t>
            </w:r>
            <w:r w:rsidR="00C030F6" w:rsidRPr="00C030F6">
              <w:rPr>
                <w:rFonts w:ascii="Arial" w:hAnsi="Arial" w:cs="Arial"/>
                <w:sz w:val="18"/>
                <w:szCs w:val="18"/>
                <w:vertAlign w:val="superscript"/>
              </w:rPr>
              <w:t>)</w:t>
            </w:r>
          </w:p>
        </w:tc>
        <w:tc>
          <w:tcPr>
            <w:cnfStyle w:val="00010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Cs w:val="18"/>
              </w:rPr>
            </w:pPr>
            <w:r>
              <w:rPr>
                <w:rFonts w:ascii="Arial" w:hAnsi="Arial" w:cs="Arial"/>
                <w:szCs w:val="18"/>
              </w:rPr>
              <w:t>12.7</w:t>
            </w:r>
          </w:p>
        </w:tc>
      </w:tr>
      <w:tr w:rsidR="004E3B8A" w:rsidRPr="00EF18B4" w:rsidTr="004E3B8A">
        <w:trPr>
          <w:cnfStyle w:val="000000100000"/>
        </w:trPr>
        <w:tc>
          <w:tcPr>
            <w:cnfStyle w:val="001000000000"/>
            <w:tcW w:w="1490" w:type="dxa"/>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2016/2017</w:t>
            </w:r>
          </w:p>
        </w:tc>
        <w:tc>
          <w:tcPr>
            <w:cnfStyle w:val="000010000000"/>
            <w:tcW w:w="2020" w:type="dxa"/>
            <w:noWrap/>
          </w:tcPr>
          <w:p w:rsidR="004E3B8A" w:rsidRPr="00EF18B4" w:rsidRDefault="004E3B8A" w:rsidP="002B5F70">
            <w:pPr>
              <w:keepNext/>
              <w:keepLines/>
              <w:spacing w:after="0"/>
              <w:rPr>
                <w:rFonts w:ascii="Arial" w:hAnsi="Arial" w:cs="Arial"/>
                <w:sz w:val="18"/>
                <w:szCs w:val="18"/>
              </w:rPr>
            </w:pPr>
            <w:r w:rsidRPr="00EF18B4">
              <w:rPr>
                <w:rFonts w:ascii="Arial" w:hAnsi="Arial" w:cs="Arial"/>
                <w:sz w:val="18"/>
                <w:szCs w:val="18"/>
              </w:rPr>
              <w:t>29,785</w:t>
            </w:r>
          </w:p>
        </w:tc>
        <w:tc>
          <w:tcPr>
            <w:cnfStyle w:val="000001000000"/>
            <w:tcW w:w="2019" w:type="dxa"/>
            <w:noWrap/>
          </w:tcPr>
          <w:p w:rsidR="004E3B8A" w:rsidRPr="00EF18B4" w:rsidRDefault="004E3B8A" w:rsidP="002B5F70">
            <w:pPr>
              <w:keepNext/>
              <w:keepLines/>
              <w:spacing w:after="0"/>
              <w:rPr>
                <w:rFonts w:ascii="Arial" w:hAnsi="Arial" w:cs="Arial"/>
                <w:sz w:val="18"/>
                <w:szCs w:val="18"/>
              </w:rPr>
            </w:pPr>
            <w:r>
              <w:rPr>
                <w:rFonts w:ascii="Arial" w:hAnsi="Arial" w:cs="Arial"/>
                <w:sz w:val="18"/>
                <w:szCs w:val="18"/>
              </w:rPr>
              <w:t>33,604</w:t>
            </w:r>
            <w:r w:rsidR="00C030F6" w:rsidRPr="00C030F6">
              <w:rPr>
                <w:rFonts w:ascii="Arial" w:hAnsi="Arial" w:cs="Arial"/>
                <w:sz w:val="18"/>
                <w:szCs w:val="18"/>
                <w:vertAlign w:val="superscript"/>
              </w:rPr>
              <w:t>(</w:t>
            </w:r>
            <w:r w:rsidR="00C030F6">
              <w:rPr>
                <w:rFonts w:ascii="Arial" w:hAnsi="Arial" w:cs="Arial"/>
                <w:sz w:val="18"/>
                <w:szCs w:val="18"/>
                <w:vertAlign w:val="superscript"/>
              </w:rPr>
              <w:t>f</w:t>
            </w:r>
            <w:r w:rsidR="00C030F6" w:rsidRPr="00C030F6">
              <w:rPr>
                <w:rFonts w:ascii="Arial" w:hAnsi="Arial" w:cs="Arial"/>
                <w:sz w:val="18"/>
                <w:szCs w:val="18"/>
                <w:vertAlign w:val="superscript"/>
              </w:rPr>
              <w:t>)</w:t>
            </w:r>
          </w:p>
        </w:tc>
        <w:tc>
          <w:tcPr>
            <w:cnfStyle w:val="000100000000"/>
            <w:tcW w:w="2020" w:type="dxa"/>
            <w:noWrap/>
          </w:tcPr>
          <w:p w:rsidR="004E3B8A" w:rsidRPr="00EF18B4" w:rsidRDefault="004E3B8A" w:rsidP="002B5F70">
            <w:pPr>
              <w:keepNext/>
              <w:keepLines/>
              <w:spacing w:after="0"/>
              <w:rPr>
                <w:rFonts w:ascii="Arial" w:hAnsi="Arial" w:cs="Arial"/>
                <w:szCs w:val="18"/>
              </w:rPr>
            </w:pPr>
            <w:r>
              <w:rPr>
                <w:rFonts w:ascii="Arial" w:hAnsi="Arial" w:cs="Arial"/>
                <w:szCs w:val="18"/>
              </w:rPr>
              <w:t>12.8</w:t>
            </w:r>
          </w:p>
        </w:tc>
      </w:tr>
      <w:tr w:rsidR="004E3B8A" w:rsidRPr="00EF18B4" w:rsidTr="004E3B8A">
        <w:trPr>
          <w:cnfStyle w:val="000000010000"/>
        </w:trPr>
        <w:tc>
          <w:tcPr>
            <w:cnfStyle w:val="001000000000"/>
            <w:tcW w:w="1490" w:type="dxa"/>
            <w:shd w:val="clear" w:color="auto" w:fill="FDEED1" w:themeFill="background2" w:themeFillTint="33"/>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2017/2018</w:t>
            </w:r>
          </w:p>
        </w:tc>
        <w:tc>
          <w:tcPr>
            <w:cnfStyle w:val="000010000000"/>
            <w:tcW w:w="2020" w:type="dxa"/>
            <w:shd w:val="clear" w:color="auto" w:fill="FDEED1" w:themeFill="background2" w:themeFillTint="33"/>
            <w:noWrap/>
          </w:tcPr>
          <w:p w:rsidR="004E3B8A" w:rsidRPr="00475A3C" w:rsidRDefault="004E3B8A" w:rsidP="0066546B">
            <w:pPr>
              <w:keepNext/>
              <w:keepLines/>
              <w:spacing w:after="0"/>
              <w:rPr>
                <w:rFonts w:ascii="Arial" w:hAnsi="Arial" w:cs="Arial"/>
                <w:sz w:val="18"/>
                <w:szCs w:val="18"/>
              </w:rPr>
            </w:pPr>
            <w:r>
              <w:rPr>
                <w:rFonts w:ascii="Arial" w:hAnsi="Arial" w:cs="Arial"/>
                <w:sz w:val="18"/>
                <w:szCs w:val="18"/>
              </w:rPr>
              <w:t>30,110</w:t>
            </w:r>
          </w:p>
        </w:tc>
        <w:tc>
          <w:tcPr>
            <w:cnfStyle w:val="000001000000"/>
            <w:tcW w:w="2019" w:type="dxa"/>
            <w:shd w:val="clear" w:color="auto" w:fill="FDEED1" w:themeFill="background2" w:themeFillTint="33"/>
            <w:noWrap/>
          </w:tcPr>
          <w:p w:rsidR="004E3B8A" w:rsidRPr="00EF18B4" w:rsidRDefault="004E3B8A" w:rsidP="002B5F70">
            <w:pPr>
              <w:keepNext/>
              <w:keepLines/>
              <w:spacing w:after="0"/>
              <w:rPr>
                <w:rFonts w:ascii="Arial" w:hAnsi="Arial" w:cs="Arial"/>
                <w:sz w:val="18"/>
                <w:szCs w:val="18"/>
              </w:rPr>
            </w:pPr>
            <w:r>
              <w:rPr>
                <w:rFonts w:ascii="Arial" w:hAnsi="Arial" w:cs="Arial"/>
                <w:sz w:val="18"/>
                <w:szCs w:val="18"/>
              </w:rPr>
              <w:t>34,025</w:t>
            </w:r>
            <w:r w:rsidR="00C030F6" w:rsidRPr="00C030F6">
              <w:rPr>
                <w:rFonts w:ascii="Arial" w:hAnsi="Arial" w:cs="Arial"/>
                <w:sz w:val="18"/>
                <w:szCs w:val="18"/>
                <w:vertAlign w:val="superscript"/>
              </w:rPr>
              <w:t>(</w:t>
            </w:r>
            <w:r w:rsidR="00C030F6">
              <w:rPr>
                <w:rFonts w:ascii="Arial" w:hAnsi="Arial" w:cs="Arial"/>
                <w:sz w:val="18"/>
                <w:szCs w:val="18"/>
                <w:vertAlign w:val="superscript"/>
              </w:rPr>
              <w:t>f</w:t>
            </w:r>
            <w:r w:rsidR="00C030F6" w:rsidRPr="00C030F6">
              <w:rPr>
                <w:rFonts w:ascii="Arial" w:hAnsi="Arial" w:cs="Arial"/>
                <w:sz w:val="18"/>
                <w:szCs w:val="18"/>
                <w:vertAlign w:val="superscript"/>
              </w:rPr>
              <w:t>)</w:t>
            </w:r>
          </w:p>
        </w:tc>
        <w:tc>
          <w:tcPr>
            <w:cnfStyle w:val="000100000000"/>
            <w:tcW w:w="2020" w:type="dxa"/>
            <w:shd w:val="clear" w:color="auto" w:fill="FDEED1" w:themeFill="background2" w:themeFillTint="33"/>
            <w:noWrap/>
          </w:tcPr>
          <w:p w:rsidR="004E3B8A" w:rsidRPr="00EF18B4" w:rsidRDefault="004E3B8A" w:rsidP="002B5F70">
            <w:pPr>
              <w:keepNext/>
              <w:keepLines/>
              <w:spacing w:after="0"/>
              <w:rPr>
                <w:rFonts w:ascii="Arial" w:hAnsi="Arial" w:cs="Arial"/>
                <w:szCs w:val="18"/>
              </w:rPr>
            </w:pPr>
            <w:r>
              <w:rPr>
                <w:rFonts w:ascii="Arial" w:hAnsi="Arial" w:cs="Arial"/>
                <w:szCs w:val="18"/>
              </w:rPr>
              <w:t>13.0</w:t>
            </w:r>
          </w:p>
        </w:tc>
      </w:tr>
      <w:tr w:rsidR="004E3B8A" w:rsidRPr="00EF18B4" w:rsidTr="004E3B8A">
        <w:trPr>
          <w:cnfStyle w:val="000000100000"/>
        </w:trPr>
        <w:tc>
          <w:tcPr>
            <w:cnfStyle w:val="001000000000"/>
            <w:tcW w:w="1490" w:type="dxa"/>
            <w:noWrap/>
            <w:tcMar>
              <w:left w:w="115" w:type="dxa"/>
              <w:right w:w="0" w:type="dxa"/>
            </w:tcMar>
          </w:tcPr>
          <w:p w:rsidR="004E3B8A" w:rsidRPr="00EF18B4" w:rsidRDefault="004E3B8A" w:rsidP="002B5F70">
            <w:pPr>
              <w:keepNext/>
              <w:keepLines/>
              <w:widowControl w:val="0"/>
              <w:spacing w:after="0"/>
              <w:rPr>
                <w:rFonts w:ascii="Arial" w:hAnsi="Arial"/>
                <w:bCs w:val="0"/>
                <w:sz w:val="18"/>
                <w:szCs w:val="18"/>
              </w:rPr>
            </w:pPr>
            <w:r w:rsidRPr="00EF18B4">
              <w:rPr>
                <w:rFonts w:ascii="Arial" w:hAnsi="Arial"/>
                <w:bCs w:val="0"/>
                <w:sz w:val="18"/>
                <w:szCs w:val="18"/>
              </w:rPr>
              <w:t>2018/2019</w:t>
            </w:r>
          </w:p>
        </w:tc>
        <w:tc>
          <w:tcPr>
            <w:cnfStyle w:val="000010000000"/>
            <w:tcW w:w="2020" w:type="dxa"/>
            <w:noWrap/>
          </w:tcPr>
          <w:p w:rsidR="004E3B8A" w:rsidRPr="00EF18B4" w:rsidRDefault="004E3B8A" w:rsidP="002B5F70">
            <w:pPr>
              <w:keepNext/>
              <w:keepLines/>
              <w:spacing w:after="0"/>
              <w:rPr>
                <w:rFonts w:ascii="Arial" w:hAnsi="Arial" w:cs="Arial"/>
                <w:sz w:val="18"/>
                <w:szCs w:val="18"/>
              </w:rPr>
            </w:pPr>
            <w:r w:rsidRPr="002F5E57">
              <w:rPr>
                <w:rFonts w:ascii="Arial" w:hAnsi="Arial" w:cs="Arial"/>
                <w:sz w:val="18"/>
                <w:szCs w:val="18"/>
              </w:rPr>
              <w:t>30,430</w:t>
            </w:r>
          </w:p>
        </w:tc>
        <w:tc>
          <w:tcPr>
            <w:cnfStyle w:val="000001000000"/>
            <w:tcW w:w="2019" w:type="dxa"/>
            <w:noWrap/>
          </w:tcPr>
          <w:p w:rsidR="004E3B8A" w:rsidRPr="00EF18B4" w:rsidRDefault="004E3B8A" w:rsidP="002B5F70">
            <w:pPr>
              <w:keepNext/>
              <w:keepLines/>
              <w:spacing w:after="0"/>
              <w:rPr>
                <w:rFonts w:ascii="Arial" w:hAnsi="Arial" w:cs="Arial"/>
                <w:sz w:val="18"/>
                <w:szCs w:val="18"/>
              </w:rPr>
            </w:pPr>
            <w:r w:rsidRPr="002F5E57">
              <w:rPr>
                <w:rFonts w:ascii="Arial" w:hAnsi="Arial" w:cs="Arial"/>
                <w:sz w:val="18"/>
                <w:szCs w:val="18"/>
              </w:rPr>
              <w:t>34,434</w:t>
            </w:r>
            <w:r w:rsidR="00C030F6" w:rsidRPr="00C030F6">
              <w:rPr>
                <w:rFonts w:ascii="Arial" w:hAnsi="Arial" w:cs="Arial"/>
                <w:sz w:val="18"/>
                <w:szCs w:val="18"/>
                <w:vertAlign w:val="superscript"/>
              </w:rPr>
              <w:t>(</w:t>
            </w:r>
            <w:r w:rsidR="00C030F6">
              <w:rPr>
                <w:rFonts w:ascii="Arial" w:hAnsi="Arial" w:cs="Arial"/>
                <w:sz w:val="18"/>
                <w:szCs w:val="18"/>
                <w:vertAlign w:val="superscript"/>
              </w:rPr>
              <w:t>f</w:t>
            </w:r>
            <w:r w:rsidR="00C030F6" w:rsidRPr="00C030F6">
              <w:rPr>
                <w:rFonts w:ascii="Arial" w:hAnsi="Arial" w:cs="Arial"/>
                <w:sz w:val="18"/>
                <w:szCs w:val="18"/>
                <w:vertAlign w:val="superscript"/>
              </w:rPr>
              <w:t>)</w:t>
            </w:r>
          </w:p>
        </w:tc>
        <w:tc>
          <w:tcPr>
            <w:cnfStyle w:val="000100000000"/>
            <w:tcW w:w="2020" w:type="dxa"/>
            <w:noWrap/>
          </w:tcPr>
          <w:p w:rsidR="004E3B8A" w:rsidRPr="00EF18B4" w:rsidRDefault="004E3B8A" w:rsidP="002B5F70">
            <w:pPr>
              <w:keepNext/>
              <w:keepLines/>
              <w:spacing w:after="0"/>
              <w:rPr>
                <w:rFonts w:ascii="Arial" w:hAnsi="Arial" w:cs="Arial"/>
                <w:szCs w:val="18"/>
              </w:rPr>
            </w:pPr>
            <w:r>
              <w:rPr>
                <w:rFonts w:ascii="Arial" w:hAnsi="Arial" w:cs="Arial"/>
                <w:szCs w:val="18"/>
              </w:rPr>
              <w:t>13.2</w:t>
            </w:r>
          </w:p>
        </w:tc>
      </w:tr>
      <w:tr w:rsidR="004E3B8A" w:rsidRPr="00EF18B4" w:rsidTr="004E3B8A">
        <w:trPr>
          <w:cnfStyle w:val="010000000000"/>
        </w:trPr>
        <w:tc>
          <w:tcPr>
            <w:cnfStyle w:val="001000000000"/>
            <w:tcW w:w="1490" w:type="dxa"/>
            <w:shd w:val="clear" w:color="auto" w:fill="FDEED1" w:themeFill="background2" w:themeFillTint="33"/>
            <w:noWrap/>
            <w:tcMar>
              <w:left w:w="115" w:type="dxa"/>
              <w:right w:w="0" w:type="dxa"/>
            </w:tcMar>
          </w:tcPr>
          <w:p w:rsidR="004E3B8A" w:rsidRPr="00EF18B4" w:rsidRDefault="004E3B8A" w:rsidP="002B5F70">
            <w:pPr>
              <w:keepNext/>
              <w:keepLines/>
              <w:widowControl w:val="0"/>
              <w:spacing w:after="0"/>
              <w:rPr>
                <w:rFonts w:ascii="Arial" w:hAnsi="Arial"/>
                <w:sz w:val="18"/>
                <w:szCs w:val="18"/>
              </w:rPr>
            </w:pPr>
            <w:r>
              <w:rPr>
                <w:rFonts w:ascii="Arial" w:hAnsi="Arial"/>
                <w:sz w:val="18"/>
                <w:szCs w:val="18"/>
              </w:rPr>
              <w:t>2019/2020</w:t>
            </w:r>
          </w:p>
        </w:tc>
        <w:tc>
          <w:tcPr>
            <w:cnfStyle w:val="000010000000"/>
            <w:tcW w:w="2020" w:type="dxa"/>
            <w:shd w:val="clear" w:color="auto" w:fill="FDEED1" w:themeFill="background2" w:themeFillTint="33"/>
            <w:noWrap/>
          </w:tcPr>
          <w:p w:rsidR="004E3B8A" w:rsidRPr="00EF18B4" w:rsidRDefault="004E3B8A" w:rsidP="002B5F70">
            <w:pPr>
              <w:keepNext/>
              <w:keepLines/>
              <w:spacing w:after="0"/>
              <w:jc w:val="center"/>
              <w:rPr>
                <w:rFonts w:ascii="Arial" w:hAnsi="Arial" w:cs="Arial"/>
                <w:b w:val="0"/>
                <w:sz w:val="18"/>
                <w:szCs w:val="18"/>
              </w:rPr>
            </w:pPr>
            <w:r>
              <w:rPr>
                <w:rFonts w:ascii="Arial" w:hAnsi="Arial" w:cs="Arial"/>
                <w:b w:val="0"/>
                <w:sz w:val="18"/>
                <w:szCs w:val="18"/>
              </w:rPr>
              <w:t>30,730</w:t>
            </w:r>
          </w:p>
        </w:tc>
        <w:tc>
          <w:tcPr>
            <w:cnfStyle w:val="000001000000"/>
            <w:tcW w:w="2019" w:type="dxa"/>
            <w:shd w:val="clear" w:color="auto" w:fill="FDEED1" w:themeFill="background2" w:themeFillTint="33"/>
            <w:noWrap/>
          </w:tcPr>
          <w:p w:rsidR="004E3B8A" w:rsidRDefault="004E3B8A" w:rsidP="002B5F70">
            <w:pPr>
              <w:keepNext/>
              <w:keepLines/>
              <w:spacing w:after="0"/>
              <w:jc w:val="center"/>
              <w:rPr>
                <w:rFonts w:ascii="Arial" w:hAnsi="Arial" w:cs="Arial"/>
                <w:b w:val="0"/>
                <w:sz w:val="18"/>
                <w:szCs w:val="18"/>
              </w:rPr>
            </w:pPr>
            <w:r>
              <w:rPr>
                <w:rFonts w:ascii="Arial" w:hAnsi="Arial" w:cs="Arial"/>
                <w:b w:val="0"/>
                <w:sz w:val="18"/>
                <w:szCs w:val="18"/>
              </w:rPr>
              <w:t>34,818</w:t>
            </w:r>
            <w:r w:rsidR="00C030F6" w:rsidRPr="0040247D">
              <w:rPr>
                <w:rFonts w:ascii="Arial" w:hAnsi="Arial" w:cs="Arial"/>
                <w:b w:val="0"/>
                <w:sz w:val="18"/>
                <w:szCs w:val="18"/>
                <w:vertAlign w:val="superscript"/>
              </w:rPr>
              <w:t>(f)</w:t>
            </w:r>
          </w:p>
        </w:tc>
        <w:tc>
          <w:tcPr>
            <w:cnfStyle w:val="000100000000"/>
            <w:tcW w:w="2020" w:type="dxa"/>
            <w:shd w:val="clear" w:color="auto" w:fill="FDEED1" w:themeFill="background2" w:themeFillTint="33"/>
            <w:noWrap/>
          </w:tcPr>
          <w:p w:rsidR="004E3B8A" w:rsidRPr="00AD2261" w:rsidDel="00BB341B" w:rsidRDefault="004E3B8A" w:rsidP="002B5F70">
            <w:pPr>
              <w:keepNext/>
              <w:keepLines/>
              <w:spacing w:after="0"/>
              <w:jc w:val="center"/>
              <w:rPr>
                <w:rFonts w:ascii="Arial" w:hAnsi="Arial" w:cs="Arial"/>
                <w:b w:val="0"/>
                <w:bCs w:val="0"/>
                <w:sz w:val="18"/>
                <w:szCs w:val="18"/>
              </w:rPr>
            </w:pPr>
            <w:r w:rsidRPr="00AD2261">
              <w:rPr>
                <w:rFonts w:ascii="Arial" w:hAnsi="Arial" w:cs="Arial"/>
                <w:b w:val="0"/>
                <w:sz w:val="18"/>
                <w:szCs w:val="18"/>
              </w:rPr>
              <w:t>13.3</w:t>
            </w:r>
          </w:p>
        </w:tc>
      </w:tr>
    </w:tbl>
    <w:p w:rsidR="00C6659E" w:rsidRDefault="00B25488" w:rsidP="009906F2">
      <w:pPr>
        <w:pStyle w:val="Default"/>
        <w:keepNext/>
        <w:keepLines/>
        <w:spacing w:before="120" w:after="80"/>
        <w:ind w:left="1170" w:right="990" w:hanging="270"/>
        <w:rPr>
          <w:rFonts w:ascii="Arial" w:hAnsi="Arial" w:cs="Arial"/>
          <w:sz w:val="16"/>
          <w:szCs w:val="16"/>
        </w:rPr>
      </w:pPr>
      <w:r>
        <w:rPr>
          <w:rFonts w:ascii="Arial" w:hAnsi="Arial" w:cs="Arial"/>
          <w:sz w:val="16"/>
          <w:szCs w:val="16"/>
        </w:rPr>
        <w:t xml:space="preserve">(a) </w:t>
      </w:r>
      <w:r w:rsidR="00D70F17">
        <w:rPr>
          <w:rFonts w:ascii="Arial" w:hAnsi="Arial" w:cs="Arial"/>
          <w:sz w:val="16"/>
          <w:szCs w:val="16"/>
        </w:rPr>
        <w:tab/>
      </w:r>
      <w:r w:rsidR="004E3B8A" w:rsidRPr="0016262F">
        <w:rPr>
          <w:rFonts w:ascii="Arial" w:hAnsi="Arial" w:cs="Arial"/>
          <w:sz w:val="16"/>
          <w:szCs w:val="16"/>
        </w:rPr>
        <w:t xml:space="preserve">“Representative Future Net ICR” is the representative ICR for the region, minus the tie-reliability benefits associated with the HQICCs. </w:t>
      </w:r>
    </w:p>
    <w:p w:rsidR="00B25488" w:rsidRDefault="00C6659E" w:rsidP="009906F2">
      <w:pPr>
        <w:pStyle w:val="Default"/>
        <w:keepNext/>
        <w:keepLines/>
        <w:tabs>
          <w:tab w:val="left" w:pos="8460"/>
        </w:tabs>
        <w:spacing w:after="80"/>
        <w:ind w:left="1170" w:right="990" w:hanging="270"/>
        <w:rPr>
          <w:rFonts w:ascii="Arial" w:hAnsi="Arial" w:cs="Arial"/>
          <w:color w:val="auto"/>
          <w:sz w:val="16"/>
          <w:szCs w:val="16"/>
        </w:rPr>
      </w:pPr>
      <w:r>
        <w:rPr>
          <w:rFonts w:ascii="Arial" w:hAnsi="Arial" w:cs="Arial"/>
          <w:sz w:val="16"/>
          <w:szCs w:val="16"/>
        </w:rPr>
        <w:t xml:space="preserve">(b) </w:t>
      </w:r>
      <w:r w:rsidR="00D70F17">
        <w:rPr>
          <w:rFonts w:ascii="Arial" w:hAnsi="Arial" w:cs="Arial"/>
          <w:sz w:val="16"/>
          <w:szCs w:val="16"/>
        </w:rPr>
        <w:tab/>
      </w:r>
      <w:r w:rsidR="004E3B8A" w:rsidRPr="00B25488">
        <w:rPr>
          <w:rFonts w:ascii="Arial" w:hAnsi="Arial" w:cs="Arial"/>
          <w:sz w:val="16"/>
          <w:szCs w:val="16"/>
        </w:rPr>
        <w:t xml:space="preserve">The ICR value for 2010/2011 reflects the value for the third Annual Reconfiguration Auction (ARA #3) approved by FERC in its February 12, 2010, </w:t>
      </w:r>
      <w:r w:rsidR="004E3B8A" w:rsidRPr="00B25488">
        <w:rPr>
          <w:rFonts w:ascii="Arial" w:hAnsi="Arial" w:cs="Arial"/>
          <w:i/>
          <w:sz w:val="16"/>
          <w:szCs w:val="16"/>
        </w:rPr>
        <w:t xml:space="preserve">Order Accepting ISO New England’s Proposed Installed Capacity Requirement, </w:t>
      </w:r>
      <w:r w:rsidR="003174D8" w:rsidRPr="004F5411">
        <w:rPr>
          <w:rFonts w:ascii="Arial" w:hAnsi="Arial" w:cs="Arial"/>
          <w:i/>
          <w:sz w:val="16"/>
          <w:szCs w:val="16"/>
        </w:rPr>
        <w:t>Hydro Qu</w:t>
      </w:r>
      <w:r w:rsidR="0051440A" w:rsidRPr="004F5411">
        <w:rPr>
          <w:rFonts w:ascii="Arial" w:hAnsi="Arial" w:cs="Arial"/>
          <w:i/>
          <w:sz w:val="16"/>
          <w:szCs w:val="16"/>
        </w:rPr>
        <w:t>é</w:t>
      </w:r>
      <w:r w:rsidR="003174D8" w:rsidRPr="004F5411">
        <w:rPr>
          <w:rFonts w:ascii="Arial" w:hAnsi="Arial" w:cs="Arial"/>
          <w:i/>
          <w:sz w:val="16"/>
          <w:szCs w:val="16"/>
        </w:rPr>
        <w:t>bec Interconnection Capability Credits</w:t>
      </w:r>
      <w:r w:rsidR="004E3B8A" w:rsidRPr="004F5411">
        <w:rPr>
          <w:rFonts w:ascii="Arial" w:hAnsi="Arial" w:cs="Arial"/>
          <w:i/>
          <w:sz w:val="16"/>
          <w:szCs w:val="16"/>
        </w:rPr>
        <w:t xml:space="preserve">, Related Values, and Tariff Changes, </w:t>
      </w:r>
      <w:r w:rsidR="009906F2">
        <w:rPr>
          <w:rFonts w:ascii="Arial" w:hAnsi="Arial" w:cs="Arial"/>
          <w:i/>
          <w:sz w:val="16"/>
          <w:szCs w:val="16"/>
        </w:rPr>
        <w:t>S</w:t>
      </w:r>
      <w:r w:rsidR="004E3B8A" w:rsidRPr="004F5411">
        <w:rPr>
          <w:rFonts w:ascii="Arial" w:hAnsi="Arial" w:cs="Arial"/>
          <w:i/>
          <w:sz w:val="16"/>
          <w:szCs w:val="16"/>
        </w:rPr>
        <w:t xml:space="preserve">ubject to </w:t>
      </w:r>
      <w:r w:rsidR="004E3B8A" w:rsidRPr="004F5411">
        <w:rPr>
          <w:rFonts w:ascii="Arial" w:hAnsi="Arial" w:cs="Arial"/>
          <w:i/>
          <w:color w:val="auto"/>
          <w:sz w:val="16"/>
          <w:szCs w:val="16"/>
        </w:rPr>
        <w:t>Condition</w:t>
      </w:r>
      <w:r w:rsidR="004E3B8A" w:rsidRPr="004F5411">
        <w:rPr>
          <w:rFonts w:ascii="Arial" w:hAnsi="Arial" w:cs="Arial"/>
          <w:color w:val="auto"/>
          <w:sz w:val="16"/>
          <w:szCs w:val="16"/>
        </w:rPr>
        <w:t xml:space="preserve"> (</w:t>
      </w:r>
      <w:hyperlink r:id="rId27" w:history="1">
        <w:r w:rsidR="004E3B8A" w:rsidRPr="004F5411">
          <w:rPr>
            <w:rStyle w:val="Hyperlink"/>
            <w:rFonts w:ascii="Arial" w:hAnsi="Arial" w:cs="Arial"/>
            <w:color w:val="auto"/>
            <w:sz w:val="16"/>
            <w:szCs w:val="16"/>
            <w:u w:val="none"/>
          </w:rPr>
          <w:t>http://www.iso-ne.com/regulatory/ferc/orders/2010/feb/er10-438-000_2-12-10_icr_jump_ball_order.pdf</w:t>
        </w:r>
      </w:hyperlink>
      <w:r w:rsidR="004E3B8A" w:rsidRPr="004F5411">
        <w:rPr>
          <w:rFonts w:ascii="Arial" w:hAnsi="Arial" w:cs="Arial"/>
          <w:color w:val="auto"/>
          <w:sz w:val="16"/>
          <w:szCs w:val="16"/>
        </w:rPr>
        <w:t>).</w:t>
      </w:r>
      <w:r w:rsidR="004E3B8A" w:rsidRPr="00B25488">
        <w:rPr>
          <w:rFonts w:ascii="Arial" w:hAnsi="Arial" w:cs="Arial"/>
          <w:color w:val="auto"/>
          <w:sz w:val="16"/>
          <w:szCs w:val="16"/>
        </w:rPr>
        <w:t xml:space="preserve"> </w:t>
      </w:r>
    </w:p>
    <w:p w:rsidR="00B25488" w:rsidRDefault="00C6659E" w:rsidP="009906F2">
      <w:pPr>
        <w:pStyle w:val="Default"/>
        <w:keepNext/>
        <w:keepLines/>
        <w:tabs>
          <w:tab w:val="left" w:pos="8460"/>
        </w:tabs>
        <w:spacing w:after="80"/>
        <w:ind w:left="1170" w:right="990" w:hanging="270"/>
        <w:rPr>
          <w:rFonts w:ascii="Arial" w:hAnsi="Arial" w:cs="Arial"/>
          <w:sz w:val="16"/>
          <w:szCs w:val="16"/>
        </w:rPr>
      </w:pPr>
      <w:r>
        <w:rPr>
          <w:rFonts w:ascii="Arial" w:hAnsi="Arial" w:cs="Arial"/>
          <w:color w:val="auto"/>
          <w:sz w:val="16"/>
          <w:szCs w:val="16"/>
        </w:rPr>
        <w:t xml:space="preserve">(c) </w:t>
      </w:r>
      <w:r w:rsidR="00D70F17">
        <w:rPr>
          <w:rFonts w:ascii="Arial" w:hAnsi="Arial" w:cs="Arial"/>
          <w:color w:val="auto"/>
          <w:sz w:val="16"/>
          <w:szCs w:val="16"/>
        </w:rPr>
        <w:tab/>
      </w:r>
      <w:r w:rsidR="004E3B8A" w:rsidRPr="00B25488">
        <w:rPr>
          <w:rFonts w:ascii="Arial" w:hAnsi="Arial" w:cs="Arial"/>
          <w:color w:val="auto"/>
          <w:sz w:val="16"/>
          <w:szCs w:val="16"/>
        </w:rPr>
        <w:t>The</w:t>
      </w:r>
      <w:r w:rsidR="004E3B8A" w:rsidRPr="00B25488">
        <w:rPr>
          <w:rFonts w:ascii="Arial" w:hAnsi="Arial" w:cs="Arial"/>
          <w:sz w:val="16"/>
          <w:szCs w:val="16"/>
        </w:rPr>
        <w:t xml:space="preserve"> ICR value for 2011/2012 reflects the ARA #2 value accepted for filing by FERC in its March 29, 2010, </w:t>
      </w:r>
      <w:r w:rsidR="004E3B8A" w:rsidRPr="00B25488">
        <w:rPr>
          <w:rFonts w:ascii="Arial" w:hAnsi="Arial" w:cs="Arial"/>
          <w:i/>
          <w:sz w:val="16"/>
          <w:szCs w:val="16"/>
        </w:rPr>
        <w:t>Order Accepting for</w:t>
      </w:r>
      <w:r w:rsidR="009906F2">
        <w:rPr>
          <w:rFonts w:ascii="Arial" w:hAnsi="Arial" w:cs="Arial"/>
          <w:i/>
          <w:sz w:val="16"/>
          <w:szCs w:val="16"/>
        </w:rPr>
        <w:t xml:space="preserve"> F</w:t>
      </w:r>
      <w:r w:rsidR="004E3B8A" w:rsidRPr="00B25488">
        <w:rPr>
          <w:rFonts w:ascii="Arial" w:hAnsi="Arial" w:cs="Arial"/>
          <w:i/>
          <w:sz w:val="16"/>
          <w:szCs w:val="16"/>
        </w:rPr>
        <w:t>iling the Installed Capacity Requirement, Hydro Qu</w:t>
      </w:r>
      <w:r w:rsidR="0051440A">
        <w:rPr>
          <w:rFonts w:ascii="Arial" w:hAnsi="Arial" w:cs="Arial"/>
          <w:i/>
          <w:sz w:val="16"/>
          <w:szCs w:val="16"/>
        </w:rPr>
        <w:t>é</w:t>
      </w:r>
      <w:r w:rsidR="004E3B8A" w:rsidRPr="00B25488">
        <w:rPr>
          <w:rFonts w:ascii="Arial" w:hAnsi="Arial" w:cs="Arial"/>
          <w:i/>
          <w:sz w:val="16"/>
          <w:szCs w:val="16"/>
        </w:rPr>
        <w:t xml:space="preserve">bec Interconnection Capability Credits and Related Values for the Second Reconfiguration Auction for the 2011/2012 Capability </w:t>
      </w:r>
      <w:r w:rsidR="004E3B8A" w:rsidRPr="00C6659E">
        <w:rPr>
          <w:rFonts w:ascii="Arial" w:hAnsi="Arial" w:cs="Arial"/>
          <w:i/>
          <w:color w:val="000000" w:themeColor="text1"/>
          <w:sz w:val="16"/>
          <w:szCs w:val="16"/>
        </w:rPr>
        <w:t>Year</w:t>
      </w:r>
      <w:r w:rsidR="004E3B8A" w:rsidRPr="00C6659E">
        <w:rPr>
          <w:color w:val="000000" w:themeColor="text1"/>
          <w:sz w:val="16"/>
          <w:szCs w:val="16"/>
        </w:rPr>
        <w:t xml:space="preserve"> </w:t>
      </w:r>
      <w:r w:rsidR="004E3B8A" w:rsidRPr="00C6659E">
        <w:rPr>
          <w:rFonts w:ascii="Arial" w:hAnsi="Arial" w:cs="Arial"/>
          <w:color w:val="000000" w:themeColor="text1"/>
          <w:sz w:val="16"/>
          <w:szCs w:val="16"/>
        </w:rPr>
        <w:t>(</w:t>
      </w:r>
      <w:hyperlink r:id="rId28" w:history="1">
        <w:r w:rsidR="00B25488" w:rsidRPr="00C6659E">
          <w:rPr>
            <w:rStyle w:val="Hyperlink"/>
            <w:rFonts w:ascii="Arial" w:hAnsi="Arial" w:cs="Arial"/>
            <w:color w:val="000000" w:themeColor="text1"/>
            <w:sz w:val="16"/>
            <w:szCs w:val="16"/>
            <w:u w:val="none"/>
          </w:rPr>
          <w:t>http://www.iso-ne.com/regulatory/ferc/orders/2010/mar/er10-714-000_3-29-10_ltr_order_accept_2011-2012_icr.pdf</w:t>
        </w:r>
      </w:hyperlink>
      <w:r w:rsidR="004E3B8A" w:rsidRPr="00C6659E">
        <w:rPr>
          <w:rFonts w:ascii="Arial" w:hAnsi="Arial" w:cs="Arial"/>
          <w:color w:val="000000" w:themeColor="text1"/>
          <w:sz w:val="16"/>
          <w:szCs w:val="16"/>
        </w:rPr>
        <w:t>).</w:t>
      </w:r>
    </w:p>
    <w:p w:rsidR="00B25488" w:rsidRPr="00B25488" w:rsidRDefault="00C6659E" w:rsidP="009906F2">
      <w:pPr>
        <w:pStyle w:val="Default"/>
        <w:keepNext/>
        <w:keepLines/>
        <w:tabs>
          <w:tab w:val="left" w:pos="8460"/>
        </w:tabs>
        <w:spacing w:after="80"/>
        <w:ind w:left="1170" w:right="990" w:hanging="270"/>
        <w:rPr>
          <w:rFonts w:ascii="Arial" w:hAnsi="Arial" w:cs="Arial"/>
          <w:color w:val="auto"/>
          <w:sz w:val="16"/>
          <w:szCs w:val="16"/>
        </w:rPr>
      </w:pPr>
      <w:r w:rsidRPr="00C6659E">
        <w:rPr>
          <w:rFonts w:ascii="Arial" w:hAnsi="Arial" w:cs="Arial"/>
          <w:sz w:val="16"/>
          <w:szCs w:val="16"/>
        </w:rPr>
        <w:t>(d)</w:t>
      </w:r>
      <w:r>
        <w:rPr>
          <w:rFonts w:ascii="Arial" w:hAnsi="Arial" w:cs="Arial"/>
          <w:i/>
          <w:sz w:val="16"/>
          <w:szCs w:val="16"/>
        </w:rPr>
        <w:t xml:space="preserve"> </w:t>
      </w:r>
      <w:r w:rsidR="00D70F17">
        <w:rPr>
          <w:rFonts w:ascii="Arial" w:hAnsi="Arial" w:cs="Arial"/>
          <w:i/>
          <w:sz w:val="16"/>
          <w:szCs w:val="16"/>
        </w:rPr>
        <w:tab/>
      </w:r>
      <w:r w:rsidR="004E3B8A" w:rsidRPr="00B25488">
        <w:rPr>
          <w:rFonts w:ascii="Arial" w:hAnsi="Arial" w:cs="Arial"/>
          <w:sz w:val="16"/>
          <w:szCs w:val="16"/>
        </w:rPr>
        <w:t xml:space="preserve">For the 2012/2013 capability year, the net ICR value represents the value approved by FERC in its August 14, 2009, </w:t>
      </w:r>
      <w:r w:rsidR="004E3B8A" w:rsidRPr="00B25488">
        <w:rPr>
          <w:rFonts w:ascii="Arial" w:hAnsi="Arial" w:cs="Arial"/>
          <w:i/>
          <w:sz w:val="16"/>
          <w:szCs w:val="16"/>
        </w:rPr>
        <w:t>Filing of Installed Capacity Requirement</w:t>
      </w:r>
      <w:r w:rsidR="003174D8" w:rsidRPr="003174D8">
        <w:rPr>
          <w:rFonts w:ascii="Arial" w:hAnsi="Arial" w:cs="Arial"/>
          <w:i/>
          <w:sz w:val="16"/>
          <w:szCs w:val="16"/>
        </w:rPr>
        <w:t>, Hydro-Qu</w:t>
      </w:r>
      <w:r w:rsidR="0051440A">
        <w:rPr>
          <w:rFonts w:ascii="Arial" w:hAnsi="Arial" w:cs="Arial"/>
          <w:i/>
          <w:sz w:val="16"/>
          <w:szCs w:val="16"/>
        </w:rPr>
        <w:t>é</w:t>
      </w:r>
      <w:r w:rsidR="003174D8" w:rsidRPr="003174D8">
        <w:rPr>
          <w:rFonts w:ascii="Arial" w:hAnsi="Arial" w:cs="Arial"/>
          <w:i/>
          <w:sz w:val="16"/>
          <w:szCs w:val="16"/>
        </w:rPr>
        <w:t>bec Interconnection Capability Credits and Related Values for the 2012/2013 Capability</w:t>
      </w:r>
      <w:r w:rsidR="004E3B8A" w:rsidRPr="00B25488">
        <w:rPr>
          <w:rFonts w:ascii="Arial" w:hAnsi="Arial" w:cs="Arial"/>
          <w:i/>
          <w:sz w:val="16"/>
          <w:szCs w:val="16"/>
        </w:rPr>
        <w:t xml:space="preserve"> Year</w:t>
      </w:r>
      <w:r w:rsidR="004E3B8A" w:rsidRPr="00B25488">
        <w:rPr>
          <w:rFonts w:ascii="Arial" w:hAnsi="Arial" w:cs="Arial"/>
          <w:sz w:val="16"/>
          <w:szCs w:val="16"/>
        </w:rPr>
        <w:t xml:space="preserve"> </w:t>
      </w:r>
      <w:r w:rsidR="004E3B8A" w:rsidRPr="00C6659E">
        <w:rPr>
          <w:rFonts w:ascii="Arial" w:hAnsi="Arial" w:cs="Arial"/>
          <w:color w:val="auto"/>
          <w:sz w:val="16"/>
          <w:szCs w:val="16"/>
        </w:rPr>
        <w:t>(</w:t>
      </w:r>
      <w:hyperlink r:id="rId29" w:history="1">
        <w:r w:rsidR="00B25488" w:rsidRPr="00C6659E">
          <w:rPr>
            <w:rStyle w:val="Hyperlink"/>
            <w:rFonts w:ascii="Arial" w:hAnsi="Arial" w:cs="Arial"/>
            <w:color w:val="auto"/>
            <w:sz w:val="16"/>
            <w:szCs w:val="16"/>
            <w:u w:val="none"/>
          </w:rPr>
          <w:t>http://www.iso-ne.com/regulatory/ferc/orders/2009/aug/er09-1415-000_8-14-09_accept%202012-2013%20icr.pdf</w:t>
        </w:r>
      </w:hyperlink>
      <w:r w:rsidR="004E3B8A" w:rsidRPr="00C6659E">
        <w:rPr>
          <w:rFonts w:ascii="Arial" w:hAnsi="Arial" w:cs="Arial"/>
          <w:color w:val="auto"/>
          <w:sz w:val="16"/>
          <w:szCs w:val="16"/>
        </w:rPr>
        <w:t xml:space="preserve">). </w:t>
      </w:r>
    </w:p>
    <w:p w:rsidR="00C6659E" w:rsidRPr="00C6659E" w:rsidRDefault="00C6659E" w:rsidP="009906F2">
      <w:pPr>
        <w:spacing w:after="80" w:line="240" w:lineRule="auto"/>
        <w:ind w:left="1170" w:right="990" w:hanging="270"/>
        <w:rPr>
          <w:rFonts w:ascii="Arial" w:hAnsi="Arial" w:cs="Arial"/>
          <w:sz w:val="16"/>
          <w:szCs w:val="16"/>
        </w:rPr>
      </w:pPr>
      <w:r>
        <w:rPr>
          <w:rFonts w:ascii="Arial" w:hAnsi="Arial" w:cs="Arial"/>
          <w:sz w:val="16"/>
          <w:szCs w:val="16"/>
        </w:rPr>
        <w:t xml:space="preserve">(e) </w:t>
      </w:r>
      <w:r w:rsidR="00D70F17">
        <w:rPr>
          <w:rFonts w:ascii="Arial" w:hAnsi="Arial" w:cs="Arial"/>
          <w:sz w:val="16"/>
          <w:szCs w:val="16"/>
        </w:rPr>
        <w:tab/>
      </w:r>
      <w:r w:rsidR="004E3B8A" w:rsidRPr="00C6659E">
        <w:rPr>
          <w:rFonts w:ascii="Arial" w:hAnsi="Arial" w:cs="Arial"/>
          <w:sz w:val="16"/>
          <w:szCs w:val="16"/>
        </w:rPr>
        <w:t xml:space="preserve">For the 2013/2014 </w:t>
      </w:r>
      <w:r w:rsidR="00A67F00" w:rsidRPr="00C6659E">
        <w:rPr>
          <w:rFonts w:ascii="Arial" w:hAnsi="Arial" w:cs="Arial"/>
          <w:sz w:val="16"/>
          <w:szCs w:val="16"/>
        </w:rPr>
        <w:t>c</w:t>
      </w:r>
      <w:r w:rsidR="004E3B8A" w:rsidRPr="00C6659E">
        <w:rPr>
          <w:rFonts w:ascii="Arial" w:hAnsi="Arial" w:cs="Arial"/>
          <w:sz w:val="16"/>
          <w:szCs w:val="16"/>
        </w:rPr>
        <w:t xml:space="preserve">apacity </w:t>
      </w:r>
      <w:r w:rsidR="00A67F00" w:rsidRPr="00C6659E">
        <w:rPr>
          <w:rFonts w:ascii="Arial" w:hAnsi="Arial" w:cs="Arial"/>
          <w:sz w:val="16"/>
          <w:szCs w:val="16"/>
        </w:rPr>
        <w:t>c</w:t>
      </w:r>
      <w:r w:rsidR="004E3B8A" w:rsidRPr="00C6659E">
        <w:rPr>
          <w:rFonts w:ascii="Arial" w:hAnsi="Arial" w:cs="Arial"/>
          <w:sz w:val="16"/>
          <w:szCs w:val="16"/>
        </w:rPr>
        <w:t xml:space="preserve">ommitment </w:t>
      </w:r>
      <w:r w:rsidR="00A67F00" w:rsidRPr="00C6659E">
        <w:rPr>
          <w:rFonts w:ascii="Arial" w:hAnsi="Arial" w:cs="Arial"/>
          <w:sz w:val="16"/>
          <w:szCs w:val="16"/>
        </w:rPr>
        <w:t>p</w:t>
      </w:r>
      <w:r w:rsidR="004E3B8A" w:rsidRPr="00C6659E">
        <w:rPr>
          <w:rFonts w:ascii="Arial" w:hAnsi="Arial" w:cs="Arial"/>
          <w:sz w:val="16"/>
          <w:szCs w:val="16"/>
        </w:rPr>
        <w:t xml:space="preserve">eriod, the net ICR value represents the value filed with FERC on May 4, 2010. </w:t>
      </w:r>
      <w:r w:rsidR="00A67F00" w:rsidRPr="00C6659E">
        <w:rPr>
          <w:rFonts w:ascii="Arial" w:hAnsi="Arial" w:cs="Arial"/>
          <w:sz w:val="16"/>
          <w:szCs w:val="16"/>
        </w:rPr>
        <w:t>Representative net ICR values are presented for t</w:t>
      </w:r>
      <w:r w:rsidR="004E3B8A" w:rsidRPr="00C6659E">
        <w:rPr>
          <w:rFonts w:ascii="Arial" w:hAnsi="Arial" w:cs="Arial"/>
          <w:sz w:val="16"/>
          <w:szCs w:val="16"/>
        </w:rPr>
        <w:t>he 2014/</w:t>
      </w:r>
      <w:r w:rsidR="003F4D11" w:rsidRPr="00C6659E">
        <w:rPr>
          <w:rFonts w:ascii="Arial" w:hAnsi="Arial" w:cs="Arial"/>
          <w:sz w:val="16"/>
          <w:szCs w:val="16"/>
        </w:rPr>
        <w:t>20</w:t>
      </w:r>
      <w:r w:rsidR="004E3B8A" w:rsidRPr="00C6659E">
        <w:rPr>
          <w:rFonts w:ascii="Arial" w:hAnsi="Arial" w:cs="Arial"/>
          <w:sz w:val="16"/>
          <w:szCs w:val="16"/>
        </w:rPr>
        <w:t>15 through 2019/2020 capability years</w:t>
      </w:r>
      <w:r w:rsidR="00A67F00" w:rsidRPr="00C6659E">
        <w:rPr>
          <w:rFonts w:ascii="Arial" w:hAnsi="Arial" w:cs="Arial"/>
          <w:sz w:val="16"/>
          <w:szCs w:val="16"/>
        </w:rPr>
        <w:t xml:space="preserve">, </w:t>
      </w:r>
      <w:r w:rsidR="004E3B8A" w:rsidRPr="00C6659E">
        <w:rPr>
          <w:rFonts w:ascii="Arial" w:hAnsi="Arial" w:cs="Arial"/>
          <w:sz w:val="16"/>
          <w:szCs w:val="16"/>
        </w:rPr>
        <w:t>reflecting the amount of capacity resources needed to meet the resource adequacy planning criterion.</w:t>
      </w:r>
    </w:p>
    <w:p w:rsidR="00C6659E" w:rsidRPr="00C6659E" w:rsidRDefault="00C6659E" w:rsidP="009906F2">
      <w:pPr>
        <w:spacing w:line="240" w:lineRule="auto"/>
        <w:ind w:left="1170" w:right="990" w:hanging="270"/>
        <w:rPr>
          <w:rFonts w:ascii="Arial" w:hAnsi="Arial" w:cs="Arial"/>
          <w:sz w:val="16"/>
          <w:szCs w:val="16"/>
        </w:rPr>
      </w:pPr>
      <w:r>
        <w:rPr>
          <w:rFonts w:ascii="Arial" w:hAnsi="Arial" w:cs="Arial"/>
          <w:sz w:val="16"/>
          <w:szCs w:val="16"/>
        </w:rPr>
        <w:t xml:space="preserve">(f) </w:t>
      </w:r>
      <w:r w:rsidR="00D70F17">
        <w:rPr>
          <w:rFonts w:ascii="Arial" w:hAnsi="Arial" w:cs="Arial"/>
          <w:sz w:val="16"/>
          <w:szCs w:val="16"/>
        </w:rPr>
        <w:tab/>
      </w:r>
      <w:r w:rsidRPr="00C6659E">
        <w:rPr>
          <w:rFonts w:ascii="Arial" w:hAnsi="Arial" w:cs="Arial"/>
          <w:sz w:val="16"/>
          <w:szCs w:val="16"/>
        </w:rPr>
        <w:t>The 2014/</w:t>
      </w:r>
      <w:r w:rsidR="00C030F6">
        <w:rPr>
          <w:rFonts w:ascii="Arial" w:hAnsi="Arial" w:cs="Arial"/>
          <w:sz w:val="16"/>
          <w:szCs w:val="16"/>
        </w:rPr>
        <w:t>20</w:t>
      </w:r>
      <w:r w:rsidRPr="00C6659E">
        <w:rPr>
          <w:rFonts w:ascii="Arial" w:hAnsi="Arial" w:cs="Arial"/>
          <w:sz w:val="16"/>
          <w:szCs w:val="16"/>
        </w:rPr>
        <w:t>15 through 2019/2020 capability years’ representative net ICR values reflect the amount of capacity resources needed to meet the resource adequacy planning criterion.</w:t>
      </w:r>
    </w:p>
    <w:p w:rsidR="004E3B8A" w:rsidRPr="00C323B0" w:rsidRDefault="003546CC" w:rsidP="004E3B8A">
      <w:r w:rsidRPr="008714C5">
        <w:t xml:space="preserve">As shown in </w:t>
      </w:r>
      <w:r w:rsidR="00832C7A">
        <w:fldChar w:fldCharType="begin"/>
      </w:r>
      <w:r>
        <w:instrText xml:space="preserve"> REF _Ref262584696 \h </w:instrText>
      </w:r>
      <w:r w:rsidR="00832C7A">
        <w:fldChar w:fldCharType="separate"/>
      </w:r>
      <w:r w:rsidR="00E5699E" w:rsidRPr="00EF18B4">
        <w:t>Table </w:t>
      </w:r>
      <w:r w:rsidR="00E5699E">
        <w:rPr>
          <w:noProof/>
        </w:rPr>
        <w:t>4</w:t>
      </w:r>
      <w:r w:rsidR="00E5699E">
        <w:noBreakHyphen/>
      </w:r>
      <w:r w:rsidR="00E5699E">
        <w:rPr>
          <w:noProof/>
        </w:rPr>
        <w:t>1</w:t>
      </w:r>
      <w:r w:rsidR="00832C7A">
        <w:fldChar w:fldCharType="end"/>
      </w:r>
      <w:r w:rsidRPr="008714C5">
        <w:t>,</w:t>
      </w:r>
      <w:r>
        <w:t xml:space="preserve"> t</w:t>
      </w:r>
      <w:r w:rsidRPr="008714C5">
        <w:t>he percentage of resulting reserve</w:t>
      </w:r>
      <w:r w:rsidR="00F22548">
        <w:t>s</w:t>
      </w:r>
      <w:r w:rsidRPr="008714C5">
        <w:t xml:space="preserve"> associated with the net ICR values for 2010/2011 and 2011/2012 </w:t>
      </w:r>
      <w:r w:rsidR="00F22548">
        <w:t>is</w:t>
      </w:r>
      <w:r w:rsidRPr="008714C5">
        <w:t xml:space="preserve"> </w:t>
      </w:r>
      <w:r>
        <w:t>1</w:t>
      </w:r>
      <w:r w:rsidRPr="008714C5">
        <w:t xml:space="preserve">% to </w:t>
      </w:r>
      <w:r>
        <w:t>2</w:t>
      </w:r>
      <w:r w:rsidRPr="008714C5">
        <w:t>% higher than the percentage values for the rest of the years</w:t>
      </w:r>
      <w:r>
        <w:t xml:space="preserve">. This is because </w:t>
      </w:r>
      <w:r w:rsidRPr="008714C5">
        <w:t xml:space="preserve">the load forecasts used to calculate these net ICRs were </w:t>
      </w:r>
      <w:r>
        <w:t xml:space="preserve">slightly </w:t>
      </w:r>
      <w:r w:rsidRPr="008714C5">
        <w:t>higher than the RSP10 load forecasts used to cal</w:t>
      </w:r>
      <w:r w:rsidR="00F22548">
        <w:t xml:space="preserve">culate the </w:t>
      </w:r>
      <w:r w:rsidRPr="008714C5">
        <w:t>percentages</w:t>
      </w:r>
      <w:r>
        <w:t xml:space="preserve"> </w:t>
      </w:r>
      <w:r w:rsidR="00F22548">
        <w:t xml:space="preserve">of resulting reserves </w:t>
      </w:r>
      <w:r>
        <w:t>for the later years</w:t>
      </w:r>
      <w:r w:rsidRPr="008714C5">
        <w:t>.</w:t>
      </w:r>
      <w:r w:rsidRPr="008714C5">
        <w:rPr>
          <w:rStyle w:val="FootnoteReference"/>
          <w:sz w:val="22"/>
        </w:rPr>
        <w:footnoteReference w:id="88"/>
      </w:r>
      <w:r>
        <w:t xml:space="preserve"> The table also shows that t</w:t>
      </w:r>
      <w:r w:rsidRPr="008714C5">
        <w:t xml:space="preserve">he annual </w:t>
      </w:r>
      <w:r>
        <w:t xml:space="preserve">resulting reserves calculated using the </w:t>
      </w:r>
      <w:r w:rsidRPr="008714C5">
        <w:t>net ICR values increas</w:t>
      </w:r>
      <w:r>
        <w:t xml:space="preserve">e </w:t>
      </w:r>
      <w:r w:rsidRPr="008714C5">
        <w:t>from 12.5% in 2013 to 13.3% by 2019/2020. This increase in the percentage of resulting reserves is a result of assuming a fixed amount of tie benefits through time. As the system load increases and the tie benefits stay constant, the installed capacity needed to meet the resource a</w:t>
      </w:r>
      <w:r>
        <w:t>dequacy planning criterion</w:t>
      </w:r>
      <w:r w:rsidRPr="008714C5">
        <w:t xml:space="preserve"> increase</w:t>
      </w:r>
      <w:r>
        <w:t>s</w:t>
      </w:r>
      <w:r w:rsidRPr="008714C5">
        <w:t xml:space="preserve"> as a percentage of the peak load</w:t>
      </w:r>
      <w:r>
        <w:t>.</w:t>
      </w:r>
    </w:p>
    <w:p w:rsidR="00B462A6" w:rsidRDefault="004E3B8A">
      <w:pPr>
        <w:pStyle w:val="Heading3"/>
      </w:pPr>
      <w:bookmarkStart w:id="191" w:name="_Toc176244998"/>
      <w:bookmarkStart w:id="192" w:name="_Toc201669921"/>
      <w:bookmarkStart w:id="193" w:name="_Ref201985943"/>
      <w:bookmarkStart w:id="194" w:name="_Toc207531821"/>
      <w:bookmarkStart w:id="195" w:name="_Ref231194169"/>
      <w:bookmarkStart w:id="196" w:name="_Toc239157060"/>
      <w:bookmarkStart w:id="197" w:name="_Toc271632218"/>
      <w:r w:rsidRPr="006A6F09">
        <w:t>Other Resource Adequa</w:t>
      </w:r>
      <w:bookmarkEnd w:id="191"/>
      <w:r w:rsidRPr="006A6F09">
        <w:t>cy Analyses</w:t>
      </w:r>
      <w:bookmarkEnd w:id="192"/>
      <w:bookmarkEnd w:id="193"/>
      <w:bookmarkEnd w:id="194"/>
      <w:bookmarkEnd w:id="195"/>
      <w:bookmarkEnd w:id="196"/>
      <w:bookmarkEnd w:id="197"/>
    </w:p>
    <w:p w:rsidR="004E3B8A" w:rsidRDefault="004E3B8A" w:rsidP="00C030F6">
      <w:r w:rsidRPr="00E363D1">
        <w:t xml:space="preserve">While the ICR addresses </w:t>
      </w:r>
      <w:r w:rsidR="00583527">
        <w:t xml:space="preserve">New England’s </w:t>
      </w:r>
      <w:r w:rsidRPr="00E363D1">
        <w:t xml:space="preserve">total capacity requirement, assuming the system overall has no transmission constraints within </w:t>
      </w:r>
      <w:r w:rsidR="00583527">
        <w:t>the region</w:t>
      </w:r>
      <w:r w:rsidRPr="00E363D1">
        <w:t>, certain</w:t>
      </w:r>
      <w:r>
        <w:t xml:space="preserve"> subareas within </w:t>
      </w:r>
      <w:r w:rsidR="00583527">
        <w:t>New England</w:t>
      </w:r>
      <w:r>
        <w:t xml:space="preserve"> are affected by limitations in the ability to export or import power within the region. To address the subarea reliability impacts of these constraints, t</w:t>
      </w:r>
      <w:r w:rsidRPr="001C324E">
        <w:t>he ISO determines the maximum capacity limit (MCL) and local sourcing requirement</w:t>
      </w:r>
      <w:r>
        <w:t xml:space="preserve"> </w:t>
      </w:r>
      <w:r w:rsidRPr="001C324E">
        <w:t xml:space="preserve">(LSR) for certain </w:t>
      </w:r>
      <w:r>
        <w:t>subareas</w:t>
      </w:r>
      <w:r w:rsidRPr="001C324E">
        <w:t xml:space="preserve"> </w:t>
      </w:r>
      <w:r>
        <w:t>with</w:t>
      </w:r>
      <w:r w:rsidRPr="001C324E">
        <w:t xml:space="preserve">in New England. An </w:t>
      </w:r>
      <w:r w:rsidRPr="002A38A1">
        <w:rPr>
          <w:i/>
        </w:rPr>
        <w:t>MCL</w:t>
      </w:r>
      <w:r w:rsidRPr="001C324E">
        <w:t xml:space="preserve"> is the maximum amount of capacity that can be procured in an export-constrained load zone to meet the</w:t>
      </w:r>
      <w:r>
        <w:t xml:space="preserve"> total</w:t>
      </w:r>
      <w:r w:rsidRPr="001C324E">
        <w:t xml:space="preserve"> </w:t>
      </w:r>
      <w:r w:rsidRPr="00E363D1">
        <w:t>ICR for</w:t>
      </w:r>
      <w:r>
        <w:t xml:space="preserve"> the New England region</w:t>
      </w:r>
      <w:r w:rsidRPr="001C324E">
        <w:t xml:space="preserve">. An </w:t>
      </w:r>
      <w:r w:rsidRPr="002A38A1">
        <w:rPr>
          <w:i/>
        </w:rPr>
        <w:t>LSR</w:t>
      </w:r>
      <w:r w:rsidRPr="001C324E">
        <w:t xml:space="preserve"> is the minimum amount of capacity that must be electrically located within an import-constrained load zone to meet the ICR. </w:t>
      </w:r>
      <w:r w:rsidRPr="00D93D8A">
        <w:t xml:space="preserve">Areas that have either a </w:t>
      </w:r>
      <w:r w:rsidR="00583527">
        <w:t xml:space="preserve">LCR </w:t>
      </w:r>
      <w:r w:rsidRPr="00D93D8A">
        <w:t xml:space="preserve">or a </w:t>
      </w:r>
      <w:r w:rsidR="00583527">
        <w:t xml:space="preserve">MCL </w:t>
      </w:r>
      <w:r>
        <w:t xml:space="preserve">and that meet other tests in the market </w:t>
      </w:r>
      <w:r w:rsidRPr="00D93D8A">
        <w:t>are designated as capacity zones. These designations h</w:t>
      </w:r>
      <w:r w:rsidRPr="001C324E">
        <w:t xml:space="preserve">elp </w:t>
      </w:r>
      <w:r w:rsidRPr="00C030F6">
        <w:t xml:space="preserve">ensure </w:t>
      </w:r>
      <w:r w:rsidR="00C030F6" w:rsidRPr="00C030F6">
        <w:t>that the appropriate amount of capacity is procured within these capacity zones to satisfy the ICR and contribute effectively to total system reliability</w:t>
      </w:r>
      <w:r w:rsidRPr="00C030F6">
        <w:t>. The</w:t>
      </w:r>
      <w:r>
        <w:t xml:space="preserve"> remaining areas in New England are designated as the “Rest of Pool” capacity zone. </w:t>
      </w:r>
    </w:p>
    <w:p w:rsidR="004E3B8A" w:rsidRPr="00A35DBC" w:rsidRDefault="004E3B8A" w:rsidP="004E3B8A">
      <w:pPr>
        <w:autoSpaceDE w:val="0"/>
        <w:autoSpaceDN w:val="0"/>
        <w:adjustRightInd w:val="0"/>
      </w:pPr>
      <w:r w:rsidRPr="00A35DBC">
        <w:t xml:space="preserve">On February 22, 2010, </w:t>
      </w:r>
      <w:r>
        <w:t xml:space="preserve">as part of a larger package of proposed changes, </w:t>
      </w:r>
      <w:r w:rsidRPr="00A35DBC">
        <w:t>the ISO filed</w:t>
      </w:r>
      <w:r w:rsidRPr="00A35DBC">
        <w:rPr>
          <w:rFonts w:eastAsia="Calibri" w:cs="Times New Roman"/>
        </w:rPr>
        <w:t xml:space="preserve"> rule changes </w:t>
      </w:r>
      <w:r w:rsidRPr="00A35DBC">
        <w:t xml:space="preserve">to </w:t>
      </w:r>
      <w:r w:rsidRPr="00A35DBC">
        <w:rPr>
          <w:rFonts w:eastAsia="Calibri" w:cs="Times New Roman"/>
        </w:rPr>
        <w:t>revise the methodology for calculating th</w:t>
      </w:r>
      <w:r w:rsidRPr="00A35DBC">
        <w:t>e LSR</w:t>
      </w:r>
      <w:r w:rsidRPr="00A35DBC">
        <w:rPr>
          <w:rFonts w:eastAsia="Calibri" w:cs="Times New Roman"/>
        </w:rPr>
        <w:t xml:space="preserve"> for import-constrained capacity zones starting with FCA</w:t>
      </w:r>
      <w:r>
        <w:rPr>
          <w:rFonts w:eastAsia="Calibri" w:cs="Times New Roman"/>
        </w:rPr>
        <w:t> </w:t>
      </w:r>
      <w:r w:rsidRPr="00A35DBC">
        <w:rPr>
          <w:rFonts w:eastAsia="Calibri" w:cs="Times New Roman"/>
        </w:rPr>
        <w:t>#4.</w:t>
      </w:r>
      <w:r w:rsidRPr="00591FC3">
        <w:rPr>
          <w:rStyle w:val="FootnoteReference"/>
          <w:rFonts w:eastAsia="Calibri"/>
          <w:sz w:val="22"/>
        </w:rPr>
        <w:footnoteReference w:id="89"/>
      </w:r>
      <w:r w:rsidR="00CE7C4D">
        <w:rPr>
          <w:rFonts w:eastAsia="Calibri" w:cs="Times New Roman"/>
        </w:rPr>
        <w:t xml:space="preserve"> </w:t>
      </w:r>
      <w:r w:rsidRPr="00E363D1">
        <w:rPr>
          <w:rFonts w:eastAsia="Calibri" w:cs="Times New Roman"/>
        </w:rPr>
        <w:t>Because</w:t>
      </w:r>
      <w:r w:rsidRPr="00A35DBC">
        <w:rPr>
          <w:rFonts w:eastAsia="Calibri" w:cs="Times New Roman"/>
        </w:rPr>
        <w:t xml:space="preserve"> the system must meet</w:t>
      </w:r>
      <w:r>
        <w:rPr>
          <w:rFonts w:eastAsia="Calibri" w:cs="Times New Roman"/>
        </w:rPr>
        <w:t xml:space="preserve"> both the</w:t>
      </w:r>
      <w:r w:rsidRPr="00A35DBC">
        <w:rPr>
          <w:rFonts w:eastAsia="Calibri" w:cs="Times New Roman"/>
        </w:rPr>
        <w:t xml:space="preserve"> resource adequacy and transmission security requirements, the </w:t>
      </w:r>
      <w:r w:rsidRPr="00893805">
        <w:rPr>
          <w:rFonts w:eastAsia="Calibri" w:cs="Times New Roman"/>
        </w:rPr>
        <w:t xml:space="preserve">rule changes </w:t>
      </w:r>
      <w:r>
        <w:rPr>
          <w:rFonts w:eastAsia="Calibri" w:cs="Times New Roman"/>
        </w:rPr>
        <w:t xml:space="preserve">would </w:t>
      </w:r>
      <w:r w:rsidRPr="00893805">
        <w:rPr>
          <w:rFonts w:eastAsia="Calibri" w:cs="Times New Roman"/>
        </w:rPr>
        <w:t>require both resource adequacy and transmission</w:t>
      </w:r>
      <w:r w:rsidR="00DC504C">
        <w:rPr>
          <w:rFonts w:eastAsia="Calibri" w:cs="Times New Roman"/>
        </w:rPr>
        <w:t xml:space="preserve"> </w:t>
      </w:r>
      <w:r w:rsidRPr="00893805">
        <w:rPr>
          <w:rFonts w:eastAsia="Calibri" w:cs="Times New Roman"/>
        </w:rPr>
        <w:t>security</w:t>
      </w:r>
      <w:r w:rsidR="00845B4C">
        <w:rPr>
          <w:rFonts w:eastAsia="Calibri" w:cs="Times New Roman"/>
        </w:rPr>
        <w:t xml:space="preserve"> constraints </w:t>
      </w:r>
      <w:r w:rsidR="00B951AE">
        <w:rPr>
          <w:rFonts w:eastAsia="Calibri" w:cs="Times New Roman"/>
        </w:rPr>
        <w:t xml:space="preserve">to </w:t>
      </w:r>
      <w:r w:rsidR="00845B4C">
        <w:rPr>
          <w:rFonts w:eastAsia="Calibri" w:cs="Times New Roman"/>
        </w:rPr>
        <w:t>be respect</w:t>
      </w:r>
      <w:r w:rsidR="003A3226">
        <w:rPr>
          <w:rFonts w:eastAsia="Calibri" w:cs="Times New Roman"/>
        </w:rPr>
        <w:t>e</w:t>
      </w:r>
      <w:r w:rsidR="00845B4C">
        <w:rPr>
          <w:rFonts w:eastAsia="Calibri" w:cs="Times New Roman"/>
        </w:rPr>
        <w:t>d</w:t>
      </w:r>
      <w:r w:rsidR="00DC504C">
        <w:rPr>
          <w:rFonts w:eastAsia="Calibri" w:cs="Times New Roman"/>
        </w:rPr>
        <w:t xml:space="preserve"> </w:t>
      </w:r>
      <w:r w:rsidRPr="00893805">
        <w:rPr>
          <w:rFonts w:eastAsia="Calibri" w:cs="Times New Roman"/>
        </w:rPr>
        <w:t>for each import-constrained zone</w:t>
      </w:r>
      <w:r>
        <w:rPr>
          <w:rFonts w:eastAsia="Calibri" w:cs="Times New Roman"/>
        </w:rPr>
        <w:t xml:space="preserve">. </w:t>
      </w:r>
      <w:r w:rsidRPr="00A35DBC">
        <w:rPr>
          <w:rFonts w:eastAsia="Calibri" w:cs="Times New Roman"/>
        </w:rPr>
        <w:t xml:space="preserve">These revisions </w:t>
      </w:r>
      <w:r>
        <w:rPr>
          <w:rFonts w:eastAsia="Calibri" w:cs="Times New Roman"/>
        </w:rPr>
        <w:t>consider both</w:t>
      </w:r>
      <w:r w:rsidRPr="00A35DBC">
        <w:rPr>
          <w:rFonts w:eastAsia="Calibri" w:cs="Times New Roman"/>
        </w:rPr>
        <w:t xml:space="preserve"> the </w:t>
      </w:r>
      <w:r>
        <w:rPr>
          <w:rFonts w:eastAsia="Calibri" w:cs="Times New Roman"/>
        </w:rPr>
        <w:t xml:space="preserve">use of the </w:t>
      </w:r>
      <w:r w:rsidRPr="00525A8A">
        <w:rPr>
          <w:rFonts w:eastAsia="Calibri" w:cs="Times New Roman"/>
        </w:rPr>
        <w:t xml:space="preserve">probabilistic </w:t>
      </w:r>
      <w:r>
        <w:rPr>
          <w:rFonts w:eastAsia="Calibri" w:cs="Times New Roman"/>
        </w:rPr>
        <w:t>local resource adequacy criteria previously used to determine the LSR for capacity zones and the deterministic</w:t>
      </w:r>
      <w:r w:rsidRPr="00525A8A">
        <w:rPr>
          <w:rFonts w:eastAsia="Calibri" w:cs="Times New Roman"/>
        </w:rPr>
        <w:t xml:space="preserve"> transmission</w:t>
      </w:r>
      <w:r w:rsidRPr="00A35DBC">
        <w:rPr>
          <w:rFonts w:eastAsia="Calibri" w:cs="Times New Roman"/>
        </w:rPr>
        <w:t xml:space="preserve"> security criteria the ISO uses to maintain system operational reliability when </w:t>
      </w:r>
      <w:r>
        <w:rPr>
          <w:rFonts w:eastAsia="Calibri" w:cs="Times New Roman"/>
        </w:rPr>
        <w:t xml:space="preserve">reviewing </w:t>
      </w:r>
      <w:r w:rsidRPr="00525A8A">
        <w:rPr>
          <w:rFonts w:eastAsia="Calibri" w:cs="Times New Roman"/>
          <w:i/>
        </w:rPr>
        <w:t>delist bids</w:t>
      </w:r>
      <w:r>
        <w:rPr>
          <w:rFonts w:eastAsia="Calibri" w:cs="Times New Roman"/>
        </w:rPr>
        <w:t xml:space="preserve"> for</w:t>
      </w:r>
      <w:r w:rsidRPr="00A35DBC">
        <w:rPr>
          <w:rFonts w:eastAsia="Calibri" w:cs="Times New Roman"/>
        </w:rPr>
        <w:t xml:space="preserve"> the </w:t>
      </w:r>
      <w:r w:rsidRPr="00E363D1">
        <w:rPr>
          <w:rFonts w:eastAsia="Calibri" w:cs="Times New Roman"/>
        </w:rPr>
        <w:t xml:space="preserve">FCA (i.e., bids submitted by existing capacity resources interested in being removed from the FCA; see Section </w:t>
      </w:r>
      <w:r w:rsidR="00832C7A">
        <w:rPr>
          <w:rFonts w:eastAsia="Calibri" w:cs="Times New Roman"/>
        </w:rPr>
        <w:fldChar w:fldCharType="begin"/>
      </w:r>
      <w:r w:rsidR="00663230">
        <w:rPr>
          <w:rFonts w:eastAsia="Calibri" w:cs="Times New Roman"/>
        </w:rPr>
        <w:instrText xml:space="preserve"> REF _Ref267385078 \r \h </w:instrText>
      </w:r>
      <w:r w:rsidR="00832C7A">
        <w:rPr>
          <w:rFonts w:eastAsia="Calibri" w:cs="Times New Roman"/>
        </w:rPr>
      </w:r>
      <w:r w:rsidR="00832C7A">
        <w:rPr>
          <w:rFonts w:eastAsia="Calibri" w:cs="Times New Roman"/>
        </w:rPr>
        <w:fldChar w:fldCharType="separate"/>
      </w:r>
      <w:r w:rsidR="00E5699E">
        <w:rPr>
          <w:rFonts w:eastAsia="Calibri" w:cs="Times New Roman"/>
        </w:rPr>
        <w:t>4.2.2.1</w:t>
      </w:r>
      <w:r w:rsidR="00832C7A">
        <w:rPr>
          <w:rFonts w:eastAsia="Calibri" w:cs="Times New Roman"/>
        </w:rPr>
        <w:fldChar w:fldCharType="end"/>
      </w:r>
      <w:r w:rsidRPr="00E363D1">
        <w:rPr>
          <w:rFonts w:eastAsia="Calibri" w:cs="Times New Roman"/>
        </w:rPr>
        <w:t>).</w:t>
      </w:r>
      <w:r w:rsidRPr="00B951AE">
        <w:rPr>
          <w:rStyle w:val="FootnoteReference"/>
          <w:rFonts w:eastAsia="Calibri"/>
          <w:sz w:val="22"/>
        </w:rPr>
        <w:footnoteReference w:id="90"/>
      </w:r>
      <w:r w:rsidRPr="00B951AE">
        <w:rPr>
          <w:rFonts w:eastAsia="Calibri" w:cs="Times New Roman"/>
        </w:rPr>
        <w:t xml:space="preserve"> </w:t>
      </w:r>
      <w:r>
        <w:rPr>
          <w:rFonts w:eastAsia="Calibri" w:cs="Times New Roman"/>
        </w:rPr>
        <w:t>T</w:t>
      </w:r>
      <w:r w:rsidRPr="00A35DBC">
        <w:rPr>
          <w:rFonts w:eastAsia="Calibri" w:cs="Times New Roman"/>
        </w:rPr>
        <w:t>he LSR for an import-constrained zone</w:t>
      </w:r>
      <w:r>
        <w:rPr>
          <w:rFonts w:eastAsia="Calibri" w:cs="Times New Roman"/>
        </w:rPr>
        <w:t xml:space="preserve"> is now defined</w:t>
      </w:r>
      <w:r w:rsidRPr="00A35DBC">
        <w:rPr>
          <w:rFonts w:eastAsia="Calibri" w:cs="Times New Roman"/>
        </w:rPr>
        <w:t xml:space="preserve"> as the amount of capacity needed to satisfy the higher </w:t>
      </w:r>
      <w:r>
        <w:rPr>
          <w:rFonts w:eastAsia="Calibri" w:cs="Times New Roman"/>
        </w:rPr>
        <w:t xml:space="preserve">of </w:t>
      </w:r>
      <w:r w:rsidRPr="00525A8A">
        <w:rPr>
          <w:rFonts w:eastAsia="Calibri" w:cs="Times New Roman"/>
        </w:rPr>
        <w:t xml:space="preserve">the probabilistic </w:t>
      </w:r>
      <w:r w:rsidR="00BB585F">
        <w:rPr>
          <w:rFonts w:eastAsia="Calibri" w:cs="Times New Roman"/>
        </w:rPr>
        <w:t>l</w:t>
      </w:r>
      <w:r w:rsidRPr="00525A8A">
        <w:rPr>
          <w:rFonts w:eastAsia="Calibri" w:cs="Times New Roman"/>
        </w:rPr>
        <w:t xml:space="preserve">ocal </w:t>
      </w:r>
      <w:r w:rsidR="00BB585F">
        <w:rPr>
          <w:rFonts w:eastAsia="Calibri" w:cs="Times New Roman"/>
        </w:rPr>
        <w:t>r</w:t>
      </w:r>
      <w:r w:rsidRPr="00525A8A">
        <w:rPr>
          <w:rFonts w:eastAsia="Calibri" w:cs="Times New Roman"/>
        </w:rPr>
        <w:t xml:space="preserve">esource </w:t>
      </w:r>
      <w:r w:rsidR="00BB585F">
        <w:rPr>
          <w:rFonts w:eastAsia="Calibri" w:cs="Times New Roman"/>
        </w:rPr>
        <w:t>a</w:t>
      </w:r>
      <w:r w:rsidRPr="00525A8A">
        <w:rPr>
          <w:rFonts w:eastAsia="Calibri" w:cs="Times New Roman"/>
        </w:rPr>
        <w:t>dequacy (LRA) requirement</w:t>
      </w:r>
      <w:r>
        <w:rPr>
          <w:rFonts w:eastAsia="Calibri" w:cs="Times New Roman"/>
        </w:rPr>
        <w:t xml:space="preserve"> or the deterministic </w:t>
      </w:r>
      <w:r w:rsidR="00BB585F">
        <w:rPr>
          <w:rFonts w:eastAsia="Calibri" w:cs="Times New Roman"/>
        </w:rPr>
        <w:t>t</w:t>
      </w:r>
      <w:r w:rsidRPr="00525A8A">
        <w:rPr>
          <w:rFonts w:eastAsia="Calibri" w:cs="Times New Roman"/>
        </w:rPr>
        <w:t xml:space="preserve">ransmission </w:t>
      </w:r>
      <w:r w:rsidR="00BB585F">
        <w:rPr>
          <w:rFonts w:eastAsia="Calibri" w:cs="Times New Roman"/>
        </w:rPr>
        <w:t>s</w:t>
      </w:r>
      <w:r w:rsidRPr="00525A8A">
        <w:rPr>
          <w:rFonts w:eastAsia="Calibri" w:cs="Times New Roman"/>
        </w:rPr>
        <w:t xml:space="preserve">ecurity </w:t>
      </w:r>
      <w:r w:rsidR="00BB585F">
        <w:rPr>
          <w:rFonts w:eastAsia="Calibri" w:cs="Times New Roman"/>
        </w:rPr>
        <w:t>a</w:t>
      </w:r>
      <w:r w:rsidRPr="00525A8A">
        <w:rPr>
          <w:rFonts w:eastAsia="Calibri" w:cs="Times New Roman"/>
        </w:rPr>
        <w:t>nalysis (TSA) requirement.</w:t>
      </w:r>
      <w:r w:rsidRPr="00525A8A">
        <w:t xml:space="preserve"> </w:t>
      </w:r>
    </w:p>
    <w:p w:rsidR="004E3B8A" w:rsidRDefault="004E3B8A" w:rsidP="003F694C">
      <w:pPr>
        <w:autoSpaceDE w:val="0"/>
        <w:autoSpaceDN w:val="0"/>
        <w:adjustRightInd w:val="0"/>
        <w:jc w:val="both"/>
      </w:pPr>
      <w:r>
        <w:t>T</w:t>
      </w:r>
      <w:r w:rsidRPr="00371141">
        <w:t xml:space="preserve">he </w:t>
      </w:r>
      <w:r>
        <w:t xml:space="preserve">LSR and MCL </w:t>
      </w:r>
      <w:r w:rsidRPr="00371141">
        <w:t xml:space="preserve">values </w:t>
      </w:r>
      <w:r>
        <w:t xml:space="preserve">are included in </w:t>
      </w:r>
      <w:r w:rsidR="00832C7A">
        <w:fldChar w:fldCharType="begin"/>
      </w:r>
      <w:r>
        <w:instrText xml:space="preserve"> REF _Ref262586560 \h </w:instrText>
      </w:r>
      <w:r w:rsidR="00832C7A">
        <w:fldChar w:fldCharType="separate"/>
      </w:r>
      <w:r w:rsidR="00E5699E" w:rsidRPr="00740274">
        <w:t xml:space="preserve">Table </w:t>
      </w:r>
      <w:r w:rsidR="00E5699E">
        <w:rPr>
          <w:noProof/>
        </w:rPr>
        <w:t>4</w:t>
      </w:r>
      <w:r w:rsidR="00E5699E">
        <w:noBreakHyphen/>
      </w:r>
      <w:r w:rsidR="00E5699E">
        <w:rPr>
          <w:noProof/>
        </w:rPr>
        <w:t>2</w:t>
      </w:r>
      <w:r w:rsidR="00832C7A">
        <w:fldChar w:fldCharType="end"/>
      </w:r>
      <w:r w:rsidR="008C6AD9">
        <w:t xml:space="preserve"> </w:t>
      </w:r>
      <w:r>
        <w:t xml:space="preserve">for the first four capacity commitment periods; only the FCA #4 values for </w:t>
      </w:r>
      <w:r w:rsidR="00CE2406">
        <w:t xml:space="preserve">the </w:t>
      </w:r>
      <w:r>
        <w:t>LSR were calculated using “the higher of” methodology.</w:t>
      </w:r>
      <w:bookmarkStart w:id="198" w:name="_Toc176244999"/>
      <w:r w:rsidRPr="00371141">
        <w:rPr>
          <w:vertAlign w:val="superscript"/>
        </w:rPr>
        <w:footnoteReference w:id="91"/>
      </w:r>
    </w:p>
    <w:p w:rsidR="004E3B8A" w:rsidRDefault="004E3B8A" w:rsidP="003F694C">
      <w:pPr>
        <w:autoSpaceDE w:val="0"/>
        <w:autoSpaceDN w:val="0"/>
        <w:adjustRightInd w:val="0"/>
        <w:jc w:val="both"/>
      </w:pPr>
    </w:p>
    <w:p w:rsidR="004E3B8A" w:rsidRPr="00740274" w:rsidRDefault="004E3B8A" w:rsidP="00B22695">
      <w:pPr>
        <w:pStyle w:val="Caption"/>
        <w:ind w:left="0" w:right="0"/>
        <w:rPr>
          <w:vertAlign w:val="superscript"/>
        </w:rPr>
      </w:pPr>
      <w:bookmarkStart w:id="199" w:name="_Ref262586560"/>
      <w:bookmarkStart w:id="200" w:name="_Toc271552403"/>
      <w:r w:rsidRPr="00740274">
        <w:t xml:space="preserve">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199"/>
      <w:r w:rsidRPr="00740274">
        <w:br/>
        <w:t>LSR</w:t>
      </w:r>
      <w:r w:rsidR="009628D0">
        <w:t>s</w:t>
      </w:r>
      <w:r w:rsidRPr="00740274">
        <w:t xml:space="preserve"> and MCL</w:t>
      </w:r>
      <w:r w:rsidR="009628D0">
        <w:t>s</w:t>
      </w:r>
      <w:r w:rsidRPr="00740274">
        <w:t xml:space="preserve"> for the First Four FCAs</w:t>
      </w:r>
      <w:r w:rsidRPr="00740274">
        <w:rPr>
          <w:vertAlign w:val="superscript"/>
        </w:rPr>
        <w:t>(a)</w:t>
      </w:r>
      <w:bookmarkEnd w:id="200"/>
    </w:p>
    <w:tbl>
      <w:tblPr>
        <w:tblStyle w:val="TableGrid"/>
        <w:tblW w:w="0" w:type="auto"/>
        <w:jc w:val="center"/>
        <w:tblCellMar>
          <w:top w:w="43" w:type="dxa"/>
          <w:left w:w="115" w:type="dxa"/>
          <w:bottom w:w="43" w:type="dxa"/>
          <w:right w:w="115" w:type="dxa"/>
        </w:tblCellMar>
        <w:tblLook w:val="04A0"/>
      </w:tblPr>
      <w:tblGrid>
        <w:gridCol w:w="1245"/>
        <w:gridCol w:w="1170"/>
        <w:gridCol w:w="1218"/>
        <w:gridCol w:w="1430"/>
        <w:gridCol w:w="1387"/>
      </w:tblGrid>
      <w:tr w:rsidR="00B22695" w:rsidRPr="00740274" w:rsidTr="00EB17FD">
        <w:trPr>
          <w:cantSplit/>
          <w:jc w:val="center"/>
        </w:trPr>
        <w:tc>
          <w:tcPr>
            <w:tcW w:w="2415" w:type="dxa"/>
            <w:gridSpan w:val="2"/>
            <w:vMerge w:val="restart"/>
            <w:shd w:val="clear" w:color="auto" w:fill="FBCE76" w:themeFill="background2" w:themeFillTint="99"/>
            <w:tcMar>
              <w:top w:w="43" w:type="dxa"/>
              <w:left w:w="115" w:type="dxa"/>
              <w:bottom w:w="43" w:type="dxa"/>
              <w:right w:w="115" w:type="dxa"/>
            </w:tcMar>
          </w:tcPr>
          <w:p w:rsidR="006D4E1B" w:rsidRPr="00740274" w:rsidRDefault="006D4E1B" w:rsidP="00B22695">
            <w:pPr>
              <w:keepNext/>
              <w:keepLines/>
              <w:spacing w:after="0"/>
              <w:jc w:val="center"/>
            </w:pPr>
            <w:r w:rsidRPr="00740274">
              <w:rPr>
                <w:rFonts w:ascii="Arial" w:hAnsi="Arial" w:cs="Arial"/>
                <w:b/>
                <w:sz w:val="18"/>
                <w:szCs w:val="18"/>
              </w:rPr>
              <w:t xml:space="preserve">Capacity Commitment </w:t>
            </w:r>
            <w:r w:rsidRPr="00740274">
              <w:rPr>
                <w:rFonts w:ascii="Arial" w:hAnsi="Arial" w:cs="Arial"/>
                <w:b/>
                <w:sz w:val="18"/>
                <w:szCs w:val="18"/>
              </w:rPr>
              <w:br/>
              <w:t>Period</w:t>
            </w:r>
          </w:p>
        </w:tc>
        <w:tc>
          <w:tcPr>
            <w:tcW w:w="2648" w:type="dxa"/>
            <w:gridSpan w:val="2"/>
            <w:shd w:val="clear" w:color="auto" w:fill="FBCE76" w:themeFill="background2" w:themeFillTint="99"/>
            <w:tcMar>
              <w:top w:w="43" w:type="dxa"/>
              <w:left w:w="115" w:type="dxa"/>
              <w:bottom w:w="43" w:type="dxa"/>
              <w:right w:w="115" w:type="dxa"/>
            </w:tcMar>
          </w:tcPr>
          <w:p w:rsidR="006D4E1B" w:rsidRPr="00740274" w:rsidRDefault="006D4E1B" w:rsidP="00B22695">
            <w:pPr>
              <w:keepNext/>
              <w:keepLines/>
              <w:spacing w:after="0"/>
              <w:jc w:val="center"/>
            </w:pPr>
            <w:r w:rsidRPr="00740274">
              <w:rPr>
                <w:rFonts w:ascii="Arial" w:hAnsi="Arial" w:cs="Arial"/>
                <w:b/>
                <w:sz w:val="18"/>
                <w:szCs w:val="18"/>
              </w:rPr>
              <w:t>LSR (MW)</w:t>
            </w:r>
          </w:p>
        </w:tc>
        <w:tc>
          <w:tcPr>
            <w:tcW w:w="1387" w:type="dxa"/>
            <w:shd w:val="clear" w:color="auto" w:fill="FBCE76" w:themeFill="background2" w:themeFillTint="99"/>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b/>
                <w:sz w:val="18"/>
                <w:szCs w:val="18"/>
              </w:rPr>
              <w:t>MCL (MW)</w:t>
            </w:r>
          </w:p>
        </w:tc>
      </w:tr>
      <w:tr w:rsidR="00B22695" w:rsidRPr="00740274" w:rsidTr="00EB17FD">
        <w:trPr>
          <w:cantSplit/>
          <w:jc w:val="center"/>
        </w:trPr>
        <w:tc>
          <w:tcPr>
            <w:tcW w:w="2415" w:type="dxa"/>
            <w:gridSpan w:val="2"/>
            <w:vMerge/>
            <w:shd w:val="clear" w:color="auto" w:fill="FBCE76" w:themeFill="background2" w:themeFillTint="99"/>
            <w:tcMar>
              <w:top w:w="43" w:type="dxa"/>
              <w:left w:w="115" w:type="dxa"/>
              <w:bottom w:w="43" w:type="dxa"/>
              <w:right w:w="115" w:type="dxa"/>
            </w:tcMar>
          </w:tcPr>
          <w:p w:rsidR="006D4E1B" w:rsidRPr="00740274" w:rsidRDefault="006D4E1B" w:rsidP="00B22695">
            <w:pPr>
              <w:keepNext/>
              <w:keepLines/>
              <w:spacing w:after="0"/>
            </w:pPr>
          </w:p>
        </w:tc>
        <w:tc>
          <w:tcPr>
            <w:tcW w:w="1218" w:type="dxa"/>
            <w:shd w:val="clear" w:color="auto" w:fill="FBCE76" w:themeFill="background2" w:themeFillTint="99"/>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b/>
                <w:sz w:val="18"/>
                <w:szCs w:val="18"/>
              </w:rPr>
              <w:t>CT</w:t>
            </w:r>
          </w:p>
        </w:tc>
        <w:tc>
          <w:tcPr>
            <w:tcW w:w="1430" w:type="dxa"/>
            <w:shd w:val="clear" w:color="auto" w:fill="FBCE76" w:themeFill="background2" w:themeFillTint="99"/>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b/>
                <w:sz w:val="18"/>
                <w:szCs w:val="18"/>
              </w:rPr>
              <w:t>NEMA/Boston</w:t>
            </w:r>
          </w:p>
        </w:tc>
        <w:tc>
          <w:tcPr>
            <w:tcW w:w="1387" w:type="dxa"/>
            <w:shd w:val="clear" w:color="auto" w:fill="FBCE76" w:themeFill="background2" w:themeFillTint="99"/>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b/>
                <w:sz w:val="18"/>
                <w:szCs w:val="18"/>
              </w:rPr>
              <w:t>Maine</w:t>
            </w:r>
          </w:p>
        </w:tc>
      </w:tr>
      <w:tr w:rsidR="00B22695" w:rsidRPr="00740274" w:rsidTr="00EB17FD">
        <w:trPr>
          <w:cantSplit/>
          <w:jc w:val="center"/>
        </w:trPr>
        <w:tc>
          <w:tcPr>
            <w:tcW w:w="1245" w:type="dxa"/>
            <w:tcMar>
              <w:top w:w="43" w:type="dxa"/>
              <w:left w:w="115" w:type="dxa"/>
              <w:bottom w:w="43" w:type="dxa"/>
              <w:right w:w="115" w:type="dxa"/>
            </w:tcMar>
            <w:vAlign w:val="center"/>
          </w:tcPr>
          <w:p w:rsidR="006D4E1B" w:rsidRPr="00740274" w:rsidRDefault="006D4E1B" w:rsidP="00B22695">
            <w:pPr>
              <w:keepNext/>
              <w:keepLines/>
              <w:spacing w:after="0"/>
            </w:pPr>
            <w:r w:rsidRPr="00740274">
              <w:rPr>
                <w:rFonts w:ascii="Arial" w:hAnsi="Arial" w:cs="Arial"/>
                <w:b/>
                <w:sz w:val="18"/>
                <w:szCs w:val="18"/>
              </w:rPr>
              <w:t>2010/2011</w:t>
            </w:r>
          </w:p>
        </w:tc>
        <w:tc>
          <w:tcPr>
            <w:tcW w:w="1170" w:type="dxa"/>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sz w:val="18"/>
                <w:szCs w:val="18"/>
              </w:rPr>
              <w:t>FCA #1</w:t>
            </w:r>
          </w:p>
        </w:tc>
        <w:tc>
          <w:tcPr>
            <w:tcW w:w="1218"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6,496</w:t>
            </w:r>
          </w:p>
        </w:tc>
        <w:tc>
          <w:tcPr>
            <w:tcW w:w="1430"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1,838</w:t>
            </w:r>
          </w:p>
        </w:tc>
        <w:tc>
          <w:tcPr>
            <w:tcW w:w="1387"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3,697</w:t>
            </w:r>
          </w:p>
        </w:tc>
      </w:tr>
      <w:tr w:rsidR="00B22695" w:rsidRPr="00740274" w:rsidTr="00EB17FD">
        <w:trPr>
          <w:cantSplit/>
          <w:jc w:val="center"/>
        </w:trPr>
        <w:tc>
          <w:tcPr>
            <w:tcW w:w="1245" w:type="dxa"/>
            <w:shd w:val="clear" w:color="auto" w:fill="FDEED1" w:themeFill="background2" w:themeFillTint="33"/>
            <w:tcMar>
              <w:top w:w="43" w:type="dxa"/>
              <w:left w:w="115" w:type="dxa"/>
              <w:bottom w:w="43" w:type="dxa"/>
              <w:right w:w="115" w:type="dxa"/>
            </w:tcMar>
            <w:vAlign w:val="center"/>
          </w:tcPr>
          <w:p w:rsidR="006D4E1B" w:rsidRPr="00740274" w:rsidRDefault="006D4E1B" w:rsidP="00B22695">
            <w:pPr>
              <w:keepNext/>
              <w:keepLines/>
              <w:spacing w:after="0"/>
            </w:pPr>
            <w:r w:rsidRPr="00740274">
              <w:rPr>
                <w:rFonts w:ascii="Arial" w:hAnsi="Arial" w:cs="Arial"/>
                <w:b/>
                <w:sz w:val="18"/>
                <w:szCs w:val="18"/>
              </w:rPr>
              <w:t>2011/2012</w:t>
            </w:r>
          </w:p>
        </w:tc>
        <w:tc>
          <w:tcPr>
            <w:tcW w:w="1170" w:type="dxa"/>
            <w:shd w:val="clear" w:color="auto" w:fill="FDEED1" w:themeFill="background2" w:themeFillTint="33"/>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sz w:val="18"/>
                <w:szCs w:val="18"/>
              </w:rPr>
              <w:t>FCA #2</w:t>
            </w:r>
          </w:p>
        </w:tc>
        <w:tc>
          <w:tcPr>
            <w:tcW w:w="1218"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5,666</w:t>
            </w:r>
          </w:p>
        </w:tc>
        <w:tc>
          <w:tcPr>
            <w:tcW w:w="1430"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1,956</w:t>
            </w:r>
          </w:p>
        </w:tc>
        <w:tc>
          <w:tcPr>
            <w:tcW w:w="1387"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3,140</w:t>
            </w:r>
          </w:p>
        </w:tc>
      </w:tr>
      <w:tr w:rsidR="00B22695" w:rsidRPr="00740274" w:rsidTr="00EB17FD">
        <w:trPr>
          <w:cantSplit/>
          <w:jc w:val="center"/>
        </w:trPr>
        <w:tc>
          <w:tcPr>
            <w:tcW w:w="1245" w:type="dxa"/>
            <w:tcMar>
              <w:top w:w="43" w:type="dxa"/>
              <w:left w:w="115" w:type="dxa"/>
              <w:bottom w:w="43" w:type="dxa"/>
              <w:right w:w="115" w:type="dxa"/>
            </w:tcMar>
            <w:vAlign w:val="center"/>
          </w:tcPr>
          <w:p w:rsidR="006D4E1B" w:rsidRPr="00740274" w:rsidRDefault="006D4E1B" w:rsidP="00B22695">
            <w:pPr>
              <w:keepNext/>
              <w:keepLines/>
              <w:spacing w:after="0"/>
            </w:pPr>
            <w:r w:rsidRPr="00740274">
              <w:rPr>
                <w:rFonts w:ascii="Arial" w:hAnsi="Arial" w:cs="Arial"/>
                <w:b/>
                <w:sz w:val="18"/>
                <w:szCs w:val="18"/>
              </w:rPr>
              <w:t>2012/2013</w:t>
            </w:r>
          </w:p>
        </w:tc>
        <w:tc>
          <w:tcPr>
            <w:tcW w:w="1170" w:type="dxa"/>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sz w:val="18"/>
                <w:szCs w:val="18"/>
              </w:rPr>
              <w:t>FCA #3</w:t>
            </w:r>
          </w:p>
        </w:tc>
        <w:tc>
          <w:tcPr>
            <w:tcW w:w="1218"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6,640</w:t>
            </w:r>
          </w:p>
        </w:tc>
        <w:tc>
          <w:tcPr>
            <w:tcW w:w="1430"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2,019</w:t>
            </w:r>
          </w:p>
        </w:tc>
        <w:tc>
          <w:tcPr>
            <w:tcW w:w="1387" w:type="dxa"/>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3,257</w:t>
            </w:r>
          </w:p>
        </w:tc>
      </w:tr>
      <w:tr w:rsidR="00B22695" w:rsidRPr="00740274" w:rsidTr="00EB17FD">
        <w:trPr>
          <w:cantSplit/>
          <w:jc w:val="center"/>
        </w:trPr>
        <w:tc>
          <w:tcPr>
            <w:tcW w:w="1245" w:type="dxa"/>
            <w:shd w:val="clear" w:color="auto" w:fill="FDEED1" w:themeFill="background2" w:themeFillTint="33"/>
            <w:tcMar>
              <w:top w:w="43" w:type="dxa"/>
              <w:left w:w="115" w:type="dxa"/>
              <w:bottom w:w="43" w:type="dxa"/>
              <w:right w:w="115" w:type="dxa"/>
            </w:tcMar>
            <w:vAlign w:val="center"/>
          </w:tcPr>
          <w:p w:rsidR="006D4E1B" w:rsidRPr="00740274" w:rsidRDefault="006D4E1B" w:rsidP="00B22695">
            <w:pPr>
              <w:keepNext/>
              <w:keepLines/>
              <w:spacing w:after="0"/>
            </w:pPr>
            <w:r w:rsidRPr="00740274">
              <w:rPr>
                <w:rFonts w:ascii="Arial" w:hAnsi="Arial" w:cs="Arial"/>
                <w:b/>
                <w:sz w:val="18"/>
                <w:szCs w:val="18"/>
              </w:rPr>
              <w:t>2013/2014</w:t>
            </w:r>
          </w:p>
        </w:tc>
        <w:tc>
          <w:tcPr>
            <w:tcW w:w="1170" w:type="dxa"/>
            <w:shd w:val="clear" w:color="auto" w:fill="FDEED1" w:themeFill="background2" w:themeFillTint="33"/>
            <w:tcMar>
              <w:top w:w="43" w:type="dxa"/>
              <w:left w:w="115" w:type="dxa"/>
              <w:bottom w:w="43" w:type="dxa"/>
              <w:right w:w="115" w:type="dxa"/>
            </w:tcMar>
            <w:vAlign w:val="center"/>
          </w:tcPr>
          <w:p w:rsidR="006D4E1B" w:rsidRPr="00740274" w:rsidRDefault="006D4E1B" w:rsidP="00B22695">
            <w:pPr>
              <w:keepNext/>
              <w:keepLines/>
              <w:spacing w:after="0"/>
              <w:jc w:val="center"/>
            </w:pPr>
            <w:r w:rsidRPr="00740274">
              <w:rPr>
                <w:rFonts w:ascii="Arial" w:hAnsi="Arial" w:cs="Arial"/>
                <w:sz w:val="18"/>
                <w:szCs w:val="18"/>
              </w:rPr>
              <w:t>FCA #4</w:t>
            </w:r>
          </w:p>
        </w:tc>
        <w:tc>
          <w:tcPr>
            <w:tcW w:w="1218"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7,419</w:t>
            </w:r>
          </w:p>
        </w:tc>
        <w:tc>
          <w:tcPr>
            <w:tcW w:w="1430"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2,957</w:t>
            </w:r>
          </w:p>
        </w:tc>
        <w:tc>
          <w:tcPr>
            <w:tcW w:w="1387" w:type="dxa"/>
            <w:shd w:val="clear" w:color="auto" w:fill="FDEED1" w:themeFill="background2" w:themeFillTint="33"/>
            <w:tcMar>
              <w:top w:w="43" w:type="dxa"/>
              <w:left w:w="115" w:type="dxa"/>
              <w:bottom w:w="43" w:type="dxa"/>
              <w:right w:w="115" w:type="dxa"/>
            </w:tcMar>
            <w:vAlign w:val="center"/>
          </w:tcPr>
          <w:p w:rsidR="006D4E1B" w:rsidRPr="00740274" w:rsidRDefault="006D4E1B" w:rsidP="000B0F51">
            <w:pPr>
              <w:keepNext/>
              <w:keepLines/>
              <w:spacing w:after="0"/>
              <w:jc w:val="center"/>
            </w:pPr>
            <w:r w:rsidRPr="00740274">
              <w:rPr>
                <w:rFonts w:ascii="Arial" w:hAnsi="Arial" w:cs="Arial"/>
                <w:sz w:val="18"/>
                <w:szCs w:val="18"/>
              </w:rPr>
              <w:t>3,187</w:t>
            </w:r>
          </w:p>
        </w:tc>
      </w:tr>
    </w:tbl>
    <w:p w:rsidR="00EF64AC" w:rsidRPr="00740274" w:rsidRDefault="006D4E1B" w:rsidP="00D83344">
      <w:pPr>
        <w:keepNext/>
        <w:keepLines/>
        <w:tabs>
          <w:tab w:val="left" w:pos="8010"/>
          <w:tab w:val="left" w:pos="9090"/>
          <w:tab w:val="left" w:pos="9810"/>
        </w:tabs>
        <w:autoSpaceDE w:val="0"/>
        <w:autoSpaceDN w:val="0"/>
        <w:adjustRightInd w:val="0"/>
        <w:spacing w:before="120" w:line="240" w:lineRule="auto"/>
        <w:ind w:left="1714" w:right="1354" w:hanging="274"/>
        <w:rPr>
          <w:rFonts w:ascii="Arial" w:hAnsi="Arial" w:cs="Arial"/>
          <w:sz w:val="16"/>
          <w:szCs w:val="16"/>
        </w:rPr>
      </w:pPr>
      <w:r w:rsidRPr="00740274">
        <w:rPr>
          <w:rFonts w:ascii="Arial" w:hAnsi="Arial" w:cs="Arial"/>
          <w:sz w:val="16"/>
          <w:szCs w:val="16"/>
        </w:rPr>
        <w:t xml:space="preserve">(a) </w:t>
      </w:r>
      <w:r w:rsidR="00D70F17">
        <w:rPr>
          <w:rFonts w:ascii="Arial" w:hAnsi="Arial" w:cs="Arial"/>
          <w:sz w:val="16"/>
          <w:szCs w:val="16"/>
        </w:rPr>
        <w:tab/>
      </w:r>
      <w:r w:rsidR="00C04C77" w:rsidRPr="00D83344">
        <w:rPr>
          <w:rFonts w:ascii="Arial" w:hAnsi="Arial" w:cs="Arial"/>
          <w:sz w:val="16"/>
          <w:szCs w:val="16"/>
        </w:rPr>
        <w:t>S</w:t>
      </w:r>
      <w:r w:rsidRPr="00D83344">
        <w:rPr>
          <w:rFonts w:ascii="Arial" w:hAnsi="Arial" w:cs="Arial"/>
          <w:sz w:val="16"/>
          <w:szCs w:val="16"/>
        </w:rPr>
        <w:t>ource</w:t>
      </w:r>
      <w:r w:rsidR="00C04C77" w:rsidRPr="00D83344">
        <w:rPr>
          <w:rFonts w:ascii="Arial" w:hAnsi="Arial" w:cs="Arial"/>
          <w:sz w:val="16"/>
          <w:szCs w:val="16"/>
        </w:rPr>
        <w:t xml:space="preserve">s: </w:t>
      </w:r>
      <w:r w:rsidR="00740274" w:rsidRPr="00D83344">
        <w:rPr>
          <w:rFonts w:ascii="Arial" w:hAnsi="Arial" w:cs="Arial"/>
          <w:sz w:val="16"/>
          <w:szCs w:val="16"/>
        </w:rPr>
        <w:t>“Summary of ICR, LSR</w:t>
      </w:r>
      <w:r w:rsidR="00C04C77" w:rsidRPr="00D83344">
        <w:rPr>
          <w:rFonts w:ascii="Arial" w:hAnsi="Arial" w:cs="Arial"/>
          <w:sz w:val="16"/>
          <w:szCs w:val="16"/>
        </w:rPr>
        <w:t>,</w:t>
      </w:r>
      <w:r w:rsidR="00740274" w:rsidRPr="00D83344">
        <w:rPr>
          <w:rFonts w:ascii="Arial" w:hAnsi="Arial" w:cs="Arial"/>
          <w:sz w:val="16"/>
          <w:szCs w:val="16"/>
        </w:rPr>
        <w:t xml:space="preserve"> </w:t>
      </w:r>
      <w:r w:rsidR="00A93F5C" w:rsidRPr="00D83344">
        <w:rPr>
          <w:rFonts w:ascii="Arial" w:hAnsi="Arial" w:cs="Arial"/>
          <w:sz w:val="16"/>
          <w:szCs w:val="16"/>
        </w:rPr>
        <w:t>and</w:t>
      </w:r>
      <w:r w:rsidR="00740274" w:rsidRPr="00D83344">
        <w:rPr>
          <w:rFonts w:ascii="Arial" w:hAnsi="Arial" w:cs="Arial"/>
          <w:sz w:val="16"/>
          <w:szCs w:val="16"/>
        </w:rPr>
        <w:t xml:space="preserve"> MCL for FCM and the Transition Period,” available at</w:t>
      </w:r>
      <w:r w:rsidRPr="00D83344">
        <w:rPr>
          <w:rFonts w:ascii="Arial" w:hAnsi="Arial" w:cs="Arial"/>
          <w:sz w:val="16"/>
          <w:szCs w:val="16"/>
        </w:rPr>
        <w:t xml:space="preserve"> </w:t>
      </w:r>
      <w:hyperlink r:id="rId30" w:history="1">
        <w:r w:rsidR="00281660" w:rsidRPr="00D83344">
          <w:rPr>
            <w:rStyle w:val="Hyperlink"/>
            <w:rFonts w:ascii="Arial" w:hAnsi="Arial" w:cs="Arial"/>
            <w:color w:val="auto"/>
            <w:sz w:val="16"/>
            <w:szCs w:val="16"/>
            <w:u w:val="none"/>
          </w:rPr>
          <w:t>http://www.iso-ne.com/markets/othrmkts_data/fcm/doc/summary_of_icr_values.xls</w:t>
        </w:r>
      </w:hyperlink>
      <w:r w:rsidR="00281660" w:rsidRPr="00D83344">
        <w:rPr>
          <w:rFonts w:ascii="Arial" w:hAnsi="Arial" w:cs="Arial"/>
          <w:sz w:val="16"/>
          <w:szCs w:val="16"/>
        </w:rPr>
        <w:t>.</w:t>
      </w:r>
      <w:r w:rsidR="00495331" w:rsidRPr="00D83344">
        <w:rPr>
          <w:rFonts w:ascii="Arial" w:hAnsi="Arial" w:cs="Arial"/>
          <w:sz w:val="16"/>
          <w:szCs w:val="16"/>
        </w:rPr>
        <w:t xml:space="preserve"> </w:t>
      </w:r>
      <w:r w:rsidR="00205075" w:rsidRPr="00D83344">
        <w:rPr>
          <w:rFonts w:ascii="Arial" w:hAnsi="Arial" w:cs="Arial"/>
          <w:sz w:val="16"/>
          <w:szCs w:val="16"/>
        </w:rPr>
        <w:t>ARA</w:t>
      </w:r>
      <w:r w:rsidRPr="00D83344">
        <w:rPr>
          <w:rFonts w:ascii="Arial" w:hAnsi="Arial" w:cs="Arial"/>
          <w:sz w:val="16"/>
          <w:szCs w:val="16"/>
        </w:rPr>
        <w:t xml:space="preserve"> </w:t>
      </w:r>
      <w:r w:rsidR="00205075" w:rsidRPr="00D83344">
        <w:rPr>
          <w:rFonts w:ascii="Arial" w:hAnsi="Arial" w:cs="Arial"/>
          <w:sz w:val="16"/>
          <w:szCs w:val="16"/>
        </w:rPr>
        <w:t xml:space="preserve">values </w:t>
      </w:r>
      <w:r w:rsidR="00740274" w:rsidRPr="00D83344">
        <w:rPr>
          <w:rFonts w:ascii="Arial" w:hAnsi="Arial" w:cs="Arial"/>
          <w:sz w:val="16"/>
          <w:szCs w:val="16"/>
        </w:rPr>
        <w:t xml:space="preserve">were </w:t>
      </w:r>
      <w:r w:rsidR="00205075" w:rsidRPr="00D83344">
        <w:rPr>
          <w:rFonts w:ascii="Arial" w:hAnsi="Arial" w:cs="Arial"/>
          <w:sz w:val="16"/>
          <w:szCs w:val="16"/>
        </w:rPr>
        <w:t xml:space="preserve">used for </w:t>
      </w:r>
      <w:r w:rsidR="00740274" w:rsidRPr="00D83344">
        <w:rPr>
          <w:rFonts w:ascii="Arial" w:hAnsi="Arial" w:cs="Arial"/>
          <w:sz w:val="16"/>
          <w:szCs w:val="16"/>
        </w:rPr>
        <w:t xml:space="preserve">the </w:t>
      </w:r>
      <w:r w:rsidR="00205075" w:rsidRPr="00D83344">
        <w:rPr>
          <w:rFonts w:ascii="Arial" w:hAnsi="Arial" w:cs="Arial"/>
          <w:sz w:val="16"/>
          <w:szCs w:val="16"/>
        </w:rPr>
        <w:t>2010</w:t>
      </w:r>
      <w:r w:rsidR="00740274" w:rsidRPr="00D83344">
        <w:rPr>
          <w:rFonts w:ascii="Arial" w:hAnsi="Arial" w:cs="Arial"/>
          <w:sz w:val="16"/>
          <w:szCs w:val="16"/>
        </w:rPr>
        <w:t>/2011</w:t>
      </w:r>
      <w:r w:rsidR="00205075" w:rsidRPr="00D83344">
        <w:rPr>
          <w:rFonts w:ascii="Arial" w:hAnsi="Arial" w:cs="Arial"/>
          <w:sz w:val="16"/>
          <w:szCs w:val="16"/>
        </w:rPr>
        <w:t xml:space="preserve"> and 2011</w:t>
      </w:r>
      <w:r w:rsidR="00740274" w:rsidRPr="00D83344">
        <w:rPr>
          <w:rFonts w:ascii="Arial" w:hAnsi="Arial" w:cs="Arial"/>
          <w:sz w:val="16"/>
          <w:szCs w:val="16"/>
        </w:rPr>
        <w:t>/2012 capacity commitment periods</w:t>
      </w:r>
      <w:r w:rsidR="00740274" w:rsidRPr="00740274">
        <w:rPr>
          <w:rFonts w:ascii="Arial" w:hAnsi="Arial" w:cs="Arial"/>
          <w:sz w:val="16"/>
          <w:szCs w:val="16"/>
        </w:rPr>
        <w:t>.</w:t>
      </w:r>
    </w:p>
    <w:p w:rsidR="001B3090" w:rsidRDefault="004E3B8A">
      <w:pPr>
        <w:pStyle w:val="Heading2"/>
      </w:pPr>
      <w:bookmarkStart w:id="201" w:name="_Ref173230243"/>
      <w:bookmarkStart w:id="202" w:name="_Toc176245001"/>
      <w:bookmarkStart w:id="203" w:name="_Toc201669924"/>
      <w:bookmarkStart w:id="204" w:name="_Ref201977716"/>
      <w:bookmarkStart w:id="205" w:name="_Ref201977766"/>
      <w:bookmarkStart w:id="206" w:name="_Ref202091737"/>
      <w:bookmarkStart w:id="207" w:name="_Ref204270095"/>
      <w:bookmarkStart w:id="208" w:name="_Toc207531824"/>
      <w:bookmarkStart w:id="209" w:name="_Ref231035150"/>
      <w:bookmarkStart w:id="210" w:name="_Ref231139658"/>
      <w:bookmarkStart w:id="211" w:name="_Ref231186544"/>
      <w:bookmarkStart w:id="212" w:name="_Toc239157061"/>
      <w:bookmarkStart w:id="213" w:name="_Ref266110745"/>
      <w:bookmarkStart w:id="214" w:name="_Ref266616294"/>
      <w:bookmarkStart w:id="215" w:name="_Ref266712567"/>
      <w:bookmarkStart w:id="216" w:name="_Toc271632219"/>
      <w:bookmarkEnd w:id="198"/>
      <w:r w:rsidRPr="006A6F09">
        <w:t>Forward Capacity Mark</w:t>
      </w:r>
      <w:bookmarkEnd w:id="201"/>
      <w:bookmarkEnd w:id="202"/>
      <w:r w:rsidRPr="006A6F09">
        <w:t>et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4E3B8A" w:rsidRDefault="004E3B8A" w:rsidP="004E3B8A">
      <w:r>
        <w:t>The purpose of the FCM</w:t>
      </w:r>
      <w:r w:rsidRPr="001D4AD6">
        <w:t xml:space="preserve"> </w:t>
      </w:r>
      <w:r>
        <w:t>is to</w:t>
      </w:r>
      <w:r w:rsidRPr="001D4AD6">
        <w:t xml:space="preserve"> procure the required amount of installed capacity resources to maintain system reliability</w:t>
      </w:r>
      <w:r>
        <w:t>,</w:t>
      </w:r>
      <w:r w:rsidRPr="001D4AD6">
        <w:t xml:space="preserve"> consistent with the region’s </w:t>
      </w:r>
      <w:r>
        <w:t xml:space="preserve">ICR. </w:t>
      </w:r>
      <w:r w:rsidRPr="00672D3D">
        <w:t xml:space="preserve">Qualified resources are procured </w:t>
      </w:r>
      <w:r w:rsidRPr="00464760">
        <w:t>through annual</w:t>
      </w:r>
      <w:r w:rsidRPr="00672D3D">
        <w:t xml:space="preserve"> </w:t>
      </w:r>
      <w:r>
        <w:t xml:space="preserve">Forward Capacity Auctions </w:t>
      </w:r>
      <w:r w:rsidRPr="000A7C71">
        <w:t>governed by</w:t>
      </w:r>
      <w:r w:rsidRPr="008610C3">
        <w:t xml:space="preserve"> </w:t>
      </w:r>
      <w:r>
        <w:t>the m</w:t>
      </w:r>
      <w:r w:rsidRPr="000A7C71">
        <w:t>arket</w:t>
      </w:r>
      <w:r w:rsidRPr="008610C3">
        <w:t xml:space="preserve"> </w:t>
      </w:r>
      <w:r>
        <w:t>r</w:t>
      </w:r>
      <w:r w:rsidRPr="000A7C71">
        <w:t>ules</w:t>
      </w:r>
      <w:r w:rsidRPr="008610C3">
        <w:t>.</w:t>
      </w:r>
      <w:r w:rsidRPr="00672D3D">
        <w:t xml:space="preserve"> </w:t>
      </w:r>
      <w:r w:rsidRPr="00B50573">
        <w:t xml:space="preserve">The </w:t>
      </w:r>
      <w:r w:rsidRPr="00893805">
        <w:t>first FCA (FCA #1)</w:t>
      </w:r>
      <w:r w:rsidRPr="00B50573">
        <w:t xml:space="preserve"> took place in February 2008, procuring the capacity needed for the 2010/2011 capacity commitment period. The </w:t>
      </w:r>
      <w:r w:rsidRPr="00893805">
        <w:t>second FCA (FCA #2)</w:t>
      </w:r>
      <w:r w:rsidRPr="00B50573">
        <w:t xml:space="preserve"> occurred in December 2008, procuring the capacity needed for the 2011/2012 capacity</w:t>
      </w:r>
      <w:r>
        <w:t xml:space="preserve"> commitment period. The third FCA occurred in October 2009, procuring capacity for the 2012/2013 capacity commitment period. The fourth FCA occurred in August 2010, procuring capacity for the 2013/2014 capacity commitment period.</w:t>
      </w:r>
      <w:r w:rsidRPr="00CB010B">
        <w:t xml:space="preserve"> </w:t>
      </w:r>
      <w:r>
        <w:t xml:space="preserve">The operational use of </w:t>
      </w:r>
      <w:r w:rsidRPr="00B622FC">
        <w:t xml:space="preserve">FCM resources </w:t>
      </w:r>
      <w:r>
        <w:t xml:space="preserve">began on </w:t>
      </w:r>
      <w:r w:rsidRPr="00B622FC">
        <w:t xml:space="preserve">June </w:t>
      </w:r>
      <w:r w:rsidR="005A5F6C">
        <w:t xml:space="preserve">1, </w:t>
      </w:r>
      <w:r w:rsidRPr="00B622FC">
        <w:t>2010</w:t>
      </w:r>
      <w:r>
        <w:t>.</w:t>
      </w:r>
    </w:p>
    <w:p w:rsidR="004E3B8A" w:rsidRDefault="004E3B8A" w:rsidP="004E3B8A">
      <w:r w:rsidRPr="00893805">
        <w:t>This section summarizes the features of the Forward Capacity Market for procuring capacity resources.</w:t>
      </w:r>
      <w:r w:rsidRPr="00914376">
        <w:rPr>
          <w:rStyle w:val="FootnoteReference"/>
          <w:sz w:val="22"/>
        </w:rPr>
        <w:footnoteReference w:id="92"/>
      </w:r>
      <w:r w:rsidR="0076739E">
        <w:t xml:space="preserve"> </w:t>
      </w:r>
      <w:r w:rsidRPr="00893805">
        <w:t xml:space="preserve">It presents the results of the first three Forward Capacity Auctions and </w:t>
      </w:r>
      <w:r w:rsidR="00C030F6">
        <w:t xml:space="preserve">the amount of capacity that </w:t>
      </w:r>
      <w:r w:rsidRPr="00893805">
        <w:t>will be supplied by generating, import, and demand resources in the region.</w:t>
      </w:r>
      <w:r w:rsidRPr="00A93F5C">
        <w:rPr>
          <w:rStyle w:val="FootnoteReference"/>
          <w:sz w:val="22"/>
        </w:rPr>
        <w:footnoteReference w:id="93"/>
      </w:r>
      <w:r w:rsidRPr="00893805">
        <w:t xml:space="preserve"> The effectiveness of adding new resources in various locations of the power system also is addressed.</w:t>
      </w:r>
    </w:p>
    <w:p w:rsidR="00B462A6" w:rsidRDefault="004E3B8A">
      <w:pPr>
        <w:pStyle w:val="Heading3"/>
      </w:pPr>
      <w:bookmarkStart w:id="217" w:name="_Toc201669925"/>
      <w:bookmarkStart w:id="218" w:name="_Toc207531825"/>
      <w:bookmarkStart w:id="219" w:name="_Toc239157062"/>
      <w:bookmarkStart w:id="220" w:name="_Toc271632220"/>
      <w:r>
        <w:t>F</w:t>
      </w:r>
      <w:r w:rsidR="009628D0">
        <w:t xml:space="preserve">orward </w:t>
      </w:r>
      <w:r>
        <w:t>C</w:t>
      </w:r>
      <w:r w:rsidR="009628D0">
        <w:t xml:space="preserve">apacity </w:t>
      </w:r>
      <w:r>
        <w:t>A</w:t>
      </w:r>
      <w:r w:rsidR="009628D0">
        <w:t>uction</w:t>
      </w:r>
      <w:r>
        <w:t xml:space="preserve"> Qualification </w:t>
      </w:r>
      <w:r w:rsidRPr="006A6F09">
        <w:t>Process</w:t>
      </w:r>
      <w:bookmarkEnd w:id="217"/>
      <w:bookmarkEnd w:id="218"/>
      <w:bookmarkEnd w:id="219"/>
      <w:bookmarkEnd w:id="220"/>
    </w:p>
    <w:p w:rsidR="004E3B8A" w:rsidRDefault="004E3B8A" w:rsidP="004E3B8A">
      <w:r>
        <w:t>To enter into a Forward Capacity Auction, all capacity resources, supply</w:t>
      </w:r>
      <w:r w:rsidR="0070086B">
        <w:t xml:space="preserve"> </w:t>
      </w:r>
      <w:r>
        <w:t>side and demand</w:t>
      </w:r>
      <w:r w:rsidR="0070086B">
        <w:t xml:space="preserve"> </w:t>
      </w:r>
      <w:r>
        <w:t xml:space="preserve">side, must </w:t>
      </w:r>
      <w:r w:rsidRPr="00E74FB5">
        <w:t xml:space="preserve">comply with the qualification and financial-assurance requirements of the FCM. Each resource type, including </w:t>
      </w:r>
      <w:r w:rsidR="00EF25EB" w:rsidRPr="00E74FB5">
        <w:rPr>
          <w:i/>
        </w:rPr>
        <w:t>variable-output</w:t>
      </w:r>
      <w:r w:rsidR="00EF25EB" w:rsidRPr="00E74FB5">
        <w:t xml:space="preserve"> </w:t>
      </w:r>
      <w:r w:rsidR="00E43F1A" w:rsidRPr="00E74FB5">
        <w:t xml:space="preserve">(i.e., intermittent) </w:t>
      </w:r>
      <w:r w:rsidR="00EF25EB" w:rsidRPr="00E74FB5">
        <w:t>generation such as wind and solar generation,</w:t>
      </w:r>
      <w:r w:rsidR="00E43F1A" w:rsidRPr="00E74FB5">
        <w:t xml:space="preserve"> </w:t>
      </w:r>
      <w:r w:rsidRPr="00E74FB5">
        <w:t>must</w:t>
      </w:r>
      <w:r>
        <w:t xml:space="preserve"> meet </w:t>
      </w:r>
      <w:r w:rsidRPr="001D4AD6">
        <w:t>a specifi</w:t>
      </w:r>
      <w:r>
        <w:t>c set of rules for qualification to participate in the FCM. For new resources</w:t>
      </w:r>
      <w:r w:rsidRPr="005D2C69">
        <w:t xml:space="preserve"> </w:t>
      </w:r>
      <w:r>
        <w:t xml:space="preserve">to qualify, each </w:t>
      </w:r>
      <w:r w:rsidRPr="00BF35BC">
        <w:t>potential bidder</w:t>
      </w:r>
      <w:r>
        <w:t xml:space="preserve"> of a new capacity resource</w:t>
      </w:r>
      <w:r w:rsidRPr="00BF35BC">
        <w:t xml:space="preserve"> </w:t>
      </w:r>
      <w:r>
        <w:t>must s</w:t>
      </w:r>
      <w:r w:rsidRPr="00BF35BC">
        <w:t>ubmit a predefined package of qualification materials</w:t>
      </w:r>
      <w:r>
        <w:t xml:space="preserve"> to the ISO before each auction</w:t>
      </w:r>
      <w:r w:rsidRPr="00BF35BC">
        <w:t xml:space="preserve">. Each </w:t>
      </w:r>
      <w:r>
        <w:t>package specifies</w:t>
      </w:r>
      <w:r w:rsidRPr="00BF35BC">
        <w:t xml:space="preserve"> the location and capacity of </w:t>
      </w:r>
      <w:r>
        <w:t>the bidder’s</w:t>
      </w:r>
      <w:r w:rsidRPr="00BF35BC">
        <w:t xml:space="preserve"> resources</w:t>
      </w:r>
      <w:r>
        <w:t xml:space="preserve"> and </w:t>
      </w:r>
      <w:r w:rsidRPr="00BF35BC">
        <w:t xml:space="preserve">potential projects that could be completed by the beginning of </w:t>
      </w:r>
      <w:r w:rsidRPr="0040005A">
        <w:t xml:space="preserve">the </w:t>
      </w:r>
      <w:r w:rsidRPr="00194CAE">
        <w:t xml:space="preserve">capacity commitment period. </w:t>
      </w:r>
      <w:bookmarkStart w:id="221" w:name="_Ref200426166"/>
      <w:bookmarkStart w:id="222" w:name="_Ref200273521"/>
      <w:bookmarkStart w:id="223" w:name="_Toc200440150"/>
      <w:bookmarkStart w:id="224" w:name="_Toc207531971"/>
    </w:p>
    <w:p w:rsidR="00FC0261" w:rsidRPr="0020030F" w:rsidRDefault="00D37B22" w:rsidP="00235A65">
      <w:pPr>
        <w:pStyle w:val="Heading4"/>
      </w:pPr>
      <w:bookmarkStart w:id="225" w:name="_Ref266120247"/>
      <w:bookmarkStart w:id="226" w:name="_Toc176245002"/>
      <w:bookmarkStart w:id="227" w:name="_Ref177277187"/>
      <w:bookmarkEnd w:id="221"/>
      <w:bookmarkEnd w:id="222"/>
      <w:bookmarkEnd w:id="223"/>
      <w:bookmarkEnd w:id="224"/>
      <w:r w:rsidRPr="0020030F">
        <w:t>Types of</w:t>
      </w:r>
      <w:r w:rsidR="00F46CEB" w:rsidRPr="00F46CEB">
        <w:t xml:space="preserve"> Capacity Available from Demand Resources</w:t>
      </w:r>
      <w:bookmarkEnd w:id="225"/>
      <w:r w:rsidR="00F46CEB" w:rsidRPr="00F46CEB">
        <w:t xml:space="preserve"> </w:t>
      </w:r>
    </w:p>
    <w:p w:rsidR="004E3B8A" w:rsidRDefault="004E3B8A" w:rsidP="004E3B8A">
      <w:r>
        <w:t>June 1, 2010, mark</w:t>
      </w:r>
      <w:r w:rsidR="00267945">
        <w:t xml:space="preserve">ed the </w:t>
      </w:r>
      <w:r>
        <w:t xml:space="preserve">beginning of the </w:t>
      </w:r>
      <w:r w:rsidR="00267945">
        <w:t xml:space="preserve">first </w:t>
      </w:r>
      <w:r>
        <w:t xml:space="preserve">FCM </w:t>
      </w:r>
      <w:r w:rsidR="00267945">
        <w:t xml:space="preserve">capacity commitment period </w:t>
      </w:r>
      <w:r>
        <w:t xml:space="preserve">as </w:t>
      </w:r>
      <w:r w:rsidR="00267945">
        <w:t xml:space="preserve">well as the beginning of </w:t>
      </w:r>
      <w:r>
        <w:t>the only mechanism for demand resources to receive a payment for load</w:t>
      </w:r>
      <w:r w:rsidRPr="00525A8A">
        <w:t>-curtailment initiatives</w:t>
      </w:r>
      <w:r>
        <w:t xml:space="preserve"> in the New England markets. Two categories of FCM demand resources exist</w:t>
      </w:r>
      <w:r>
        <w:rPr>
          <w:rFonts w:cs="Times New Roman"/>
        </w:rPr>
        <w:t>—</w:t>
      </w:r>
      <w:r>
        <w:t>passive and active demand</w:t>
      </w:r>
      <w:r w:rsidR="000F3705">
        <w:t>:</w:t>
      </w:r>
    </w:p>
    <w:p w:rsidR="004E3B8A" w:rsidRDefault="004E3B8A" w:rsidP="00BB34F0">
      <w:pPr>
        <w:pStyle w:val="Bullet-Solid"/>
        <w:numPr>
          <w:ilvl w:val="0"/>
          <w:numId w:val="37"/>
        </w:numPr>
        <w:ind w:left="720"/>
      </w:pPr>
      <w:r w:rsidRPr="00B72D9E">
        <w:rPr>
          <w:b/>
          <w:bCs/>
        </w:rPr>
        <w:t xml:space="preserve">Passive </w:t>
      </w:r>
      <w:r>
        <w:rPr>
          <w:b/>
        </w:rPr>
        <w:t>Resources</w:t>
      </w:r>
      <w:r w:rsidRPr="005A7E01">
        <w:t xml:space="preserve"> (e.g., energy efficiency)</w:t>
      </w:r>
      <w:r w:rsidR="000F3705">
        <w:t xml:space="preserve"> </w:t>
      </w:r>
      <w:r w:rsidRPr="005A7E01">
        <w:t xml:space="preserve">are </w:t>
      </w:r>
      <w:r>
        <w:t xml:space="preserve">principally </w:t>
      </w:r>
      <w:r w:rsidRPr="005A7E01">
        <w:t xml:space="preserve">designed to save electric energy (MWh). The electric energy </w:t>
      </w:r>
      <w:r>
        <w:t xml:space="preserve">that passive projects </w:t>
      </w:r>
      <w:r w:rsidRPr="005A7E01">
        <w:t xml:space="preserve">save during peak hours </w:t>
      </w:r>
      <w:r>
        <w:t xml:space="preserve">also </w:t>
      </w:r>
      <w:r w:rsidRPr="005A7E01">
        <w:t>help</w:t>
      </w:r>
      <w:r>
        <w:t>s</w:t>
      </w:r>
      <w:r w:rsidRPr="005A7E01">
        <w:t xml:space="preserve"> </w:t>
      </w:r>
      <w:r>
        <w:t>to fulfill the I</w:t>
      </w:r>
      <w:r w:rsidR="003E05AF">
        <w:t>CR</w:t>
      </w:r>
      <w:r w:rsidRPr="005A7E01">
        <w:t xml:space="preserve">. These projects </w:t>
      </w:r>
      <w:r>
        <w:t xml:space="preserve">are in place at all times and </w:t>
      </w:r>
      <w:r w:rsidRPr="005A7E01">
        <w:t>do not reduce load based on real-time system conditions or ISO instructions.</w:t>
      </w:r>
      <w:r>
        <w:t xml:space="preserve"> The FCM includes two types of passive projects:</w:t>
      </w:r>
    </w:p>
    <w:p w:rsidR="004E3B8A" w:rsidRDefault="004E3B8A" w:rsidP="004E3B8A">
      <w:pPr>
        <w:pStyle w:val="Bullet-Solid"/>
        <w:numPr>
          <w:ilvl w:val="1"/>
          <w:numId w:val="21"/>
        </w:numPr>
        <w:ind w:left="1080"/>
      </w:pPr>
      <w:r w:rsidRPr="00794E1F">
        <w:rPr>
          <w:b/>
          <w:bCs/>
        </w:rPr>
        <w:t>On</w:t>
      </w:r>
      <w:r>
        <w:rPr>
          <w:b/>
          <w:bCs/>
        </w:rPr>
        <w:t xml:space="preserve"> </w:t>
      </w:r>
      <w:r w:rsidRPr="00794E1F">
        <w:rPr>
          <w:b/>
          <w:bCs/>
        </w:rPr>
        <w:t>peak</w:t>
      </w:r>
      <w:r>
        <w:rPr>
          <w:bCs/>
        </w:rPr>
        <w:t>—</w:t>
      </w:r>
      <w:r>
        <w:t>p</w:t>
      </w:r>
      <w:r w:rsidRPr="00E7645C">
        <w:t>assive, non-weather</w:t>
      </w:r>
      <w:r>
        <w:t>-</w:t>
      </w:r>
      <w:r w:rsidRPr="00E7645C">
        <w:t>sensitive</w:t>
      </w:r>
      <w:r>
        <w:t xml:space="preserve"> loads, such as </w:t>
      </w:r>
      <w:r w:rsidRPr="00E7645C">
        <w:t>efficient lighting</w:t>
      </w:r>
    </w:p>
    <w:p w:rsidR="004E3B8A" w:rsidRDefault="004E3B8A" w:rsidP="004E3B8A">
      <w:pPr>
        <w:pStyle w:val="Bullet-Solid"/>
        <w:numPr>
          <w:ilvl w:val="1"/>
          <w:numId w:val="21"/>
        </w:numPr>
        <w:ind w:left="1080"/>
      </w:pPr>
      <w:r w:rsidRPr="00794E1F">
        <w:rPr>
          <w:b/>
          <w:bCs/>
        </w:rPr>
        <w:t>Seasonal peak</w:t>
      </w:r>
      <w:r>
        <w:rPr>
          <w:bCs/>
        </w:rPr>
        <w:t>—</w:t>
      </w:r>
      <w:r>
        <w:t>p</w:t>
      </w:r>
      <w:r w:rsidRPr="00E7645C">
        <w:t>assive, weather</w:t>
      </w:r>
      <w:r>
        <w:t>-</w:t>
      </w:r>
      <w:r w:rsidRPr="00E7645C">
        <w:t>sensitive</w:t>
      </w:r>
      <w:r>
        <w:t xml:space="preserve"> loads, such as efficient heating and air conditioning (HVAC</w:t>
      </w:r>
      <w:r w:rsidRPr="00E7645C">
        <w:t>)</w:t>
      </w:r>
    </w:p>
    <w:p w:rsidR="004E3B8A" w:rsidRDefault="004E3B8A" w:rsidP="00BB34F0">
      <w:pPr>
        <w:pStyle w:val="Bullet-Solid"/>
        <w:numPr>
          <w:ilvl w:val="0"/>
          <w:numId w:val="38"/>
        </w:numPr>
        <w:tabs>
          <w:tab w:val="left" w:pos="720"/>
        </w:tabs>
        <w:ind w:left="720"/>
      </w:pPr>
      <w:r w:rsidRPr="00B72D9E">
        <w:rPr>
          <w:b/>
          <w:bCs/>
        </w:rPr>
        <w:t xml:space="preserve">Active </w:t>
      </w:r>
      <w:r>
        <w:rPr>
          <w:b/>
        </w:rPr>
        <w:t>Resources</w:t>
      </w:r>
      <w:r w:rsidRPr="00595905">
        <w:t xml:space="preserve"> (e.g., demand </w:t>
      </w:r>
      <w:r w:rsidR="00D4331C" w:rsidRPr="00D4331C">
        <w:t>response) are designed to reduce peak loads in electric energy use and are considered capacity resources (MW). These</w:t>
      </w:r>
      <w:r w:rsidRPr="00595905">
        <w:t xml:space="preserve"> resource</w:t>
      </w:r>
      <w:r>
        <w:t xml:space="preserve">s </w:t>
      </w:r>
      <w:r w:rsidRPr="00595905">
        <w:t>can reduce load based on real-time system conditions or ISO instructions.</w:t>
      </w:r>
      <w:r>
        <w:t xml:space="preserve"> The FCM includes two types of active projects:</w:t>
      </w:r>
    </w:p>
    <w:p w:rsidR="004E3B8A" w:rsidRDefault="004E3B8A" w:rsidP="004E3B8A">
      <w:pPr>
        <w:pStyle w:val="Bullet-Solid"/>
        <w:numPr>
          <w:ilvl w:val="1"/>
          <w:numId w:val="21"/>
        </w:numPr>
        <w:ind w:left="1080"/>
      </w:pPr>
      <w:r w:rsidRPr="00794E1F">
        <w:rPr>
          <w:b/>
        </w:rPr>
        <w:t>Real-time demand response</w:t>
      </w:r>
      <w:r w:rsidRPr="008610C3">
        <w:rPr>
          <w:b/>
        </w:rPr>
        <w:t>—</w:t>
      </w:r>
      <w:r w:rsidRPr="008610C3">
        <w:t>active, individual resources, such as active load management and distributed generation at commercial and industrial facilities</w:t>
      </w:r>
    </w:p>
    <w:p w:rsidR="004E3B8A" w:rsidRDefault="004E3B8A" w:rsidP="006D47E5">
      <w:pPr>
        <w:pStyle w:val="Bullet-Solid"/>
        <w:numPr>
          <w:ilvl w:val="1"/>
          <w:numId w:val="21"/>
        </w:numPr>
        <w:spacing w:after="360"/>
        <w:ind w:left="1080"/>
        <w:rPr>
          <w:b/>
        </w:rPr>
      </w:pPr>
      <w:r w:rsidRPr="00794E1F">
        <w:rPr>
          <w:b/>
        </w:rPr>
        <w:t>Real-time emergency generation</w:t>
      </w:r>
      <w:r w:rsidRPr="008610C3">
        <w:rPr>
          <w:b/>
        </w:rPr>
        <w:t>—</w:t>
      </w:r>
      <w:r w:rsidRPr="008610C3">
        <w:t>active, emergency distributed generation</w:t>
      </w:r>
      <w:r w:rsidRPr="00FB22A1">
        <w:rPr>
          <w:rStyle w:val="FootnoteReference"/>
          <w:sz w:val="22"/>
        </w:rPr>
        <w:footnoteReference w:id="94"/>
      </w:r>
    </w:p>
    <w:p w:rsidR="00FC0261" w:rsidRDefault="004E3B8A" w:rsidP="00235A65">
      <w:pPr>
        <w:pStyle w:val="Heading4"/>
      </w:pPr>
      <w:r w:rsidRPr="00864DC3">
        <w:t xml:space="preserve">Implementation of </w:t>
      </w:r>
      <w:r w:rsidR="00F46CEB" w:rsidRPr="00864DC3">
        <w:t>an Overlapping Impact Standard</w:t>
      </w:r>
      <w:r w:rsidRPr="00864DC3">
        <w:t xml:space="preserve"> for Demand</w:t>
      </w:r>
      <w:r w:rsidRPr="00324FD4">
        <w:t xml:space="preserve"> Resources</w:t>
      </w:r>
    </w:p>
    <w:p w:rsidR="004E3B8A" w:rsidRDefault="00221FDA" w:rsidP="004E3B8A">
      <w:pPr>
        <w:keepNext/>
        <w:keepLines/>
      </w:pPr>
      <w:r>
        <w:t>Under</w:t>
      </w:r>
      <w:r w:rsidR="00291DBE">
        <w:t xml:space="preserve"> </w:t>
      </w:r>
      <w:r w:rsidR="004E3B8A" w:rsidRPr="00E74FB5">
        <w:t>the FCM market rules</w:t>
      </w:r>
      <w:r w:rsidR="00291DBE">
        <w:t>,</w:t>
      </w:r>
      <w:r w:rsidR="004E3B8A" w:rsidRPr="00E74FB5">
        <w:t xml:space="preserve"> new generating capacity resources </w:t>
      </w:r>
      <w:r w:rsidR="00291DBE">
        <w:t xml:space="preserve">are qualified </w:t>
      </w:r>
      <w:r w:rsidR="004E3B8A" w:rsidRPr="00E74FB5">
        <w:t xml:space="preserve">at levels at which they can operate </w:t>
      </w:r>
      <w:r w:rsidR="00EF25EB" w:rsidRPr="00E74FB5">
        <w:t xml:space="preserve">without </w:t>
      </w:r>
      <w:r w:rsidR="00E74FB5" w:rsidRPr="00E74FB5">
        <w:t xml:space="preserve">requiring the </w:t>
      </w:r>
      <w:r w:rsidR="00EF25EB" w:rsidRPr="00E74FB5">
        <w:t xml:space="preserve">redispach of other capacity resources </w:t>
      </w:r>
      <w:r w:rsidR="00E74FB5" w:rsidRPr="00E74FB5">
        <w:t xml:space="preserve">to respect transmission system </w:t>
      </w:r>
      <w:r w:rsidR="00E74FB5" w:rsidRPr="00465800">
        <w:t>constraints</w:t>
      </w:r>
      <w:r w:rsidR="00EF25EB" w:rsidRPr="00465800">
        <w:t>.</w:t>
      </w:r>
      <w:r w:rsidR="004E3B8A" w:rsidRPr="00465800">
        <w:t xml:space="preserve"> </w:t>
      </w:r>
      <w:r w:rsidR="00291DBE">
        <w:t xml:space="preserve">Beginning with the </w:t>
      </w:r>
      <w:r w:rsidR="00291DBE" w:rsidRPr="00E74FB5">
        <w:t>qualification for 2014/2015</w:t>
      </w:r>
      <w:r w:rsidR="00291DBE">
        <w:t xml:space="preserve">, </w:t>
      </w:r>
      <w:r w:rsidR="00BC552A" w:rsidRPr="00465800">
        <w:t xml:space="preserve">the overlapping impact analysis for qualifying </w:t>
      </w:r>
      <w:r w:rsidR="00291DBE">
        <w:t xml:space="preserve">new generating capacity </w:t>
      </w:r>
      <w:r w:rsidR="00BC552A" w:rsidRPr="00465800">
        <w:t xml:space="preserve">resources </w:t>
      </w:r>
      <w:r w:rsidR="00291DBE">
        <w:t xml:space="preserve">will be extended </w:t>
      </w:r>
      <w:r w:rsidR="00BC552A" w:rsidRPr="00465800">
        <w:t xml:space="preserve">to </w:t>
      </w:r>
      <w:r w:rsidR="00BA1EDD" w:rsidRPr="00465800">
        <w:t xml:space="preserve">cover </w:t>
      </w:r>
      <w:r w:rsidR="00BC552A" w:rsidRPr="00465800">
        <w:t>active demand resources</w:t>
      </w:r>
      <w:r w:rsidR="00465800" w:rsidRPr="00465800">
        <w:t>.</w:t>
      </w:r>
    </w:p>
    <w:p w:rsidR="00B462A6" w:rsidRDefault="004E3B8A">
      <w:pPr>
        <w:pStyle w:val="Heading3"/>
      </w:pPr>
      <w:bookmarkStart w:id="228" w:name="_Toc201669926"/>
      <w:bookmarkStart w:id="229" w:name="_Ref202151522"/>
      <w:bookmarkStart w:id="230" w:name="_Ref202512317"/>
      <w:bookmarkStart w:id="231" w:name="_Ref205102734"/>
      <w:bookmarkStart w:id="232" w:name="_Toc207531826"/>
      <w:bookmarkStart w:id="233" w:name="_Ref230858551"/>
      <w:bookmarkStart w:id="234" w:name="_Toc239157063"/>
      <w:bookmarkStart w:id="235" w:name="_Ref265056087"/>
      <w:bookmarkStart w:id="236" w:name="_Ref266125289"/>
      <w:bookmarkStart w:id="237" w:name="_Ref266561774"/>
      <w:bookmarkStart w:id="238" w:name="_Toc271632221"/>
      <w:r w:rsidRPr="00B2507A">
        <w:t>Forward Capacity Aucti</w:t>
      </w:r>
      <w:bookmarkEnd w:id="226"/>
      <w:bookmarkEnd w:id="227"/>
      <w:r w:rsidRPr="00B2507A">
        <w:t>on</w:t>
      </w:r>
      <w:bookmarkEnd w:id="228"/>
      <w:bookmarkEnd w:id="229"/>
      <w:bookmarkEnd w:id="230"/>
      <w:bookmarkEnd w:id="231"/>
      <w:bookmarkEnd w:id="232"/>
      <w:bookmarkEnd w:id="233"/>
      <w:bookmarkEnd w:id="234"/>
      <w:bookmarkEnd w:id="235"/>
      <w:bookmarkEnd w:id="236"/>
      <w:bookmarkEnd w:id="237"/>
      <w:r w:rsidR="009628D0">
        <w:t>s</w:t>
      </w:r>
      <w:bookmarkEnd w:id="238"/>
    </w:p>
    <w:p w:rsidR="004E3B8A" w:rsidRDefault="004E3B8A" w:rsidP="004E3B8A">
      <w:r>
        <w:t xml:space="preserve">The FCM’s </w:t>
      </w:r>
      <w:r w:rsidRPr="00466F6E">
        <w:t xml:space="preserve">Forward Capacity Auctions </w:t>
      </w:r>
      <w:r>
        <w:t xml:space="preserve">are designed to </w:t>
      </w:r>
      <w:r w:rsidRPr="00466F6E">
        <w:t xml:space="preserve">procure capacity </w:t>
      </w:r>
      <w:r>
        <w:t xml:space="preserve">roughly three years (40 months) </w:t>
      </w:r>
      <w:r w:rsidRPr="00466F6E">
        <w:t xml:space="preserve">in advance of </w:t>
      </w:r>
      <w:r>
        <w:t>the commitment period</w:t>
      </w:r>
      <w:r w:rsidRPr="00466F6E">
        <w:t xml:space="preserve">. This lead time allows capacity suppliers to develop new capacity resources and enables </w:t>
      </w:r>
      <w:r w:rsidRPr="00E97BD9">
        <w:t>the ISO to plan</w:t>
      </w:r>
      <w:r>
        <w:t xml:space="preserve"> for </w:t>
      </w:r>
      <w:r w:rsidRPr="00466F6E">
        <w:t>these new resources</w:t>
      </w:r>
      <w:r>
        <w:t>.</w:t>
      </w:r>
    </w:p>
    <w:p w:rsidR="004E3B8A" w:rsidRDefault="004E3B8A" w:rsidP="004E3B8A">
      <w:r w:rsidRPr="001D7C4B">
        <w:t xml:space="preserve">Existing capacity resources are required to participate in the FCA and are automatically entered into the capacity auction. However, these resources may indicate a desire to be removed from the FCA by submitting a </w:t>
      </w:r>
      <w:r w:rsidRPr="00525A8A">
        <w:t>delist</w:t>
      </w:r>
      <w:r w:rsidRPr="001D7C4B">
        <w:t xml:space="preserve"> bid before </w:t>
      </w:r>
      <w:r w:rsidR="007F49B4">
        <w:t xml:space="preserve">the </w:t>
      </w:r>
      <w:r w:rsidR="007F49B4" w:rsidRPr="001D7C4B">
        <w:t xml:space="preserve">qualification deadline </w:t>
      </w:r>
      <w:r w:rsidR="007F49B4">
        <w:t xml:space="preserve">for </w:t>
      </w:r>
      <w:r w:rsidRPr="001D7C4B">
        <w:t>existing</w:t>
      </w:r>
      <w:r w:rsidR="007F49B4">
        <w:t xml:space="preserve"> </w:t>
      </w:r>
      <w:r w:rsidRPr="001D7C4B">
        <w:t>capacity.</w:t>
      </w:r>
      <w:r w:rsidRPr="001D7C4B">
        <w:rPr>
          <w:rStyle w:val="FootnoteReference"/>
          <w:sz w:val="22"/>
        </w:rPr>
        <w:footnoteReference w:id="95"/>
      </w:r>
      <w:r w:rsidRPr="00194C61">
        <w:t xml:space="preserve"> </w:t>
      </w:r>
      <w:r>
        <w:t>For example, hi</w:t>
      </w:r>
      <w:r w:rsidRPr="00A5207F">
        <w:t>gh-</w:t>
      </w:r>
      <w:r w:rsidRPr="00266BC1">
        <w:t>priced</w:t>
      </w:r>
      <w:r>
        <w:t xml:space="preserve"> </w:t>
      </w:r>
      <w:r w:rsidRPr="00266BC1">
        <w:t xml:space="preserve">capacity </w:t>
      </w:r>
      <w:r>
        <w:t xml:space="preserve">resources may choose to submit delist bids, indicating the resources do not want </w:t>
      </w:r>
      <w:r w:rsidRPr="00525A8A">
        <w:t>the capacity supply obligation below</w:t>
      </w:r>
      <w:r>
        <w:t xml:space="preserve"> a certain price. Since the obligation to participate in the New England energy market is assigned only to resources with a capacity supply obligation, delisted resources are not obligated to </w:t>
      </w:r>
      <w:r w:rsidR="00D4331C" w:rsidRPr="00D4331C">
        <w:t>supply energy</w:t>
      </w:r>
      <w:r w:rsidR="006532D7">
        <w:t xml:space="preserve">, </w:t>
      </w:r>
      <w:r w:rsidR="00D4331C" w:rsidRPr="00D4331C">
        <w:t>although they are allowed to voluntarily supply electric energy at market prices. Reconfigu</w:t>
      </w:r>
      <w:r w:rsidRPr="00194CAE">
        <w:t>ration auctions</w:t>
      </w:r>
      <w:r w:rsidRPr="00A5207F">
        <w:t xml:space="preserve"> </w:t>
      </w:r>
      <w:r>
        <w:t xml:space="preserve">also may </w:t>
      </w:r>
      <w:r w:rsidRPr="00A5207F">
        <w:t xml:space="preserve">procure any quantities not purchased in the FCA as a result of </w:t>
      </w:r>
      <w:r w:rsidRPr="00C1453F">
        <w:t>delisting at specific price thresholds.</w:t>
      </w:r>
      <w:r w:rsidRPr="007C099B">
        <w:rPr>
          <w:rStyle w:val="FootnoteReference"/>
          <w:sz w:val="22"/>
        </w:rPr>
        <w:footnoteReference w:id="96"/>
      </w:r>
      <w:r>
        <w:t xml:space="preserve"> These auctions </w:t>
      </w:r>
      <w:r w:rsidRPr="00A5207F">
        <w:t>allow adjustments t</w:t>
      </w:r>
      <w:r>
        <w:t>hat</w:t>
      </w:r>
      <w:r w:rsidRPr="00A5207F">
        <w:t xml:space="preserve"> reflect changes in the ICR</w:t>
      </w:r>
      <w:r>
        <w:t>,</w:t>
      </w:r>
      <w:r w:rsidRPr="00DA59C0">
        <w:t xml:space="preserve"> </w:t>
      </w:r>
      <w:r w:rsidRPr="00A5207F">
        <w:t xml:space="preserve">and </w:t>
      </w:r>
      <w:r>
        <w:t xml:space="preserve">they </w:t>
      </w:r>
      <w:r w:rsidRPr="00A5207F">
        <w:t xml:space="preserve">facilitate </w:t>
      </w:r>
      <w:r w:rsidR="00B13CA9">
        <w:t xml:space="preserve">the </w:t>
      </w:r>
      <w:r w:rsidRPr="00A5207F">
        <w:t xml:space="preserve">trading </w:t>
      </w:r>
      <w:r w:rsidR="00B13CA9">
        <w:t xml:space="preserve">of individual </w:t>
      </w:r>
      <w:r w:rsidRPr="00A5207F">
        <w:t>commitments made in the previous FCA</w:t>
      </w:r>
      <w:r>
        <w:t xml:space="preserve">. The effects of the delist </w:t>
      </w:r>
      <w:r w:rsidR="003174D8" w:rsidRPr="003174D8">
        <w:t>bids for</w:t>
      </w:r>
      <w:r>
        <w:t xml:space="preserve"> FCA #3 and FCA #4 on the need for transmission facilities is </w:t>
      </w:r>
      <w:r w:rsidR="003174D8" w:rsidRPr="003174D8">
        <w:t xml:space="preserve">discussed in Section </w:t>
      </w:r>
      <w:fldSimple w:instr=" REF _Ref266110978 \r \h  \* MERGEFORMAT ">
        <w:r w:rsidR="00E5699E">
          <w:t>6.6</w:t>
        </w:r>
      </w:fldSimple>
      <w:r w:rsidR="003174D8" w:rsidRPr="003174D8">
        <w:t>.</w:t>
      </w:r>
    </w:p>
    <w:p w:rsidR="004E3B8A" w:rsidRDefault="004E3B8A" w:rsidP="004E3B8A">
      <w:r>
        <w:t xml:space="preserve">Unless an existing capacity resource follows specific criteria to become </w:t>
      </w:r>
      <w:r w:rsidRPr="00BC52B9">
        <w:t xml:space="preserve">delisted </w:t>
      </w:r>
      <w:r w:rsidRPr="00B2507A">
        <w:t>each year</w:t>
      </w:r>
      <w:r>
        <w:t>, it will be</w:t>
      </w:r>
      <w:r w:rsidRPr="00B2507A">
        <w:t xml:space="preserve"> </w:t>
      </w:r>
      <w:r>
        <w:t>assigned</w:t>
      </w:r>
      <w:r w:rsidRPr="00B2507A">
        <w:t xml:space="preserve"> a one-year </w:t>
      </w:r>
      <w:r w:rsidR="00165057">
        <w:t>capacity supply obligation</w:t>
      </w:r>
      <w:r>
        <w:rPr>
          <w:iCs/>
        </w:rPr>
        <w:t xml:space="preserve">. </w:t>
      </w:r>
      <w:r w:rsidRPr="00B2507A">
        <w:t xml:space="preserve">New </w:t>
      </w:r>
      <w:r w:rsidRPr="00BB240C">
        <w:t>capacity that bids in the FCA</w:t>
      </w:r>
      <w:r>
        <w:t xml:space="preserve"> can</w:t>
      </w:r>
      <w:r w:rsidRPr="00B2507A">
        <w:t xml:space="preserve"> choose a capacity commitment period </w:t>
      </w:r>
      <w:r w:rsidR="00B13CA9">
        <w:t xml:space="preserve">obligation </w:t>
      </w:r>
      <w:r>
        <w:t xml:space="preserve">between </w:t>
      </w:r>
      <w:r w:rsidRPr="00B2507A">
        <w:t xml:space="preserve">one </w:t>
      </w:r>
      <w:r>
        <w:t>and</w:t>
      </w:r>
      <w:r w:rsidRPr="00B2507A">
        <w:t xml:space="preserve"> five </w:t>
      </w:r>
      <w:r>
        <w:t xml:space="preserve">years. </w:t>
      </w:r>
      <w:r w:rsidRPr="00BE4E07">
        <w:t>The F</w:t>
      </w:r>
      <w:r>
        <w:t xml:space="preserve">CM </w:t>
      </w:r>
      <w:r w:rsidRPr="00BE4E07">
        <w:t>require</w:t>
      </w:r>
      <w:r>
        <w:t xml:space="preserve">s all new and existing capacity </w:t>
      </w:r>
      <w:r w:rsidRPr="00BE4E07">
        <w:t>resource</w:t>
      </w:r>
      <w:r>
        <w:t xml:space="preserve">s </w:t>
      </w:r>
      <w:r w:rsidRPr="00A80495">
        <w:t>that obtain a capacity supply obligation</w:t>
      </w:r>
      <w:r w:rsidRPr="008C697E">
        <w:t xml:space="preserve"> (i.e., </w:t>
      </w:r>
      <w:r>
        <w:t>that clear the auction</w:t>
      </w:r>
      <w:r w:rsidRPr="008C697E">
        <w:t xml:space="preserve">) to perform </w:t>
      </w:r>
      <w:r w:rsidRPr="00194CAE">
        <w:t xml:space="preserve">during </w:t>
      </w:r>
      <w:r w:rsidRPr="00194CAE">
        <w:rPr>
          <w:iCs/>
        </w:rPr>
        <w:t>shortage events</w:t>
      </w:r>
      <w:r w:rsidRPr="00194CAE">
        <w:t>, which occur when the region is not able to meet its load and operating-reserve requirements (see</w:t>
      </w:r>
      <w:r>
        <w:t xml:space="preserve"> Section </w:t>
      </w:r>
      <w:r w:rsidR="00832C7A">
        <w:fldChar w:fldCharType="begin"/>
      </w:r>
      <w:r w:rsidR="00663230">
        <w:instrText xml:space="preserve"> REF _Ref231185835 \r \h </w:instrText>
      </w:r>
      <w:r w:rsidR="00832C7A">
        <w:fldChar w:fldCharType="separate"/>
      </w:r>
      <w:r w:rsidR="00E5699E">
        <w:t>4.4</w:t>
      </w:r>
      <w:r w:rsidR="00832C7A">
        <w:fldChar w:fldCharType="end"/>
      </w:r>
      <w:r w:rsidRPr="00200BB1">
        <w:t>).</w:t>
      </w:r>
      <w:r w:rsidRPr="00BE4E07">
        <w:t xml:space="preserve"> </w:t>
      </w:r>
      <w:r>
        <w:t>Purchased resources that f</w:t>
      </w:r>
      <w:r w:rsidRPr="00260C81">
        <w:t>ai</w:t>
      </w:r>
      <w:r>
        <w:t xml:space="preserve">l </w:t>
      </w:r>
      <w:r w:rsidRPr="00260C81">
        <w:t>to perform during a shortage event re</w:t>
      </w:r>
      <w:r>
        <w:t xml:space="preserve">ceive </w:t>
      </w:r>
      <w:r w:rsidR="00786754">
        <w:t>a significantly</w:t>
      </w:r>
      <w:r>
        <w:t xml:space="preserve"> reduc</w:t>
      </w:r>
      <w:r w:rsidR="00786754">
        <w:t xml:space="preserve">ed </w:t>
      </w:r>
      <w:r>
        <w:t xml:space="preserve">capacity </w:t>
      </w:r>
      <w:r w:rsidRPr="00260C81">
        <w:t>payment</w:t>
      </w:r>
      <w:r>
        <w:t xml:space="preserve">, a measure intended to improve the alignment between resource needs </w:t>
      </w:r>
      <w:r w:rsidRPr="00A867A4">
        <w:t>and available capacity</w:t>
      </w:r>
      <w:r>
        <w:t>.</w:t>
      </w:r>
    </w:p>
    <w:p w:rsidR="00FC0261" w:rsidRDefault="004E3B8A" w:rsidP="00235A65">
      <w:pPr>
        <w:pStyle w:val="Heading4"/>
      </w:pPr>
      <w:bookmarkStart w:id="239" w:name="_Ref267385078"/>
      <w:r w:rsidRPr="00CB0D19">
        <w:t>New Resource Qualifications</w:t>
      </w:r>
      <w:bookmarkEnd w:id="239"/>
    </w:p>
    <w:p w:rsidR="004E3B8A" w:rsidRDefault="00832C7A" w:rsidP="004E3B8A">
      <w:r>
        <w:fldChar w:fldCharType="begin"/>
      </w:r>
      <w:r w:rsidR="004E3B8A">
        <w:instrText xml:space="preserve"> REF _Ref262588442 \h </w:instrText>
      </w:r>
      <w:r>
        <w:fldChar w:fldCharType="separate"/>
      </w:r>
      <w:r w:rsidR="00E5699E" w:rsidRPr="0072604D">
        <w:t>Table </w:t>
      </w:r>
      <w:r w:rsidR="00E5699E">
        <w:rPr>
          <w:noProof/>
        </w:rPr>
        <w:t>4</w:t>
      </w:r>
      <w:r w:rsidR="00E5699E">
        <w:noBreakHyphen/>
      </w:r>
      <w:r w:rsidR="00E5699E">
        <w:rPr>
          <w:noProof/>
        </w:rPr>
        <w:t>3</w:t>
      </w:r>
      <w:r>
        <w:fldChar w:fldCharType="end"/>
      </w:r>
      <w:r w:rsidR="008C6AD9">
        <w:t xml:space="preserve"> </w:t>
      </w:r>
      <w:r w:rsidR="004E3B8A" w:rsidRPr="00194CAE">
        <w:t>shows</w:t>
      </w:r>
      <w:r w:rsidR="004E3B8A" w:rsidRPr="009041A4">
        <w:t xml:space="preserve"> the locations of </w:t>
      </w:r>
      <w:r w:rsidR="004E3B8A">
        <w:t xml:space="preserve">new </w:t>
      </w:r>
      <w:r w:rsidR="004E3B8A" w:rsidRPr="009041A4">
        <w:t xml:space="preserve">resources that </w:t>
      </w:r>
      <w:r w:rsidR="004E3B8A">
        <w:t xml:space="preserve">qualified for and then </w:t>
      </w:r>
      <w:r w:rsidR="004E3B8A" w:rsidRPr="009041A4">
        <w:t>cleared the first</w:t>
      </w:r>
      <w:r w:rsidR="004E3B8A">
        <w:t xml:space="preserve">, </w:t>
      </w:r>
      <w:r w:rsidR="004E3B8A" w:rsidRPr="000A7C71">
        <w:t>second</w:t>
      </w:r>
      <w:r w:rsidR="004E3B8A">
        <w:t xml:space="preserve">, and third </w:t>
      </w:r>
      <w:r w:rsidR="004E3B8A" w:rsidRPr="009041A4">
        <w:t>FCA</w:t>
      </w:r>
      <w:r w:rsidR="004E3B8A">
        <w:t>s</w:t>
      </w:r>
      <w:r w:rsidR="004E3B8A" w:rsidRPr="009041A4">
        <w:t>.</w:t>
      </w:r>
    </w:p>
    <w:p w:rsidR="004E3B8A" w:rsidRDefault="004E3B8A" w:rsidP="004E3B8A">
      <w:pPr>
        <w:pStyle w:val="Caption"/>
        <w:rPr>
          <w:rFonts w:cs="Arial"/>
        </w:rPr>
      </w:pPr>
      <w:bookmarkStart w:id="240" w:name="_Ref262588442"/>
      <w:bookmarkStart w:id="241" w:name="_Toc271552404"/>
      <w:r w:rsidRPr="0072604D">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3</w:t>
      </w:r>
      <w:r w:rsidR="00832C7A">
        <w:fldChar w:fldCharType="end"/>
      </w:r>
      <w:bookmarkEnd w:id="240"/>
      <w:r>
        <w:br/>
      </w:r>
      <w:r w:rsidRPr="00A677AC">
        <w:rPr>
          <w:rFonts w:cs="Arial"/>
        </w:rPr>
        <w:t xml:space="preserve">Total New Resources </w:t>
      </w:r>
      <w:r w:rsidRPr="00B6363E">
        <w:rPr>
          <w:rFonts w:cs="Arial"/>
        </w:rPr>
        <w:t>that Cleared</w:t>
      </w:r>
      <w:r>
        <w:rPr>
          <w:rFonts w:cs="Arial"/>
        </w:rPr>
        <w:t xml:space="preserve"> in </w:t>
      </w:r>
      <w:r w:rsidRPr="008610C3">
        <w:rPr>
          <w:rFonts w:cs="Arial"/>
        </w:rPr>
        <w:t>FCA</w:t>
      </w:r>
      <w:r>
        <w:rPr>
          <w:rFonts w:cs="Arial"/>
        </w:rPr>
        <w:t xml:space="preserve"> #1, FCA #2, and FCA #3</w:t>
      </w:r>
      <w:r w:rsidRPr="00A677AC">
        <w:rPr>
          <w:rFonts w:cs="Arial"/>
        </w:rPr>
        <w:t xml:space="preserve"> by</w:t>
      </w:r>
      <w:r>
        <w:rPr>
          <w:rFonts w:cs="Arial"/>
        </w:rPr>
        <w:t> </w:t>
      </w:r>
      <w:r w:rsidR="00EF25EB" w:rsidRPr="00EF25EB">
        <w:rPr>
          <w:rFonts w:cs="Arial"/>
        </w:rPr>
        <w:t>State (MW and %)</w:t>
      </w:r>
      <w:bookmarkEnd w:id="241"/>
    </w:p>
    <w:tbl>
      <w:tblPr>
        <w:tblStyle w:val="MediumShading1-Accent12"/>
        <w:tblW w:w="7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170"/>
        <w:gridCol w:w="1080"/>
        <w:gridCol w:w="1098"/>
        <w:gridCol w:w="1170"/>
        <w:gridCol w:w="1080"/>
        <w:gridCol w:w="1116"/>
        <w:gridCol w:w="1134"/>
      </w:tblGrid>
      <w:tr w:rsidR="00AE719C" w:rsidRPr="009663DA" w:rsidTr="00685DA8">
        <w:trPr>
          <w:cnfStyle w:val="100000000000"/>
          <w:trHeight w:val="321"/>
        </w:trPr>
        <w:tc>
          <w:tcPr>
            <w:cnfStyle w:val="001000000100"/>
            <w:tcW w:w="1170" w:type="dxa"/>
            <w:vMerge w:val="restart"/>
            <w:shd w:val="clear" w:color="auto" w:fill="FBCE76" w:themeFill="background2" w:themeFillTint="99"/>
            <w:noWrap/>
          </w:tcPr>
          <w:p w:rsidR="00E27C5C" w:rsidRDefault="001614A6" w:rsidP="002669AE">
            <w:pPr>
              <w:spacing w:after="0"/>
              <w:jc w:val="center"/>
              <w:rPr>
                <w:rFonts w:ascii="Arial" w:hAnsi="Arial" w:cs="Arial"/>
                <w:color w:val="000000" w:themeColor="text1"/>
                <w:sz w:val="18"/>
                <w:szCs w:val="18"/>
              </w:rPr>
            </w:pPr>
            <w:r w:rsidRPr="001614A6">
              <w:rPr>
                <w:rFonts w:ascii="Arial" w:hAnsi="Arial" w:cs="Arial"/>
                <w:color w:val="000000" w:themeColor="text1"/>
                <w:sz w:val="18"/>
                <w:szCs w:val="18"/>
              </w:rPr>
              <w:t>State</w:t>
            </w:r>
          </w:p>
        </w:tc>
        <w:tc>
          <w:tcPr>
            <w:tcW w:w="2178" w:type="dxa"/>
            <w:gridSpan w:val="2"/>
            <w:shd w:val="clear" w:color="auto" w:fill="FBCE76" w:themeFill="background2" w:themeFillTint="99"/>
          </w:tcPr>
          <w:p w:rsidR="00FC0261" w:rsidRDefault="006309C6" w:rsidP="002669AE">
            <w:pPr>
              <w:spacing w:after="0"/>
              <w:cnfStyle w:val="100000000000"/>
              <w:rPr>
                <w:rFonts w:ascii="Arial" w:hAnsi="Arial" w:cs="Arial"/>
                <w:b w:val="0"/>
                <w:bCs w:val="0"/>
                <w:color w:val="000000" w:themeColor="text1"/>
                <w:sz w:val="18"/>
                <w:szCs w:val="18"/>
              </w:rPr>
            </w:pPr>
            <w:r w:rsidRPr="006309C6">
              <w:rPr>
                <w:rFonts w:ascii="Arial" w:hAnsi="Arial" w:cs="Arial"/>
                <w:color w:val="000000" w:themeColor="text1"/>
                <w:sz w:val="18"/>
                <w:szCs w:val="18"/>
              </w:rPr>
              <w:t>FCA #1</w:t>
            </w:r>
          </w:p>
        </w:tc>
        <w:tc>
          <w:tcPr>
            <w:tcW w:w="2250" w:type="dxa"/>
            <w:gridSpan w:val="2"/>
            <w:shd w:val="clear" w:color="auto" w:fill="FBCE76" w:themeFill="background2" w:themeFillTint="99"/>
            <w:noWrap/>
          </w:tcPr>
          <w:p w:rsidR="00FC0261" w:rsidRDefault="006309C6" w:rsidP="002669AE">
            <w:pPr>
              <w:spacing w:after="0"/>
              <w:cnfStyle w:val="100000000000"/>
              <w:rPr>
                <w:rFonts w:ascii="Arial" w:hAnsi="Arial" w:cs="Arial"/>
                <w:b w:val="0"/>
                <w:bCs w:val="0"/>
                <w:color w:val="000000" w:themeColor="text1"/>
                <w:sz w:val="18"/>
                <w:szCs w:val="18"/>
              </w:rPr>
            </w:pPr>
            <w:r w:rsidRPr="006309C6">
              <w:rPr>
                <w:rFonts w:ascii="Arial" w:hAnsi="Arial" w:cs="Arial"/>
                <w:color w:val="000000" w:themeColor="text1"/>
                <w:sz w:val="18"/>
                <w:szCs w:val="18"/>
              </w:rPr>
              <w:t>FCA #2</w:t>
            </w:r>
          </w:p>
        </w:tc>
        <w:tc>
          <w:tcPr>
            <w:tcW w:w="2250" w:type="dxa"/>
            <w:gridSpan w:val="2"/>
            <w:shd w:val="clear" w:color="auto" w:fill="FBCE76" w:themeFill="background2" w:themeFillTint="99"/>
          </w:tcPr>
          <w:p w:rsidR="00FC0261" w:rsidRDefault="006309C6" w:rsidP="002669AE">
            <w:pPr>
              <w:spacing w:after="0"/>
              <w:cnfStyle w:val="100000000000"/>
              <w:rPr>
                <w:rFonts w:ascii="Arial" w:hAnsi="Arial" w:cs="Arial"/>
                <w:color w:val="000000" w:themeColor="text1"/>
                <w:sz w:val="18"/>
                <w:szCs w:val="18"/>
              </w:rPr>
            </w:pPr>
            <w:r w:rsidRPr="006309C6">
              <w:rPr>
                <w:rFonts w:ascii="Arial" w:hAnsi="Arial" w:cs="Arial"/>
                <w:color w:val="000000" w:themeColor="text1"/>
                <w:sz w:val="18"/>
                <w:szCs w:val="18"/>
              </w:rPr>
              <w:t>FCA #3</w:t>
            </w:r>
          </w:p>
        </w:tc>
      </w:tr>
      <w:tr w:rsidR="00AE719C" w:rsidRPr="00B2521C" w:rsidTr="00685DA8">
        <w:trPr>
          <w:cnfStyle w:val="000000100000"/>
          <w:trHeight w:val="389"/>
        </w:trPr>
        <w:tc>
          <w:tcPr>
            <w:cnfStyle w:val="001000000000"/>
            <w:tcW w:w="1170" w:type="dxa"/>
            <w:vMerge/>
            <w:shd w:val="clear" w:color="auto" w:fill="FBCE76" w:themeFill="background2" w:themeFillTint="99"/>
          </w:tcPr>
          <w:p w:rsidR="00AE719C" w:rsidRPr="00B2521C" w:rsidRDefault="00AE719C" w:rsidP="002669AE">
            <w:pPr>
              <w:keepNext/>
              <w:keepLines/>
              <w:spacing w:after="0"/>
              <w:jc w:val="center"/>
              <w:rPr>
                <w:rFonts w:ascii="Arial" w:hAnsi="Arial" w:cs="Arial"/>
                <w:b w:val="0"/>
                <w:bCs w:val="0"/>
                <w:sz w:val="18"/>
                <w:szCs w:val="18"/>
              </w:rPr>
            </w:pPr>
          </w:p>
        </w:tc>
        <w:tc>
          <w:tcPr>
            <w:tcW w:w="1080"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sidRPr="00B2521C">
              <w:rPr>
                <w:rFonts w:ascii="Arial" w:hAnsi="Arial" w:cs="Arial"/>
                <w:b/>
                <w:bCs/>
                <w:sz w:val="18"/>
                <w:szCs w:val="18"/>
              </w:rPr>
              <w:t>MW</w:t>
            </w:r>
          </w:p>
        </w:tc>
        <w:tc>
          <w:tcPr>
            <w:tcW w:w="1098"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Pr>
                <w:rFonts w:ascii="Arial" w:hAnsi="Arial" w:cs="Arial"/>
                <w:b/>
                <w:bCs/>
                <w:sz w:val="18"/>
                <w:szCs w:val="18"/>
              </w:rPr>
              <w:t>%</w:t>
            </w:r>
          </w:p>
        </w:tc>
        <w:tc>
          <w:tcPr>
            <w:tcW w:w="1170"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sidRPr="00B2521C">
              <w:rPr>
                <w:rFonts w:ascii="Arial" w:hAnsi="Arial" w:cs="Arial"/>
                <w:b/>
                <w:bCs/>
                <w:sz w:val="18"/>
                <w:szCs w:val="18"/>
              </w:rPr>
              <w:t>MW</w:t>
            </w:r>
          </w:p>
        </w:tc>
        <w:tc>
          <w:tcPr>
            <w:tcW w:w="1080"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Pr>
                <w:rFonts w:ascii="Arial" w:hAnsi="Arial" w:cs="Arial"/>
                <w:b/>
                <w:bCs/>
                <w:sz w:val="18"/>
                <w:szCs w:val="18"/>
              </w:rPr>
              <w:t>%</w:t>
            </w:r>
          </w:p>
        </w:tc>
        <w:tc>
          <w:tcPr>
            <w:tcW w:w="1116"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sidRPr="00B2521C">
              <w:rPr>
                <w:rFonts w:ascii="Arial" w:hAnsi="Arial" w:cs="Arial"/>
                <w:b/>
                <w:bCs/>
                <w:sz w:val="18"/>
                <w:szCs w:val="18"/>
              </w:rPr>
              <w:t>MW</w:t>
            </w:r>
          </w:p>
        </w:tc>
        <w:tc>
          <w:tcPr>
            <w:tcW w:w="1134" w:type="dxa"/>
            <w:shd w:val="clear" w:color="auto" w:fill="FBCE76" w:themeFill="background2" w:themeFillTint="99"/>
          </w:tcPr>
          <w:p w:rsidR="00AE719C" w:rsidRPr="00B2521C" w:rsidRDefault="00AE719C" w:rsidP="002669AE">
            <w:pPr>
              <w:keepNext/>
              <w:keepLines/>
              <w:spacing w:after="0"/>
              <w:cnfStyle w:val="000000100000"/>
              <w:rPr>
                <w:rFonts w:ascii="Arial" w:hAnsi="Arial" w:cs="Arial"/>
                <w:b/>
                <w:bCs/>
                <w:sz w:val="18"/>
                <w:szCs w:val="18"/>
              </w:rPr>
            </w:pPr>
            <w:r>
              <w:rPr>
                <w:rFonts w:ascii="Arial" w:hAnsi="Arial" w:cs="Arial"/>
                <w:b/>
                <w:bCs/>
                <w:sz w:val="18"/>
                <w:szCs w:val="18"/>
              </w:rPr>
              <w:t>%</w:t>
            </w:r>
          </w:p>
        </w:tc>
      </w:tr>
      <w:tr w:rsidR="00AE719C" w:rsidRPr="00B2521C" w:rsidTr="00685DA8">
        <w:trPr>
          <w:cnfStyle w:val="000000010000"/>
          <w:trHeight w:val="321"/>
        </w:trPr>
        <w:tc>
          <w:tcPr>
            <w:cnfStyle w:val="001000000000"/>
            <w:tcW w:w="1170" w:type="dxa"/>
            <w:shd w:val="clear" w:color="auto" w:fill="FFFFFF" w:themeFill="background1"/>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CT</w:t>
            </w:r>
          </w:p>
        </w:tc>
        <w:tc>
          <w:tcPr>
            <w:tcW w:w="1080" w:type="dxa"/>
            <w:shd w:val="clear" w:color="auto" w:fill="FFFFFF" w:themeFill="background1"/>
            <w:noWrap/>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62</w:t>
            </w:r>
          </w:p>
        </w:tc>
        <w:tc>
          <w:tcPr>
            <w:tcW w:w="1098"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6.9</w:t>
            </w:r>
          </w:p>
        </w:tc>
        <w:tc>
          <w:tcPr>
            <w:tcW w:w="117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1,169</w:t>
            </w:r>
          </w:p>
        </w:tc>
        <w:tc>
          <w:tcPr>
            <w:tcW w:w="108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37.3</w:t>
            </w:r>
          </w:p>
        </w:tc>
        <w:tc>
          <w:tcPr>
            <w:tcW w:w="1116"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 xml:space="preserve">235     </w:t>
            </w:r>
          </w:p>
        </w:tc>
        <w:tc>
          <w:tcPr>
            <w:tcW w:w="1134"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8.4</w:t>
            </w:r>
          </w:p>
        </w:tc>
      </w:tr>
      <w:tr w:rsidR="00AE719C" w:rsidRPr="00B2521C" w:rsidTr="00685DA8">
        <w:trPr>
          <w:cnfStyle w:val="000000100000"/>
          <w:trHeight w:val="321"/>
        </w:trPr>
        <w:tc>
          <w:tcPr>
            <w:cnfStyle w:val="001000000000"/>
            <w:tcW w:w="1170" w:type="dxa"/>
            <w:shd w:val="clear" w:color="auto" w:fill="FDEED1" w:themeFill="background2" w:themeFillTint="33"/>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MA</w:t>
            </w:r>
          </w:p>
        </w:tc>
        <w:tc>
          <w:tcPr>
            <w:tcW w:w="1080" w:type="dxa"/>
            <w:shd w:val="clear" w:color="auto" w:fill="FDEED1" w:themeFill="background2" w:themeFillTint="33"/>
            <w:noWrap/>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458</w:t>
            </w:r>
          </w:p>
        </w:tc>
        <w:tc>
          <w:tcPr>
            <w:tcW w:w="1098"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50.9</w:t>
            </w:r>
          </w:p>
        </w:tc>
        <w:tc>
          <w:tcPr>
            <w:tcW w:w="117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243</w:t>
            </w:r>
          </w:p>
        </w:tc>
        <w:tc>
          <w:tcPr>
            <w:tcW w:w="108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7.8</w:t>
            </w:r>
          </w:p>
        </w:tc>
        <w:tc>
          <w:tcPr>
            <w:tcW w:w="1116"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 xml:space="preserve">1,636     </w:t>
            </w:r>
          </w:p>
        </w:tc>
        <w:tc>
          <w:tcPr>
            <w:tcW w:w="1134"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58.5</w:t>
            </w:r>
          </w:p>
        </w:tc>
      </w:tr>
      <w:tr w:rsidR="00AE719C" w:rsidRPr="00B2521C" w:rsidTr="00685DA8">
        <w:trPr>
          <w:cnfStyle w:val="000000010000"/>
          <w:trHeight w:val="321"/>
        </w:trPr>
        <w:tc>
          <w:tcPr>
            <w:cnfStyle w:val="001000000000"/>
            <w:tcW w:w="1170" w:type="dxa"/>
            <w:shd w:val="clear" w:color="auto" w:fill="FFFFFF" w:themeFill="background1"/>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RI</w:t>
            </w:r>
          </w:p>
        </w:tc>
        <w:tc>
          <w:tcPr>
            <w:tcW w:w="1080" w:type="dxa"/>
            <w:shd w:val="clear" w:color="auto" w:fill="FFFFFF" w:themeFill="background1"/>
            <w:noWrap/>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45</w:t>
            </w:r>
          </w:p>
        </w:tc>
        <w:tc>
          <w:tcPr>
            <w:tcW w:w="1098"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5.0</w:t>
            </w:r>
          </w:p>
        </w:tc>
        <w:tc>
          <w:tcPr>
            <w:tcW w:w="117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55</w:t>
            </w:r>
          </w:p>
        </w:tc>
        <w:tc>
          <w:tcPr>
            <w:tcW w:w="108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1.8</w:t>
            </w:r>
          </w:p>
        </w:tc>
        <w:tc>
          <w:tcPr>
            <w:tcW w:w="1116"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 xml:space="preserve">21   </w:t>
            </w:r>
          </w:p>
        </w:tc>
        <w:tc>
          <w:tcPr>
            <w:tcW w:w="1134"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0.8</w:t>
            </w:r>
          </w:p>
        </w:tc>
      </w:tr>
      <w:tr w:rsidR="00AE719C" w:rsidRPr="00B2521C" w:rsidTr="00685DA8">
        <w:trPr>
          <w:cnfStyle w:val="000000100000"/>
          <w:trHeight w:val="321"/>
        </w:trPr>
        <w:tc>
          <w:tcPr>
            <w:cnfStyle w:val="001000000000"/>
            <w:tcW w:w="1170" w:type="dxa"/>
            <w:shd w:val="clear" w:color="auto" w:fill="FDEED1" w:themeFill="background2" w:themeFillTint="33"/>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VT</w:t>
            </w:r>
          </w:p>
        </w:tc>
        <w:tc>
          <w:tcPr>
            <w:tcW w:w="1080" w:type="dxa"/>
            <w:shd w:val="clear" w:color="auto" w:fill="FDEED1" w:themeFill="background2" w:themeFillTint="33"/>
            <w:noWrap/>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111</w:t>
            </w:r>
          </w:p>
        </w:tc>
        <w:tc>
          <w:tcPr>
            <w:tcW w:w="1098"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12.4</w:t>
            </w:r>
          </w:p>
        </w:tc>
        <w:tc>
          <w:tcPr>
            <w:tcW w:w="117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12</w:t>
            </w:r>
          </w:p>
        </w:tc>
        <w:tc>
          <w:tcPr>
            <w:tcW w:w="108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0.4</w:t>
            </w:r>
          </w:p>
        </w:tc>
        <w:tc>
          <w:tcPr>
            <w:tcW w:w="1116"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 xml:space="preserve">24   </w:t>
            </w:r>
          </w:p>
        </w:tc>
        <w:tc>
          <w:tcPr>
            <w:tcW w:w="1134"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0.8</w:t>
            </w:r>
          </w:p>
        </w:tc>
      </w:tr>
      <w:tr w:rsidR="00AE719C" w:rsidRPr="00B2521C" w:rsidTr="00685DA8">
        <w:trPr>
          <w:cnfStyle w:val="000000010000"/>
          <w:trHeight w:val="321"/>
        </w:trPr>
        <w:tc>
          <w:tcPr>
            <w:cnfStyle w:val="001000000000"/>
            <w:tcW w:w="1170" w:type="dxa"/>
            <w:shd w:val="clear" w:color="auto" w:fill="FFFFFF" w:themeFill="background1"/>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NH</w:t>
            </w:r>
          </w:p>
        </w:tc>
        <w:tc>
          <w:tcPr>
            <w:tcW w:w="1080" w:type="dxa"/>
            <w:shd w:val="clear" w:color="auto" w:fill="FFFFFF" w:themeFill="background1"/>
            <w:noWrap/>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53</w:t>
            </w:r>
          </w:p>
        </w:tc>
        <w:tc>
          <w:tcPr>
            <w:tcW w:w="1098"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5.9</w:t>
            </w:r>
          </w:p>
        </w:tc>
        <w:tc>
          <w:tcPr>
            <w:tcW w:w="117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76</w:t>
            </w:r>
          </w:p>
        </w:tc>
        <w:tc>
          <w:tcPr>
            <w:tcW w:w="108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2.4</w:t>
            </w:r>
          </w:p>
        </w:tc>
        <w:tc>
          <w:tcPr>
            <w:tcW w:w="1116"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 xml:space="preserve">24   </w:t>
            </w:r>
          </w:p>
        </w:tc>
        <w:tc>
          <w:tcPr>
            <w:tcW w:w="1134"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0.8</w:t>
            </w:r>
          </w:p>
        </w:tc>
      </w:tr>
      <w:tr w:rsidR="00AE719C" w:rsidRPr="00B2521C" w:rsidTr="00685DA8">
        <w:trPr>
          <w:cnfStyle w:val="000000100000"/>
          <w:trHeight w:val="321"/>
        </w:trPr>
        <w:tc>
          <w:tcPr>
            <w:cnfStyle w:val="001000000000"/>
            <w:tcW w:w="1170" w:type="dxa"/>
            <w:shd w:val="clear" w:color="auto" w:fill="FDEED1" w:themeFill="background2" w:themeFillTint="33"/>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ME</w:t>
            </w:r>
          </w:p>
        </w:tc>
        <w:tc>
          <w:tcPr>
            <w:tcW w:w="1080" w:type="dxa"/>
            <w:shd w:val="clear" w:color="auto" w:fill="FDEED1" w:themeFill="background2" w:themeFillTint="33"/>
            <w:noWrap/>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170</w:t>
            </w:r>
          </w:p>
        </w:tc>
        <w:tc>
          <w:tcPr>
            <w:tcW w:w="1098"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sz w:val="18"/>
                <w:szCs w:val="18"/>
              </w:rPr>
              <w:t>18.9</w:t>
            </w:r>
          </w:p>
        </w:tc>
        <w:tc>
          <w:tcPr>
            <w:tcW w:w="117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49</w:t>
            </w:r>
          </w:p>
        </w:tc>
        <w:tc>
          <w:tcPr>
            <w:tcW w:w="1080"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hAnsi="Arial" w:cs="Arial"/>
                <w:sz w:val="18"/>
                <w:szCs w:val="18"/>
              </w:rPr>
            </w:pPr>
            <w:r w:rsidRPr="00B2521C">
              <w:rPr>
                <w:rFonts w:ascii="Arial" w:hAnsi="Arial" w:cs="Arial"/>
                <w:bCs/>
                <w:sz w:val="18"/>
                <w:szCs w:val="18"/>
              </w:rPr>
              <w:t>1.5</w:t>
            </w:r>
          </w:p>
        </w:tc>
        <w:tc>
          <w:tcPr>
            <w:tcW w:w="1116"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 xml:space="preserve">40   </w:t>
            </w:r>
          </w:p>
        </w:tc>
        <w:tc>
          <w:tcPr>
            <w:tcW w:w="1134" w:type="dxa"/>
            <w:shd w:val="clear" w:color="auto" w:fill="FDEED1" w:themeFill="background2" w:themeFillTint="33"/>
          </w:tcPr>
          <w:p w:rsidR="00B2521C" w:rsidRPr="00B2521C" w:rsidRDefault="00B2521C" w:rsidP="00324FD4">
            <w:pPr>
              <w:keepNext/>
              <w:keepLines/>
              <w:spacing w:after="0"/>
              <w:ind w:right="144"/>
              <w:jc w:val="right"/>
              <w:cnfStyle w:val="000000100000"/>
              <w:rPr>
                <w:rFonts w:ascii="Arial" w:eastAsia="Arial" w:hAnsi="Arial" w:cs="Arial"/>
                <w:bCs/>
                <w:sz w:val="18"/>
                <w:szCs w:val="18"/>
              </w:rPr>
            </w:pPr>
            <w:r w:rsidRPr="00B2521C">
              <w:rPr>
                <w:rFonts w:ascii="Arial" w:hAnsi="Arial" w:cs="Arial"/>
                <w:bCs/>
                <w:sz w:val="18"/>
                <w:szCs w:val="18"/>
              </w:rPr>
              <w:t>1.5</w:t>
            </w:r>
          </w:p>
        </w:tc>
      </w:tr>
      <w:tr w:rsidR="00AE719C" w:rsidRPr="00B2521C" w:rsidTr="00685DA8">
        <w:trPr>
          <w:cnfStyle w:val="000000010000"/>
          <w:trHeight w:val="321"/>
        </w:trPr>
        <w:tc>
          <w:tcPr>
            <w:cnfStyle w:val="001000000000"/>
            <w:tcW w:w="1170" w:type="dxa"/>
            <w:shd w:val="clear" w:color="auto" w:fill="FFFFFF" w:themeFill="background1"/>
            <w:tcMar>
              <w:left w:w="115" w:type="dxa"/>
              <w:right w:w="0" w:type="dxa"/>
            </w:tcMar>
          </w:tcPr>
          <w:p w:rsidR="00B2521C" w:rsidRPr="00B2521C" w:rsidRDefault="00B2521C" w:rsidP="00685DA8">
            <w:pPr>
              <w:keepNext/>
              <w:keepLines/>
              <w:spacing w:after="0"/>
              <w:rPr>
                <w:rFonts w:ascii="Arial" w:hAnsi="Arial" w:cs="Arial"/>
                <w:bCs w:val="0"/>
                <w:sz w:val="18"/>
                <w:szCs w:val="18"/>
              </w:rPr>
            </w:pPr>
            <w:r w:rsidRPr="00B2521C">
              <w:rPr>
                <w:rFonts w:ascii="Arial" w:hAnsi="Arial" w:cs="Arial"/>
                <w:sz w:val="18"/>
                <w:szCs w:val="18"/>
              </w:rPr>
              <w:t>Imports</w:t>
            </w:r>
          </w:p>
        </w:tc>
        <w:tc>
          <w:tcPr>
            <w:tcW w:w="108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0</w:t>
            </w:r>
          </w:p>
        </w:tc>
        <w:tc>
          <w:tcPr>
            <w:tcW w:w="1098"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sz w:val="18"/>
                <w:szCs w:val="18"/>
              </w:rPr>
              <w:t>0</w:t>
            </w:r>
          </w:p>
        </w:tc>
        <w:tc>
          <w:tcPr>
            <w:tcW w:w="117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1,529</w:t>
            </w:r>
          </w:p>
        </w:tc>
        <w:tc>
          <w:tcPr>
            <w:tcW w:w="1080" w:type="dxa"/>
            <w:shd w:val="clear" w:color="auto" w:fill="FFFFFF" w:themeFill="background1"/>
          </w:tcPr>
          <w:p w:rsidR="00B2521C" w:rsidRPr="00B2521C" w:rsidRDefault="00B2521C" w:rsidP="00324FD4">
            <w:pPr>
              <w:keepNext/>
              <w:keepLines/>
              <w:spacing w:after="0"/>
              <w:ind w:right="144"/>
              <w:jc w:val="right"/>
              <w:cnfStyle w:val="000000010000"/>
              <w:rPr>
                <w:rFonts w:ascii="Arial" w:hAnsi="Arial" w:cs="Arial"/>
                <w:sz w:val="18"/>
                <w:szCs w:val="18"/>
              </w:rPr>
            </w:pPr>
            <w:r w:rsidRPr="00B2521C">
              <w:rPr>
                <w:rFonts w:ascii="Arial" w:hAnsi="Arial" w:cs="Arial"/>
                <w:bCs/>
                <w:sz w:val="18"/>
                <w:szCs w:val="18"/>
              </w:rPr>
              <w:t>48.8</w:t>
            </w:r>
          </w:p>
        </w:tc>
        <w:tc>
          <w:tcPr>
            <w:tcW w:w="1116"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 xml:space="preserve">817   </w:t>
            </w:r>
          </w:p>
        </w:tc>
        <w:tc>
          <w:tcPr>
            <w:tcW w:w="1134" w:type="dxa"/>
            <w:shd w:val="clear" w:color="auto" w:fill="FFFFFF" w:themeFill="background1"/>
          </w:tcPr>
          <w:p w:rsidR="00B2521C" w:rsidRPr="00B2521C" w:rsidRDefault="00B2521C" w:rsidP="00324FD4">
            <w:pPr>
              <w:keepNext/>
              <w:keepLines/>
              <w:spacing w:after="0"/>
              <w:ind w:right="144"/>
              <w:jc w:val="right"/>
              <w:cnfStyle w:val="000000010000"/>
              <w:rPr>
                <w:rFonts w:ascii="Arial" w:eastAsia="Arial" w:hAnsi="Arial" w:cs="Arial"/>
                <w:bCs/>
                <w:sz w:val="18"/>
                <w:szCs w:val="18"/>
              </w:rPr>
            </w:pPr>
            <w:r w:rsidRPr="00B2521C">
              <w:rPr>
                <w:rFonts w:ascii="Arial" w:hAnsi="Arial" w:cs="Arial"/>
                <w:bCs/>
                <w:sz w:val="18"/>
                <w:szCs w:val="18"/>
              </w:rPr>
              <w:t>29.2</w:t>
            </w:r>
          </w:p>
        </w:tc>
      </w:tr>
      <w:tr w:rsidR="00AE719C" w:rsidRPr="00B2521C" w:rsidTr="00685DA8">
        <w:trPr>
          <w:cnfStyle w:val="000000100000"/>
          <w:trHeight w:val="337"/>
        </w:trPr>
        <w:tc>
          <w:tcPr>
            <w:cnfStyle w:val="001000000000"/>
            <w:tcW w:w="1170" w:type="dxa"/>
            <w:shd w:val="clear" w:color="auto" w:fill="FBCE76" w:themeFill="background2" w:themeFillTint="99"/>
            <w:tcMar>
              <w:left w:w="115" w:type="dxa"/>
            </w:tcMar>
          </w:tcPr>
          <w:p w:rsidR="00B2521C" w:rsidRPr="00B2521C" w:rsidRDefault="00B2521C" w:rsidP="00685DA8">
            <w:pPr>
              <w:keepNext/>
              <w:keepLines/>
              <w:spacing w:after="0"/>
              <w:jc w:val="both"/>
              <w:rPr>
                <w:rFonts w:ascii="Arial" w:hAnsi="Arial" w:cs="Arial"/>
                <w:bCs w:val="0"/>
                <w:sz w:val="18"/>
                <w:szCs w:val="18"/>
              </w:rPr>
            </w:pPr>
            <w:r w:rsidRPr="00B2521C">
              <w:rPr>
                <w:rFonts w:ascii="Arial" w:hAnsi="Arial" w:cs="Arial"/>
                <w:sz w:val="18"/>
                <w:szCs w:val="18"/>
              </w:rPr>
              <w:t>Total</w:t>
            </w:r>
            <w:r w:rsidRPr="00B2521C">
              <w:rPr>
                <w:rFonts w:ascii="Arial" w:hAnsi="Arial" w:cs="Arial"/>
                <w:sz w:val="18"/>
                <w:szCs w:val="18"/>
                <w:vertAlign w:val="superscript"/>
              </w:rPr>
              <w:t>(a)</w:t>
            </w:r>
          </w:p>
        </w:tc>
        <w:tc>
          <w:tcPr>
            <w:tcW w:w="1080" w:type="dxa"/>
            <w:shd w:val="clear" w:color="auto" w:fill="FBCE76" w:themeFill="background2" w:themeFillTint="99"/>
            <w:noWrap/>
          </w:tcPr>
          <w:p w:rsidR="00B2521C" w:rsidRPr="00B2521C" w:rsidRDefault="00B2521C" w:rsidP="00324FD4">
            <w:pPr>
              <w:keepNext/>
              <w:keepLines/>
              <w:spacing w:after="0"/>
              <w:ind w:right="144"/>
              <w:jc w:val="right"/>
              <w:cnfStyle w:val="000000100000"/>
              <w:rPr>
                <w:rFonts w:ascii="Arial" w:hAnsi="Arial" w:cs="Arial"/>
                <w:b/>
                <w:bCs/>
                <w:sz w:val="18"/>
                <w:szCs w:val="18"/>
              </w:rPr>
            </w:pPr>
            <w:r w:rsidRPr="00B2521C">
              <w:rPr>
                <w:rFonts w:ascii="Arial" w:hAnsi="Arial" w:cs="Arial"/>
                <w:b/>
                <w:bCs/>
                <w:sz w:val="18"/>
                <w:szCs w:val="18"/>
              </w:rPr>
              <w:t>900</w:t>
            </w:r>
          </w:p>
        </w:tc>
        <w:tc>
          <w:tcPr>
            <w:tcW w:w="1098" w:type="dxa"/>
            <w:shd w:val="clear" w:color="auto" w:fill="FBCE76" w:themeFill="background2" w:themeFillTint="99"/>
          </w:tcPr>
          <w:p w:rsidR="00B2521C" w:rsidRPr="00B2521C" w:rsidRDefault="00B2521C" w:rsidP="00324FD4">
            <w:pPr>
              <w:keepNext/>
              <w:keepLines/>
              <w:spacing w:after="0"/>
              <w:ind w:right="144"/>
              <w:jc w:val="right"/>
              <w:cnfStyle w:val="000000100000"/>
              <w:rPr>
                <w:rFonts w:ascii="Arial" w:hAnsi="Arial" w:cs="Arial"/>
                <w:b/>
                <w:bCs/>
                <w:sz w:val="18"/>
                <w:szCs w:val="18"/>
              </w:rPr>
            </w:pPr>
            <w:r w:rsidRPr="00B2521C">
              <w:rPr>
                <w:rFonts w:ascii="Arial" w:hAnsi="Arial" w:cs="Arial"/>
                <w:b/>
                <w:bCs/>
                <w:sz w:val="18"/>
                <w:szCs w:val="18"/>
              </w:rPr>
              <w:t>100</w:t>
            </w:r>
          </w:p>
        </w:tc>
        <w:tc>
          <w:tcPr>
            <w:tcW w:w="1170" w:type="dxa"/>
            <w:shd w:val="clear" w:color="auto" w:fill="FBCE76" w:themeFill="background2" w:themeFillTint="99"/>
          </w:tcPr>
          <w:p w:rsidR="00B2521C" w:rsidRPr="00B2521C" w:rsidRDefault="00B2521C" w:rsidP="00324FD4">
            <w:pPr>
              <w:keepNext/>
              <w:keepLines/>
              <w:spacing w:after="0"/>
              <w:ind w:right="144"/>
              <w:jc w:val="right"/>
              <w:cnfStyle w:val="000000100000"/>
              <w:rPr>
                <w:rFonts w:ascii="Arial" w:hAnsi="Arial" w:cs="Arial"/>
                <w:b/>
                <w:bCs/>
                <w:sz w:val="18"/>
                <w:szCs w:val="18"/>
              </w:rPr>
            </w:pPr>
            <w:r w:rsidRPr="00B2521C">
              <w:rPr>
                <w:rFonts w:ascii="Arial" w:hAnsi="Arial" w:cs="Arial"/>
                <w:b/>
                <w:bCs/>
                <w:sz w:val="18"/>
                <w:szCs w:val="18"/>
              </w:rPr>
              <w:t>3,134</w:t>
            </w:r>
          </w:p>
        </w:tc>
        <w:tc>
          <w:tcPr>
            <w:tcW w:w="1080" w:type="dxa"/>
            <w:shd w:val="clear" w:color="auto" w:fill="FBCE76" w:themeFill="background2" w:themeFillTint="99"/>
          </w:tcPr>
          <w:p w:rsidR="00B2521C" w:rsidRPr="00B2521C" w:rsidRDefault="00B2521C" w:rsidP="00324FD4">
            <w:pPr>
              <w:keepNext/>
              <w:keepLines/>
              <w:spacing w:after="0"/>
              <w:ind w:right="144"/>
              <w:jc w:val="right"/>
              <w:cnfStyle w:val="000000100000"/>
              <w:rPr>
                <w:rFonts w:ascii="Arial" w:hAnsi="Arial" w:cs="Arial"/>
                <w:b/>
                <w:bCs/>
                <w:sz w:val="18"/>
                <w:szCs w:val="18"/>
              </w:rPr>
            </w:pPr>
            <w:r w:rsidRPr="00B2521C">
              <w:rPr>
                <w:rFonts w:ascii="Arial" w:hAnsi="Arial" w:cs="Arial"/>
                <w:b/>
                <w:bCs/>
                <w:sz w:val="18"/>
                <w:szCs w:val="18"/>
              </w:rPr>
              <w:t>100</w:t>
            </w:r>
          </w:p>
        </w:tc>
        <w:tc>
          <w:tcPr>
            <w:tcW w:w="1116" w:type="dxa"/>
            <w:shd w:val="clear" w:color="auto" w:fill="FBCE76" w:themeFill="background2" w:themeFillTint="99"/>
          </w:tcPr>
          <w:p w:rsidR="00B2521C" w:rsidRPr="00B2521C" w:rsidRDefault="00B2521C" w:rsidP="00324FD4">
            <w:pPr>
              <w:keepNext/>
              <w:keepLines/>
              <w:spacing w:after="0"/>
              <w:ind w:right="144"/>
              <w:jc w:val="right"/>
              <w:cnfStyle w:val="000000100000"/>
              <w:rPr>
                <w:rFonts w:ascii="Arial" w:eastAsia="Arial" w:hAnsi="Arial" w:cs="Arial"/>
                <w:b/>
                <w:bCs/>
                <w:sz w:val="18"/>
                <w:szCs w:val="18"/>
              </w:rPr>
            </w:pPr>
            <w:r w:rsidRPr="00B2521C">
              <w:rPr>
                <w:rFonts w:ascii="Arial" w:hAnsi="Arial" w:cs="Arial"/>
                <w:b/>
                <w:bCs/>
                <w:sz w:val="18"/>
                <w:szCs w:val="18"/>
              </w:rPr>
              <w:t>2,797</w:t>
            </w:r>
          </w:p>
        </w:tc>
        <w:tc>
          <w:tcPr>
            <w:tcW w:w="1134" w:type="dxa"/>
            <w:shd w:val="clear" w:color="auto" w:fill="FBCE76" w:themeFill="background2" w:themeFillTint="99"/>
          </w:tcPr>
          <w:p w:rsidR="00B2521C" w:rsidRPr="00B2521C" w:rsidRDefault="00B2521C" w:rsidP="00324FD4">
            <w:pPr>
              <w:keepNext/>
              <w:keepLines/>
              <w:spacing w:after="0"/>
              <w:ind w:right="144"/>
              <w:jc w:val="right"/>
              <w:cnfStyle w:val="000000100000"/>
              <w:rPr>
                <w:rFonts w:ascii="Arial" w:eastAsia="Arial" w:hAnsi="Arial" w:cs="Arial"/>
                <w:b/>
                <w:bCs/>
                <w:sz w:val="18"/>
                <w:szCs w:val="18"/>
              </w:rPr>
            </w:pPr>
            <w:r w:rsidRPr="00B2521C">
              <w:rPr>
                <w:rFonts w:ascii="Arial" w:hAnsi="Arial" w:cs="Arial"/>
                <w:b/>
                <w:bCs/>
                <w:sz w:val="18"/>
                <w:szCs w:val="18"/>
              </w:rPr>
              <w:t>100</w:t>
            </w:r>
          </w:p>
        </w:tc>
      </w:tr>
    </w:tbl>
    <w:p w:rsidR="004E3B8A" w:rsidRDefault="00F31AF8" w:rsidP="00AE719C">
      <w:pPr>
        <w:keepNext/>
        <w:keepLines/>
        <w:spacing w:before="120" w:after="0" w:line="240" w:lineRule="auto"/>
        <w:ind w:left="810"/>
        <w:rPr>
          <w:rFonts w:ascii="Arial" w:hAnsi="Arial" w:cs="Arial"/>
          <w:sz w:val="16"/>
          <w:szCs w:val="16"/>
        </w:rPr>
      </w:pPr>
      <w:r w:rsidRPr="00F31AF8">
        <w:rPr>
          <w:rFonts w:ascii="Arial" w:hAnsi="Arial" w:cs="Arial"/>
          <w:sz w:val="16"/>
          <w:szCs w:val="16"/>
        </w:rPr>
        <w:t>(a)</w:t>
      </w:r>
      <w:r w:rsidR="009F280F">
        <w:rPr>
          <w:rFonts w:ascii="Arial" w:hAnsi="Arial" w:cs="Arial"/>
          <w:b/>
          <w:sz w:val="16"/>
          <w:szCs w:val="16"/>
        </w:rPr>
        <w:t xml:space="preserve"> </w:t>
      </w:r>
      <w:r w:rsidR="004E3B8A" w:rsidRPr="008610C3">
        <w:rPr>
          <w:rFonts w:ascii="Arial" w:hAnsi="Arial" w:cs="Arial"/>
          <w:sz w:val="16"/>
          <w:szCs w:val="16"/>
        </w:rPr>
        <w:t xml:space="preserve">The totals may not equal the sum of the rows </w:t>
      </w:r>
      <w:r w:rsidR="004E3B8A">
        <w:rPr>
          <w:rFonts w:ascii="Arial" w:hAnsi="Arial" w:cs="Arial"/>
          <w:sz w:val="16"/>
          <w:szCs w:val="16"/>
        </w:rPr>
        <w:t xml:space="preserve">because of </w:t>
      </w:r>
      <w:r w:rsidR="004E3B8A" w:rsidRPr="008610C3">
        <w:rPr>
          <w:rFonts w:ascii="Arial" w:hAnsi="Arial" w:cs="Arial"/>
          <w:sz w:val="16"/>
          <w:szCs w:val="16"/>
        </w:rPr>
        <w:t>rounding</w:t>
      </w:r>
      <w:r w:rsidR="004E3B8A">
        <w:rPr>
          <w:rFonts w:ascii="Arial" w:hAnsi="Arial" w:cs="Arial"/>
          <w:sz w:val="16"/>
          <w:szCs w:val="16"/>
        </w:rPr>
        <w:t>.</w:t>
      </w:r>
      <w:r w:rsidR="004E3B8A" w:rsidRPr="008610C3">
        <w:rPr>
          <w:rFonts w:ascii="Arial" w:hAnsi="Arial" w:cs="Arial"/>
          <w:sz w:val="16"/>
          <w:szCs w:val="16"/>
        </w:rPr>
        <w:t xml:space="preserve"> </w:t>
      </w:r>
    </w:p>
    <w:p w:rsidR="004E3B8A" w:rsidRDefault="004E3B8A" w:rsidP="004E3B8A"/>
    <w:p w:rsidR="00FC0261" w:rsidRDefault="004E3B8A" w:rsidP="00235A65">
      <w:pPr>
        <w:pStyle w:val="Heading4"/>
      </w:pPr>
      <w:bookmarkStart w:id="242" w:name="_Toc201669927"/>
      <w:bookmarkStart w:id="243" w:name="_Ref202089312"/>
      <w:bookmarkStart w:id="244" w:name="_Toc207531827"/>
      <w:r w:rsidRPr="00CB0D19">
        <w:t xml:space="preserve">Capacity Supply Obligations for </w:t>
      </w:r>
      <w:r>
        <w:t xml:space="preserve">the First Three </w:t>
      </w:r>
      <w:r w:rsidRPr="00CB0D19">
        <w:t>FCA</w:t>
      </w:r>
      <w:r>
        <w:t>s</w:t>
      </w:r>
    </w:p>
    <w:p w:rsidR="004E3B8A" w:rsidRPr="0010265F" w:rsidRDefault="00832C7A" w:rsidP="004E3B8A">
      <w:fldSimple w:instr=" REF _Ref229902195 \h  \* MERGEFORMAT ">
        <w:r w:rsidR="00E5699E">
          <w:t>Table 4</w:t>
        </w:r>
        <w:r w:rsidR="00E5699E">
          <w:noBreakHyphen/>
          <w:t>4</w:t>
        </w:r>
      </w:fldSimple>
      <w:bookmarkStart w:id="245" w:name="_Ref234901296"/>
      <w:bookmarkStart w:id="246" w:name="_Toc239157064"/>
      <w:r w:rsidR="008C6AD9">
        <w:t xml:space="preserve"> </w:t>
      </w:r>
      <w:r w:rsidR="004E3B8A" w:rsidRPr="00525A8A">
        <w:t>shows the results of the FCA</w:t>
      </w:r>
      <w:r w:rsidR="00B81B7E">
        <w:t>s</w:t>
      </w:r>
      <w:r w:rsidR="004E3B8A" w:rsidRPr="00525A8A">
        <w:t xml:space="preserve"> for 2010/2011, 2011/201</w:t>
      </w:r>
      <w:bookmarkEnd w:id="242"/>
      <w:bookmarkEnd w:id="243"/>
      <w:bookmarkEnd w:id="244"/>
      <w:r w:rsidR="004E3B8A" w:rsidRPr="00525A8A">
        <w:t>2</w:t>
      </w:r>
      <w:bookmarkEnd w:id="245"/>
      <w:bookmarkEnd w:id="246"/>
      <w:r w:rsidR="004E3B8A" w:rsidRPr="00525A8A">
        <w:t>, and 2012/2013</w:t>
      </w:r>
      <w:r w:rsidR="004E3B8A" w:rsidRPr="00787DA8">
        <w:t xml:space="preserve"> and </w:t>
      </w:r>
      <w:r w:rsidR="004E3B8A" w:rsidRPr="00525A8A">
        <w:t>provides the capacity supply obligation totals (i.e., the total amount procured) for FCA #1, #2, and #3.</w:t>
      </w:r>
      <w:r w:rsidR="004E3B8A">
        <w:t xml:space="preserve"> </w:t>
      </w:r>
      <w:r w:rsidR="004E3B8A" w:rsidRPr="008610C3">
        <w:t>This table</w:t>
      </w:r>
      <w:r w:rsidR="004E3B8A">
        <w:t xml:space="preserve"> </w:t>
      </w:r>
      <w:r w:rsidR="004E3B8A" w:rsidRPr="0023239B">
        <w:t>also</w:t>
      </w:r>
      <w:r w:rsidR="004E3B8A">
        <w:t xml:space="preserve"> includes some details on the </w:t>
      </w:r>
      <w:r w:rsidR="004E3B8A" w:rsidRPr="00A878C5">
        <w:t xml:space="preserve">types of capacity obligations procured, including </w:t>
      </w:r>
      <w:r w:rsidR="004E3B8A" w:rsidRPr="00C22A1B">
        <w:t xml:space="preserve">the </w:t>
      </w:r>
      <w:r w:rsidR="004E3B8A" w:rsidRPr="00C22A1B">
        <w:rPr>
          <w:rFonts w:eastAsia="Calibri"/>
        </w:rPr>
        <w:t>total real-time emergency generation,</w:t>
      </w:r>
      <w:r w:rsidR="004E3B8A" w:rsidRPr="00C22A1B">
        <w:t xml:space="preserve"> self</w:t>
      </w:r>
      <w:r w:rsidR="004E3B8A" w:rsidRPr="000458F2">
        <w:t>-</w:t>
      </w:r>
      <w:r w:rsidR="004E3B8A" w:rsidRPr="00D8263A">
        <w:t xml:space="preserve">supply </w:t>
      </w:r>
      <w:r w:rsidR="004E3B8A">
        <w:t xml:space="preserve">obligation </w:t>
      </w:r>
      <w:r w:rsidR="004E3B8A" w:rsidRPr="00D8263A">
        <w:t>values</w:t>
      </w:r>
      <w:r w:rsidR="004E3B8A">
        <w:t xml:space="preserve"> that reflect bilateral capacity arrangements, and import capacity supply obligations from </w:t>
      </w:r>
      <w:r w:rsidR="004E3B8A" w:rsidRPr="0023239B">
        <w:t xml:space="preserve">neighboring </w:t>
      </w:r>
      <w:r w:rsidR="004E3B8A">
        <w:t>b</w:t>
      </w:r>
      <w:r w:rsidR="004E3B8A" w:rsidRPr="0023239B">
        <w:t xml:space="preserve">alancing </w:t>
      </w:r>
      <w:r w:rsidR="004E3B8A">
        <w:t>a</w:t>
      </w:r>
      <w:r w:rsidR="004E3B8A" w:rsidRPr="0023239B">
        <w:t xml:space="preserve">uthority </w:t>
      </w:r>
      <w:r w:rsidR="004E3B8A">
        <w:t>a</w:t>
      </w:r>
      <w:r w:rsidR="004E3B8A" w:rsidRPr="0023239B">
        <w:t>reas</w:t>
      </w:r>
      <w:r w:rsidR="004E3B8A" w:rsidRPr="00194CAE">
        <w:t xml:space="preserve">. </w:t>
      </w:r>
      <w:r w:rsidR="004E3B8A" w:rsidRPr="0010265F">
        <w:t xml:space="preserve">Comparisons of the results of the </w:t>
      </w:r>
      <w:r w:rsidR="004E3B8A">
        <w:t>third</w:t>
      </w:r>
      <w:r w:rsidR="004E3B8A" w:rsidRPr="0010265F">
        <w:t xml:space="preserve"> FCA with representative future net ICR values show when the region </w:t>
      </w:r>
      <w:r w:rsidR="004E3B8A">
        <w:t>may</w:t>
      </w:r>
      <w:r w:rsidR="004E3B8A" w:rsidRPr="0010265F">
        <w:t xml:space="preserve"> need capacity or </w:t>
      </w:r>
      <w:r w:rsidR="00B81B7E">
        <w:t>have a</w:t>
      </w:r>
      <w:r w:rsidR="004E3B8A" w:rsidRPr="0010265F">
        <w:t xml:space="preserve"> surplus in the future. Subsequent auctions will procure resources to address any needs </w:t>
      </w:r>
      <w:r w:rsidR="004E3B8A" w:rsidRPr="00CB0D19">
        <w:t xml:space="preserve">identified in the future. </w:t>
      </w:r>
    </w:p>
    <w:p w:rsidR="004E3B8A" w:rsidRDefault="004E3B8A" w:rsidP="004E3B8A">
      <w:pPr>
        <w:pStyle w:val="Caption"/>
      </w:pPr>
      <w:bookmarkStart w:id="247" w:name="_Ref229902195"/>
      <w:bookmarkStart w:id="248" w:name="_Toc200440151"/>
      <w:bookmarkStart w:id="249" w:name="_Toc207531972"/>
      <w:bookmarkStart w:id="250" w:name="_Toc239157218"/>
      <w:bookmarkStart w:id="251" w:name="_Toc271552405"/>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4</w:t>
      </w:r>
      <w:r w:rsidR="00832C7A">
        <w:fldChar w:fldCharType="end"/>
      </w:r>
      <w:bookmarkEnd w:id="247"/>
      <w:r w:rsidRPr="00621CD2">
        <w:br/>
      </w:r>
      <w:r w:rsidRPr="0010265F">
        <w:rPr>
          <w:rFonts w:cs="Arial"/>
        </w:rPr>
        <w:t>Summary of the First</w:t>
      </w:r>
      <w:r>
        <w:rPr>
          <w:rFonts w:cs="Arial"/>
        </w:rPr>
        <w:t>,</w:t>
      </w:r>
      <w:r w:rsidRPr="0010265F">
        <w:rPr>
          <w:rFonts w:cs="Arial"/>
        </w:rPr>
        <w:t xml:space="preserve"> Second</w:t>
      </w:r>
      <w:r>
        <w:rPr>
          <w:rFonts w:cs="Arial"/>
        </w:rPr>
        <w:t>, and Third</w:t>
      </w:r>
      <w:r w:rsidRPr="0010265F">
        <w:rPr>
          <w:rFonts w:cs="Arial"/>
        </w:rPr>
        <w:t xml:space="preserve"> FCA Obligation</w:t>
      </w:r>
      <w:r>
        <w:rPr>
          <w:rFonts w:cs="Arial"/>
        </w:rPr>
        <w:t>s</w:t>
      </w:r>
      <w:r w:rsidR="00A047CC">
        <w:rPr>
          <w:rFonts w:cs="Arial"/>
        </w:rPr>
        <w:t xml:space="preserve"> (MW)</w:t>
      </w:r>
      <w:r w:rsidRPr="00892499">
        <w:rPr>
          <w:rFonts w:cs="Arial"/>
          <w:vertAlign w:val="superscript"/>
        </w:rPr>
        <w:t>(a)</w:t>
      </w:r>
      <w:bookmarkEnd w:id="248"/>
      <w:bookmarkEnd w:id="249"/>
      <w:bookmarkEnd w:id="250"/>
      <w:bookmarkEnd w:id="251"/>
    </w:p>
    <w:tbl>
      <w:tblPr>
        <w:tblStyle w:val="MediumShading1-Accent12"/>
        <w:tblW w:w="985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1238"/>
        <w:gridCol w:w="1080"/>
        <w:gridCol w:w="997"/>
        <w:gridCol w:w="1090"/>
        <w:gridCol w:w="1090"/>
        <w:gridCol w:w="1090"/>
        <w:gridCol w:w="1090"/>
        <w:gridCol w:w="1090"/>
        <w:gridCol w:w="1090"/>
      </w:tblGrid>
      <w:tr w:rsidR="004E3B8A" w:rsidRPr="00523DE8" w:rsidTr="00341886">
        <w:trPr>
          <w:cnfStyle w:val="100000000000"/>
          <w:trHeight w:val="962"/>
        </w:trPr>
        <w:tc>
          <w:tcPr>
            <w:cnfStyle w:val="001000000100"/>
            <w:tcW w:w="1238" w:type="dxa"/>
            <w:shd w:val="clear" w:color="auto" w:fill="FBCE76" w:themeFill="background2" w:themeFillTint="99"/>
            <w:tcMar>
              <w:top w:w="43" w:type="dxa"/>
              <w:bottom w:w="43" w:type="dxa"/>
            </w:tcMar>
          </w:tcPr>
          <w:p w:rsidR="004E3B8A" w:rsidRPr="00523DE8" w:rsidRDefault="004E3B8A" w:rsidP="006D47E5">
            <w:pPr>
              <w:keepNext/>
              <w:keepLines/>
              <w:spacing w:after="0"/>
              <w:jc w:val="center"/>
              <w:rPr>
                <w:rFonts w:ascii="Arial" w:hAnsi="Arial" w:cs="Arial"/>
                <w:bCs w:val="0"/>
                <w:color w:val="000000" w:themeColor="text1"/>
                <w:sz w:val="18"/>
                <w:szCs w:val="18"/>
              </w:rPr>
            </w:pPr>
            <w:r w:rsidRPr="00523DE8">
              <w:rPr>
                <w:rFonts w:ascii="Arial" w:hAnsi="Arial" w:cs="Arial"/>
                <w:bCs w:val="0"/>
                <w:color w:val="000000" w:themeColor="text1"/>
                <w:sz w:val="18"/>
                <w:szCs w:val="18"/>
              </w:rPr>
              <w:t>Commitment Period</w:t>
            </w:r>
          </w:p>
        </w:tc>
        <w:tc>
          <w:tcPr>
            <w:tcW w:w="108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ICR</w:t>
            </w:r>
          </w:p>
        </w:tc>
        <w:tc>
          <w:tcPr>
            <w:tcW w:w="997"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HQICC</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Net ICR</w:t>
            </w:r>
            <w:r w:rsidRPr="00523DE8">
              <w:rPr>
                <w:rFonts w:ascii="Arial" w:hAnsi="Arial" w:cs="Arial"/>
                <w:bCs w:val="0"/>
                <w:color w:val="000000" w:themeColor="text1"/>
                <w:sz w:val="18"/>
                <w:szCs w:val="18"/>
                <w:vertAlign w:val="superscript"/>
              </w:rPr>
              <w:t>(b)</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Capacity Supply Obligation</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color w:val="000000" w:themeColor="text1"/>
                <w:sz w:val="18"/>
                <w:szCs w:val="18"/>
              </w:rPr>
              <w:t>RTEG</w:t>
            </w:r>
            <w:r w:rsidRPr="00523DE8">
              <w:rPr>
                <w:rFonts w:ascii="Arial" w:hAnsi="Arial" w:cs="Arial"/>
                <w:bCs w:val="0"/>
                <w:color w:val="000000" w:themeColor="text1"/>
                <w:sz w:val="18"/>
                <w:szCs w:val="18"/>
              </w:rPr>
              <w:t xml:space="preserve"> Capacity Supply Obligation</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RTEG Utilization Ratio</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Self-Supply Obligation</w:t>
            </w:r>
          </w:p>
        </w:tc>
        <w:tc>
          <w:tcPr>
            <w:tcW w:w="1090" w:type="dxa"/>
            <w:shd w:val="clear" w:color="auto" w:fill="FBCE76" w:themeFill="background2" w:themeFillTint="99"/>
            <w:tcMar>
              <w:top w:w="43" w:type="dxa"/>
              <w:bottom w:w="43" w:type="dxa"/>
            </w:tcMar>
          </w:tcPr>
          <w:p w:rsidR="004E3B8A" w:rsidRPr="00523DE8" w:rsidRDefault="004E3B8A"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Import Capacity Supply Obligation</w:t>
            </w:r>
          </w:p>
        </w:tc>
      </w:tr>
      <w:tr w:rsidR="004E3B8A" w:rsidRPr="00954175" w:rsidTr="00341886">
        <w:trPr>
          <w:cnfStyle w:val="000000100000"/>
          <w:trHeight w:val="253"/>
        </w:trPr>
        <w:tc>
          <w:tcPr>
            <w:cnfStyle w:val="001000000000"/>
            <w:tcW w:w="1238" w:type="dxa"/>
            <w:noWrap/>
            <w:tcMar>
              <w:top w:w="43" w:type="dxa"/>
              <w:bottom w:w="43" w:type="dxa"/>
            </w:tcMar>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2010/2011</w:t>
            </w:r>
          </w:p>
        </w:tc>
        <w:tc>
          <w:tcPr>
            <w:tcW w:w="108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33,705</w:t>
            </w:r>
            <w:r w:rsidRPr="00954175">
              <w:rPr>
                <w:rFonts w:ascii="Arial" w:hAnsi="Arial" w:cs="Arial"/>
                <w:sz w:val="18"/>
                <w:szCs w:val="18"/>
                <w:vertAlign w:val="superscript"/>
              </w:rPr>
              <w:t>(</w:t>
            </w:r>
            <w:r>
              <w:rPr>
                <w:rFonts w:ascii="Arial" w:hAnsi="Arial" w:cs="Arial"/>
                <w:sz w:val="18"/>
                <w:szCs w:val="18"/>
                <w:vertAlign w:val="superscript"/>
              </w:rPr>
              <w:t>c</w:t>
            </w:r>
            <w:r w:rsidRPr="00954175">
              <w:rPr>
                <w:rFonts w:ascii="Arial" w:hAnsi="Arial" w:cs="Arial"/>
                <w:sz w:val="18"/>
                <w:szCs w:val="18"/>
                <w:vertAlign w:val="superscript"/>
              </w:rPr>
              <w:t>)</w:t>
            </w:r>
          </w:p>
        </w:tc>
        <w:tc>
          <w:tcPr>
            <w:tcW w:w="997"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1,400</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32,305</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34,077</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875</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0.686</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1,593</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934</w:t>
            </w:r>
          </w:p>
        </w:tc>
      </w:tr>
      <w:tr w:rsidR="004E3B8A" w:rsidRPr="00954175" w:rsidTr="00341886">
        <w:trPr>
          <w:cnfStyle w:val="000000010000"/>
          <w:trHeight w:val="253"/>
        </w:trPr>
        <w:tc>
          <w:tcPr>
            <w:cnfStyle w:val="001000000000"/>
            <w:tcW w:w="1238" w:type="dxa"/>
            <w:shd w:val="clear" w:color="auto" w:fill="FDEED1" w:themeFill="background2" w:themeFillTint="33"/>
            <w:noWrap/>
            <w:tcMar>
              <w:top w:w="43" w:type="dxa"/>
              <w:bottom w:w="43" w:type="dxa"/>
            </w:tcMar>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2011/2012</w:t>
            </w:r>
          </w:p>
        </w:tc>
        <w:tc>
          <w:tcPr>
            <w:tcW w:w="108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33,439</w:t>
            </w:r>
            <w:r>
              <w:rPr>
                <w:rFonts w:ascii="Arial" w:hAnsi="Arial" w:cs="Arial"/>
                <w:sz w:val="18"/>
                <w:szCs w:val="18"/>
                <w:vertAlign w:val="superscript"/>
              </w:rPr>
              <w:t>(d</w:t>
            </w:r>
            <w:r w:rsidRPr="00954175">
              <w:rPr>
                <w:rFonts w:ascii="Arial" w:hAnsi="Arial" w:cs="Arial"/>
                <w:sz w:val="18"/>
                <w:szCs w:val="18"/>
                <w:vertAlign w:val="superscript"/>
              </w:rPr>
              <w:t>)</w:t>
            </w:r>
          </w:p>
        </w:tc>
        <w:tc>
          <w:tcPr>
            <w:tcW w:w="997"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911</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32,528</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37,283</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759</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0.791</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1,696</w:t>
            </w:r>
          </w:p>
        </w:tc>
        <w:tc>
          <w:tcPr>
            <w:tcW w:w="1090" w:type="dxa"/>
            <w:shd w:val="clear" w:color="auto" w:fill="FDEED1" w:themeFill="background2" w:themeFillTint="33"/>
            <w:noWrap/>
            <w:tcMar>
              <w:top w:w="43" w:type="dxa"/>
              <w:bottom w:w="43" w:type="dxa"/>
            </w:tcMar>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2,298</w:t>
            </w:r>
          </w:p>
        </w:tc>
      </w:tr>
      <w:tr w:rsidR="004E3B8A" w:rsidRPr="00954175" w:rsidTr="00341886">
        <w:trPr>
          <w:cnfStyle w:val="000000100000"/>
          <w:trHeight w:val="253"/>
        </w:trPr>
        <w:tc>
          <w:tcPr>
            <w:cnfStyle w:val="001000000000"/>
            <w:tcW w:w="1238" w:type="dxa"/>
            <w:noWrap/>
            <w:tcMar>
              <w:top w:w="43" w:type="dxa"/>
              <w:bottom w:w="43" w:type="dxa"/>
            </w:tcMar>
          </w:tcPr>
          <w:p w:rsidR="004E3B8A" w:rsidRPr="00954175" w:rsidRDefault="004E3B8A" w:rsidP="006D47E5">
            <w:pPr>
              <w:keepNext/>
              <w:keepLines/>
              <w:spacing w:after="0"/>
              <w:rPr>
                <w:rFonts w:ascii="Arial" w:hAnsi="Arial" w:cs="Arial"/>
                <w:sz w:val="18"/>
                <w:szCs w:val="18"/>
              </w:rPr>
            </w:pPr>
            <w:r>
              <w:rPr>
                <w:rFonts w:ascii="Arial" w:hAnsi="Arial" w:cs="Arial"/>
                <w:sz w:val="18"/>
                <w:szCs w:val="18"/>
              </w:rPr>
              <w:t>2012/2013</w:t>
            </w:r>
          </w:p>
        </w:tc>
        <w:tc>
          <w:tcPr>
            <w:tcW w:w="1080" w:type="dxa"/>
            <w:noWrap/>
            <w:tcMar>
              <w:top w:w="43" w:type="dxa"/>
              <w:bottom w:w="43" w:type="dxa"/>
            </w:tcMar>
          </w:tcPr>
          <w:p w:rsidR="00CD46CA" w:rsidRDefault="004E3B8A">
            <w:pPr>
              <w:keepNext/>
              <w:keepLines/>
              <w:spacing w:after="0"/>
              <w:ind w:right="144"/>
              <w:cnfStyle w:val="000000100000"/>
              <w:rPr>
                <w:rFonts w:ascii="Arial" w:hAnsi="Arial" w:cs="Arial"/>
                <w:sz w:val="18"/>
                <w:szCs w:val="18"/>
              </w:rPr>
            </w:pPr>
            <w:r>
              <w:rPr>
                <w:rFonts w:ascii="Arial" w:hAnsi="Arial" w:cs="Arial"/>
                <w:sz w:val="18"/>
                <w:szCs w:val="18"/>
              </w:rPr>
              <w:t>32,879</w:t>
            </w:r>
          </w:p>
        </w:tc>
        <w:tc>
          <w:tcPr>
            <w:tcW w:w="997"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914</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31,965</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36,996</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630</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0.952</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1,935</w:t>
            </w:r>
          </w:p>
        </w:tc>
        <w:tc>
          <w:tcPr>
            <w:tcW w:w="1090" w:type="dxa"/>
            <w:noWrap/>
            <w:tcMar>
              <w:top w:w="43" w:type="dxa"/>
              <w:bottom w:w="43" w:type="dxa"/>
            </w:tcMar>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1,900</w:t>
            </w:r>
          </w:p>
        </w:tc>
      </w:tr>
    </w:tbl>
    <w:p w:rsidR="004E3B8A" w:rsidRPr="00DB20B4" w:rsidRDefault="004E3B8A" w:rsidP="00BB34F0">
      <w:pPr>
        <w:keepNext/>
        <w:keepLines/>
        <w:numPr>
          <w:ilvl w:val="1"/>
          <w:numId w:val="36"/>
        </w:numPr>
        <w:tabs>
          <w:tab w:val="left" w:pos="90"/>
        </w:tabs>
        <w:spacing w:before="120" w:after="80" w:line="240" w:lineRule="auto"/>
        <w:ind w:left="0" w:right="-288" w:hanging="274"/>
        <w:rPr>
          <w:rFonts w:ascii="Arial" w:hAnsi="Arial" w:cs="Arial"/>
          <w:bCs/>
          <w:color w:val="000000" w:themeColor="text1"/>
          <w:sz w:val="16"/>
          <w:szCs w:val="16"/>
        </w:rPr>
      </w:pPr>
      <w:r w:rsidRPr="00525A8A">
        <w:rPr>
          <w:rFonts w:ascii="Arial" w:eastAsia="Times New Roman" w:hAnsi="Arial" w:cs="Arial"/>
          <w:sz w:val="16"/>
          <w:szCs w:val="16"/>
        </w:rPr>
        <w:t xml:space="preserve">Information regarding the results of annual </w:t>
      </w:r>
      <w:r w:rsidRPr="00525A8A">
        <w:rPr>
          <w:rFonts w:ascii="Arial" w:hAnsi="Arial" w:cs="Arial"/>
          <w:sz w:val="16"/>
          <w:szCs w:val="16"/>
        </w:rPr>
        <w:t>r</w:t>
      </w:r>
      <w:r w:rsidRPr="00525A8A">
        <w:rPr>
          <w:rFonts w:ascii="Arial" w:eastAsia="Times New Roman" w:hAnsi="Arial" w:cs="Arial"/>
          <w:sz w:val="16"/>
          <w:szCs w:val="16"/>
        </w:rPr>
        <w:t>econfiguration auctions</w:t>
      </w:r>
      <w:r w:rsidRPr="00525A8A">
        <w:rPr>
          <w:rFonts w:ascii="Arial" w:hAnsi="Arial" w:cs="Arial"/>
          <w:sz w:val="16"/>
          <w:szCs w:val="16"/>
        </w:rPr>
        <w:t xml:space="preserve"> </w:t>
      </w:r>
      <w:r w:rsidR="00B81B7E">
        <w:rPr>
          <w:rFonts w:ascii="Arial" w:hAnsi="Arial" w:cs="Arial"/>
          <w:sz w:val="16"/>
          <w:szCs w:val="16"/>
        </w:rPr>
        <w:t>is</w:t>
      </w:r>
      <w:r w:rsidRPr="00525A8A">
        <w:rPr>
          <w:rFonts w:ascii="Arial" w:hAnsi="Arial" w:cs="Arial"/>
          <w:sz w:val="16"/>
          <w:szCs w:val="16"/>
        </w:rPr>
        <w:t xml:space="preserve"> available </w:t>
      </w:r>
      <w:r w:rsidRPr="00525A8A">
        <w:rPr>
          <w:rFonts w:ascii="Arial" w:eastAsia="Times New Roman" w:hAnsi="Arial" w:cs="Arial"/>
          <w:color w:val="000000" w:themeColor="text1"/>
          <w:sz w:val="16"/>
          <w:szCs w:val="16"/>
        </w:rPr>
        <w:t xml:space="preserve">at </w:t>
      </w:r>
      <w:r w:rsidRPr="00CB0D19">
        <w:rPr>
          <w:rFonts w:ascii="Arial" w:hAnsi="Arial" w:cs="Arial"/>
          <w:sz w:val="16"/>
          <w:szCs w:val="16"/>
        </w:rPr>
        <w:t>http://www.iso-ne.com/</w:t>
      </w:r>
      <w:r w:rsidRPr="00DB20B4">
        <w:rPr>
          <w:rFonts w:ascii="Arial" w:hAnsi="Arial" w:cs="Arial"/>
          <w:sz w:val="16"/>
          <w:szCs w:val="16"/>
        </w:rPr>
        <w:t>markets/othrmkts_data/fcm/doc/summary_of_icr_values.xls</w:t>
      </w:r>
      <w:r w:rsidR="00B81B7E">
        <w:rPr>
          <w:rFonts w:ascii="Arial" w:hAnsi="Arial" w:cs="Arial"/>
          <w:sz w:val="16"/>
          <w:szCs w:val="16"/>
        </w:rPr>
        <w:t>.</w:t>
      </w:r>
    </w:p>
    <w:p w:rsidR="004E3B8A" w:rsidRPr="00DB20B4" w:rsidRDefault="004E3B8A" w:rsidP="00BB34F0">
      <w:pPr>
        <w:keepNext/>
        <w:keepLines/>
        <w:numPr>
          <w:ilvl w:val="1"/>
          <w:numId w:val="36"/>
        </w:numPr>
        <w:tabs>
          <w:tab w:val="left" w:pos="90"/>
        </w:tabs>
        <w:spacing w:after="80" w:line="240" w:lineRule="auto"/>
        <w:ind w:left="0" w:right="-288" w:hanging="274"/>
        <w:rPr>
          <w:rFonts w:ascii="Arial" w:hAnsi="Arial" w:cs="Arial"/>
          <w:bCs/>
          <w:sz w:val="16"/>
          <w:szCs w:val="16"/>
        </w:rPr>
      </w:pPr>
      <w:r w:rsidRPr="00DB20B4">
        <w:rPr>
          <w:rFonts w:ascii="Arial" w:hAnsi="Arial" w:cs="Arial"/>
          <w:bCs/>
          <w:sz w:val="16"/>
          <w:szCs w:val="16"/>
        </w:rPr>
        <w:t>The ICR minus the HQICC is equal to the net ICR</w:t>
      </w:r>
      <w:bookmarkStart w:id="252" w:name="_Ref200276509"/>
      <w:r w:rsidRPr="00DB20B4">
        <w:rPr>
          <w:rFonts w:ascii="Arial" w:hAnsi="Arial" w:cs="Arial"/>
          <w:bCs/>
          <w:sz w:val="16"/>
          <w:szCs w:val="16"/>
        </w:rPr>
        <w:t>. The ICR is for the FCA, not the reconfiguration auction.</w:t>
      </w:r>
    </w:p>
    <w:p w:rsidR="004E3B8A" w:rsidRPr="00DB20B4" w:rsidRDefault="00CC4FB3" w:rsidP="00BB34F0">
      <w:pPr>
        <w:pStyle w:val="ListParagraph"/>
        <w:keepNext/>
        <w:keepLines/>
        <w:numPr>
          <w:ilvl w:val="1"/>
          <w:numId w:val="36"/>
        </w:numPr>
        <w:tabs>
          <w:tab w:val="left" w:pos="0"/>
        </w:tabs>
        <w:spacing w:before="0" w:after="80"/>
        <w:ind w:left="0" w:right="-288" w:hanging="274"/>
        <w:contextualSpacing w:val="0"/>
        <w:rPr>
          <w:rFonts w:ascii="Arial" w:hAnsi="Arial" w:cs="Arial"/>
          <w:bCs/>
          <w:sz w:val="16"/>
          <w:szCs w:val="16"/>
        </w:rPr>
      </w:pPr>
      <w:r w:rsidRPr="00DB20B4">
        <w:rPr>
          <w:rFonts w:ascii="Arial" w:hAnsi="Arial" w:cs="Arial"/>
          <w:bCs/>
          <w:sz w:val="16"/>
          <w:szCs w:val="16"/>
        </w:rPr>
        <w:t xml:space="preserve">For the third annual reconfiguration auction for this commitment period, the ICR was adjusted to 32,510 MW. </w:t>
      </w:r>
    </w:p>
    <w:p w:rsidR="004E3B8A" w:rsidRPr="00DB20B4" w:rsidRDefault="00CC4FB3" w:rsidP="00BB34F0">
      <w:pPr>
        <w:pStyle w:val="ListParagraph"/>
        <w:keepNext/>
        <w:keepLines/>
        <w:numPr>
          <w:ilvl w:val="1"/>
          <w:numId w:val="36"/>
        </w:numPr>
        <w:tabs>
          <w:tab w:val="left" w:pos="0"/>
        </w:tabs>
        <w:spacing w:before="0"/>
        <w:ind w:left="0" w:right="-288" w:hanging="274"/>
        <w:contextualSpacing w:val="0"/>
        <w:rPr>
          <w:rFonts w:ascii="Arial" w:hAnsi="Arial" w:cs="Arial"/>
          <w:bCs/>
          <w:sz w:val="16"/>
          <w:szCs w:val="16"/>
        </w:rPr>
      </w:pPr>
      <w:r w:rsidRPr="00DB20B4">
        <w:rPr>
          <w:rFonts w:ascii="Arial" w:hAnsi="Arial" w:cs="Arial"/>
          <w:bCs/>
          <w:sz w:val="16"/>
          <w:szCs w:val="16"/>
        </w:rPr>
        <w:t>For the second ARA for this capacity commitment period, the ICR was adjusted to 32,652 MW.</w:t>
      </w:r>
    </w:p>
    <w:p w:rsidR="00FC0261" w:rsidRDefault="004E3B8A" w:rsidP="00235A65">
      <w:pPr>
        <w:pStyle w:val="Heading4"/>
      </w:pPr>
      <w:r w:rsidRPr="00CB0D19">
        <w:t>FCA Results by Capacity Zone</w:t>
      </w:r>
      <w:r>
        <w:t xml:space="preserve"> and State</w:t>
      </w:r>
    </w:p>
    <w:p w:rsidR="004E3B8A" w:rsidRDefault="00832C7A" w:rsidP="004E3B8A">
      <w:r>
        <w:fldChar w:fldCharType="begin"/>
      </w:r>
      <w:r w:rsidR="00C814EB">
        <w:instrText xml:space="preserve"> REF _Ref229902213 </w:instrText>
      </w:r>
      <w:r>
        <w:fldChar w:fldCharType="separate"/>
      </w:r>
      <w:r w:rsidR="00E5699E">
        <w:t>Table </w:t>
      </w:r>
      <w:r w:rsidR="00E5699E">
        <w:rPr>
          <w:noProof/>
        </w:rPr>
        <w:t>4</w:t>
      </w:r>
      <w:r w:rsidR="00E5699E">
        <w:noBreakHyphen/>
      </w:r>
      <w:r w:rsidR="00E5699E">
        <w:rPr>
          <w:noProof/>
        </w:rPr>
        <w:t>5</w:t>
      </w:r>
      <w:r>
        <w:fldChar w:fldCharType="end"/>
      </w:r>
      <w:r w:rsidR="004E3B8A" w:rsidRPr="0010265F">
        <w:t xml:space="preserve"> contains</w:t>
      </w:r>
      <w:r w:rsidR="004E3B8A" w:rsidRPr="00D8263A">
        <w:t xml:space="preserve"> the totals for each capacity zone. The capacity supply obligation total has been adjusted to reflect the </w:t>
      </w:r>
      <w:r w:rsidR="004E3B8A">
        <w:t xml:space="preserve">market rule’s </w:t>
      </w:r>
      <w:r w:rsidR="004E3B8A" w:rsidRPr="00DA407B">
        <w:t>real-time emergency-generation limit of 600 MW, which is the maximum quantity of this capacity resource type that can be counted toward the ICR</w:t>
      </w:r>
      <w:r w:rsidR="004E3B8A" w:rsidRPr="00D93D8A">
        <w:t>. The</w:t>
      </w:r>
      <w:r w:rsidR="004E3B8A" w:rsidRPr="00B5388D">
        <w:t xml:space="preserve"> capacity zones for </w:t>
      </w:r>
      <w:r w:rsidR="004E3B8A">
        <w:t xml:space="preserve">the first three auctions </w:t>
      </w:r>
      <w:r w:rsidR="004E3B8A" w:rsidRPr="00B5388D">
        <w:t xml:space="preserve">include Maine and </w:t>
      </w:r>
      <w:r w:rsidR="004E3B8A" w:rsidRPr="000A65E6">
        <w:t>the</w:t>
      </w:r>
      <w:r w:rsidR="004E3B8A">
        <w:t xml:space="preserve"> </w:t>
      </w:r>
      <w:r w:rsidR="004E3B8A" w:rsidRPr="00893805">
        <w:t>Rest-of-Pool.</w:t>
      </w:r>
      <w:r w:rsidR="004E3B8A" w:rsidRPr="00B5388D">
        <w:t xml:space="preserve"> The auction</w:t>
      </w:r>
      <w:r w:rsidR="004E3B8A">
        <w:t>s</w:t>
      </w:r>
      <w:r w:rsidR="004E3B8A" w:rsidRPr="00B5388D">
        <w:t xml:space="preserve"> did not </w:t>
      </w:r>
      <w:r w:rsidR="004E3B8A">
        <w:t>model</w:t>
      </w:r>
      <w:r w:rsidR="004E3B8A" w:rsidRPr="00B5388D">
        <w:t xml:space="preserve"> any import-constrained capacity zones because each potential import-constrained area was determined to have sufficient </w:t>
      </w:r>
      <w:r w:rsidR="004E3B8A" w:rsidRPr="0072604D">
        <w:t xml:space="preserve">existing capacity to meet the local sourcing requirements. </w:t>
      </w:r>
    </w:p>
    <w:p w:rsidR="004E3B8A" w:rsidRDefault="004E3B8A" w:rsidP="004E3B8A">
      <w:pPr>
        <w:pStyle w:val="Caption"/>
        <w:rPr>
          <w:rFonts w:cs="Arial"/>
        </w:rPr>
      </w:pPr>
      <w:bookmarkStart w:id="253" w:name="_Ref229902213"/>
      <w:bookmarkStart w:id="254" w:name="_Toc200440152"/>
      <w:bookmarkStart w:id="255" w:name="_Toc207531973"/>
      <w:bookmarkStart w:id="256" w:name="_Toc239157219"/>
      <w:bookmarkStart w:id="257" w:name="_Toc271552406"/>
      <w:bookmarkEnd w:id="252"/>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5</w:t>
      </w:r>
      <w:r w:rsidR="00832C7A">
        <w:fldChar w:fldCharType="end"/>
      </w:r>
      <w:bookmarkEnd w:id="253"/>
      <w:r w:rsidRPr="00621CD2">
        <w:br/>
      </w:r>
      <w:r w:rsidRPr="00A047CC">
        <w:rPr>
          <w:rFonts w:cs="Arial"/>
        </w:rPr>
        <w:t xml:space="preserve">Results of FCA #1, </w:t>
      </w:r>
      <w:r w:rsidR="00E26E7D">
        <w:rPr>
          <w:rFonts w:cs="Arial"/>
        </w:rPr>
        <w:t xml:space="preserve">FCA </w:t>
      </w:r>
      <w:r w:rsidRPr="00A047CC">
        <w:rPr>
          <w:rFonts w:cs="Arial"/>
        </w:rPr>
        <w:t xml:space="preserve">#2, and </w:t>
      </w:r>
      <w:r w:rsidR="00E26E7D">
        <w:rPr>
          <w:rFonts w:cs="Arial"/>
        </w:rPr>
        <w:t xml:space="preserve">FCA </w:t>
      </w:r>
      <w:r w:rsidRPr="00A047CC">
        <w:rPr>
          <w:rFonts w:cs="Arial"/>
        </w:rPr>
        <w:t>#3 by Capacity Zone </w:t>
      </w:r>
      <w:r w:rsidR="003174D8" w:rsidRPr="00A047CC">
        <w:rPr>
          <w:rFonts w:cs="Arial"/>
        </w:rPr>
        <w:t>(MW, </w:t>
      </w:r>
      <w:r w:rsidR="003174D8" w:rsidRPr="00A047CC">
        <w:t>$/kW</w:t>
      </w:r>
      <w:r w:rsidR="003174D8" w:rsidRPr="00A047CC">
        <w:noBreakHyphen/>
        <w:t>month</w:t>
      </w:r>
      <w:r w:rsidRPr="00A047CC">
        <w:rPr>
          <w:rFonts w:cs="Arial"/>
        </w:rPr>
        <w:t>)</w:t>
      </w:r>
      <w:bookmarkEnd w:id="254"/>
      <w:bookmarkEnd w:id="255"/>
      <w:r w:rsidRPr="00A047CC">
        <w:rPr>
          <w:rFonts w:cs="Arial"/>
          <w:vertAlign w:val="superscript"/>
        </w:rPr>
        <w:t>(a)</w:t>
      </w:r>
      <w:bookmarkEnd w:id="256"/>
      <w:bookmarkEnd w:id="257"/>
    </w:p>
    <w:tbl>
      <w:tblPr>
        <w:tblStyle w:val="MediumShading1-Accent12"/>
        <w:tblW w:w="93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1280"/>
        <w:gridCol w:w="1170"/>
        <w:gridCol w:w="990"/>
        <w:gridCol w:w="1080"/>
        <w:gridCol w:w="1080"/>
        <w:gridCol w:w="1080"/>
        <w:gridCol w:w="900"/>
        <w:gridCol w:w="900"/>
        <w:gridCol w:w="900"/>
      </w:tblGrid>
      <w:tr w:rsidR="00B128E8" w:rsidRPr="00523DE8" w:rsidTr="00B128E8">
        <w:trPr>
          <w:cnfStyle w:val="100000000000"/>
          <w:trHeight w:val="570"/>
        </w:trPr>
        <w:tc>
          <w:tcPr>
            <w:cnfStyle w:val="001000000100"/>
            <w:tcW w:w="1280" w:type="dxa"/>
            <w:vMerge w:val="restart"/>
            <w:shd w:val="clear" w:color="auto" w:fill="FBCE76" w:themeFill="background2" w:themeFillTint="99"/>
          </w:tcPr>
          <w:p w:rsidR="00B128E8" w:rsidRPr="00523DE8" w:rsidRDefault="00B128E8" w:rsidP="006D47E5">
            <w:pPr>
              <w:keepNext/>
              <w:keepLines/>
              <w:spacing w:after="0"/>
              <w:jc w:val="center"/>
              <w:rPr>
                <w:rFonts w:ascii="Arial" w:hAnsi="Arial" w:cs="Arial"/>
                <w:b w:val="0"/>
                <w:bCs w:val="0"/>
                <w:color w:val="000000" w:themeColor="text1"/>
                <w:sz w:val="18"/>
                <w:szCs w:val="18"/>
              </w:rPr>
            </w:pPr>
            <w:r w:rsidRPr="00523DE8">
              <w:rPr>
                <w:rFonts w:ascii="Arial" w:hAnsi="Arial" w:cs="Arial"/>
                <w:bCs w:val="0"/>
                <w:color w:val="000000" w:themeColor="text1"/>
                <w:sz w:val="18"/>
                <w:szCs w:val="18"/>
              </w:rPr>
              <w:t>Commitment Period</w:t>
            </w:r>
          </w:p>
        </w:tc>
        <w:tc>
          <w:tcPr>
            <w:tcW w:w="1170" w:type="dxa"/>
            <w:vMerge w:val="restart"/>
            <w:shd w:val="clear" w:color="auto" w:fill="FBCE76" w:themeFill="background2" w:themeFillTint="99"/>
          </w:tcPr>
          <w:p w:rsidR="00B128E8" w:rsidRPr="00523DE8" w:rsidRDefault="00B128E8" w:rsidP="006D47E5">
            <w:pPr>
              <w:keepNext/>
              <w:keepLines/>
              <w:spacing w:after="0"/>
              <w:cnfStyle w:val="100000000000"/>
              <w:rPr>
                <w:rFonts w:ascii="Arial" w:hAnsi="Arial" w:cs="Arial"/>
                <w:bCs w:val="0"/>
                <w:color w:val="000000" w:themeColor="text1"/>
                <w:sz w:val="18"/>
                <w:szCs w:val="18"/>
              </w:rPr>
            </w:pPr>
            <w:r w:rsidRPr="00523DE8">
              <w:rPr>
                <w:rFonts w:ascii="Arial" w:hAnsi="Arial" w:cs="Arial"/>
                <w:bCs w:val="0"/>
                <w:color w:val="000000" w:themeColor="text1"/>
                <w:sz w:val="18"/>
                <w:szCs w:val="18"/>
              </w:rPr>
              <w:t>Modeled Capacity Zone Name</w:t>
            </w:r>
          </w:p>
        </w:tc>
        <w:tc>
          <w:tcPr>
            <w:tcW w:w="99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Maximum Capacity Limit</w:t>
            </w:r>
          </w:p>
        </w:tc>
        <w:tc>
          <w:tcPr>
            <w:tcW w:w="108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Capacity Supply Obligation</w:t>
            </w:r>
          </w:p>
        </w:tc>
        <w:tc>
          <w:tcPr>
            <w:tcW w:w="108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RTEG Capacity Supply Obligation</w:t>
            </w:r>
          </w:p>
        </w:tc>
        <w:tc>
          <w:tcPr>
            <w:tcW w:w="108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Self-Supply Obligation</w:t>
            </w:r>
          </w:p>
        </w:tc>
        <w:tc>
          <w:tcPr>
            <w:tcW w:w="90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Capacity Clearing Price</w:t>
            </w:r>
          </w:p>
        </w:tc>
        <w:tc>
          <w:tcPr>
            <w:tcW w:w="90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Payment Rate</w:t>
            </w:r>
          </w:p>
        </w:tc>
        <w:tc>
          <w:tcPr>
            <w:tcW w:w="900" w:type="dxa"/>
            <w:shd w:val="clear" w:color="auto" w:fill="FBCE76" w:themeFill="background2" w:themeFillTint="99"/>
          </w:tcPr>
          <w:p w:rsidR="00B37038" w:rsidRDefault="00B128E8">
            <w:pPr>
              <w:keepNext/>
              <w:keepLines/>
              <w:spacing w:after="0"/>
              <w:cnfStyle w:val="100000000000"/>
              <w:rPr>
                <w:rFonts w:ascii="Arial" w:hAnsi="Arial" w:cs="Arial"/>
                <w:b w:val="0"/>
                <w:bCs w:val="0"/>
                <w:color w:val="000000" w:themeColor="text1"/>
                <w:sz w:val="18"/>
                <w:szCs w:val="18"/>
              </w:rPr>
            </w:pPr>
            <w:r w:rsidRPr="00523DE8">
              <w:rPr>
                <w:rFonts w:ascii="Arial" w:hAnsi="Arial" w:cs="Arial"/>
                <w:bCs w:val="0"/>
                <w:color w:val="000000" w:themeColor="text1"/>
                <w:sz w:val="18"/>
                <w:szCs w:val="18"/>
              </w:rPr>
              <w:t>RTEG Payment Rate</w:t>
            </w:r>
          </w:p>
        </w:tc>
      </w:tr>
      <w:tr w:rsidR="00B128E8" w:rsidRPr="00523DE8" w:rsidTr="002669AE">
        <w:trPr>
          <w:cnfStyle w:val="000000100000"/>
          <w:trHeight w:val="344"/>
        </w:trPr>
        <w:tc>
          <w:tcPr>
            <w:cnfStyle w:val="001000000000"/>
            <w:tcW w:w="1280" w:type="dxa"/>
            <w:vMerge/>
            <w:shd w:val="clear" w:color="auto" w:fill="FBCE76" w:themeFill="background2" w:themeFillTint="99"/>
          </w:tcPr>
          <w:p w:rsidR="00B128E8" w:rsidRPr="00523DE8" w:rsidRDefault="00B128E8" w:rsidP="006D47E5">
            <w:pPr>
              <w:keepNext/>
              <w:keepLines/>
              <w:spacing w:after="0"/>
              <w:jc w:val="center"/>
              <w:rPr>
                <w:rFonts w:ascii="Arial" w:hAnsi="Arial" w:cs="Arial"/>
                <w:bCs w:val="0"/>
                <w:color w:val="000000" w:themeColor="text1"/>
                <w:sz w:val="18"/>
                <w:szCs w:val="18"/>
              </w:rPr>
            </w:pPr>
          </w:p>
        </w:tc>
        <w:tc>
          <w:tcPr>
            <w:tcW w:w="1170" w:type="dxa"/>
            <w:vMerge/>
            <w:shd w:val="clear" w:color="auto" w:fill="FBCE76" w:themeFill="background2" w:themeFillTint="99"/>
          </w:tcPr>
          <w:p w:rsidR="00B128E8" w:rsidRPr="00523DE8" w:rsidRDefault="00B128E8" w:rsidP="006D47E5">
            <w:pPr>
              <w:keepNext/>
              <w:keepLines/>
              <w:spacing w:after="0"/>
              <w:cnfStyle w:val="000000100000"/>
              <w:rPr>
                <w:rFonts w:ascii="Arial" w:hAnsi="Arial" w:cs="Arial"/>
                <w:bCs/>
                <w:color w:val="000000" w:themeColor="text1"/>
                <w:sz w:val="18"/>
                <w:szCs w:val="18"/>
              </w:rPr>
            </w:pPr>
          </w:p>
        </w:tc>
        <w:tc>
          <w:tcPr>
            <w:tcW w:w="4230" w:type="dxa"/>
            <w:gridSpan w:val="4"/>
            <w:shd w:val="clear" w:color="auto" w:fill="FBCE76" w:themeFill="background2" w:themeFillTint="99"/>
          </w:tcPr>
          <w:p w:rsidR="00B128E8" w:rsidRPr="002669AE" w:rsidRDefault="00B128E8" w:rsidP="006D47E5">
            <w:pPr>
              <w:keepNext/>
              <w:keepLines/>
              <w:spacing w:after="0"/>
              <w:cnfStyle w:val="000000100000"/>
              <w:rPr>
                <w:rFonts w:ascii="Arial" w:hAnsi="Arial" w:cs="Arial"/>
                <w:b/>
                <w:bCs/>
                <w:color w:val="000000" w:themeColor="text1"/>
                <w:sz w:val="18"/>
                <w:szCs w:val="18"/>
              </w:rPr>
            </w:pPr>
            <w:r w:rsidRPr="002669AE">
              <w:rPr>
                <w:rFonts w:ascii="Arial" w:hAnsi="Arial" w:cs="Arial"/>
                <w:b/>
                <w:color w:val="000000" w:themeColor="text1"/>
                <w:sz w:val="18"/>
                <w:szCs w:val="18"/>
              </w:rPr>
              <w:t>(MW)</w:t>
            </w:r>
          </w:p>
        </w:tc>
        <w:tc>
          <w:tcPr>
            <w:tcW w:w="2700" w:type="dxa"/>
            <w:gridSpan w:val="3"/>
            <w:shd w:val="clear" w:color="auto" w:fill="FBCE76" w:themeFill="background2" w:themeFillTint="99"/>
          </w:tcPr>
          <w:p w:rsidR="00B128E8" w:rsidRPr="002669AE" w:rsidRDefault="00B128E8" w:rsidP="006D47E5">
            <w:pPr>
              <w:keepNext/>
              <w:keepLines/>
              <w:spacing w:after="0"/>
              <w:cnfStyle w:val="000000100000"/>
              <w:rPr>
                <w:rFonts w:ascii="Arial" w:hAnsi="Arial" w:cs="Arial"/>
                <w:b/>
                <w:bCs/>
                <w:color w:val="000000" w:themeColor="text1"/>
                <w:sz w:val="18"/>
                <w:szCs w:val="18"/>
              </w:rPr>
            </w:pPr>
            <w:r w:rsidRPr="002669AE">
              <w:rPr>
                <w:rFonts w:ascii="Arial" w:hAnsi="Arial" w:cs="Arial"/>
                <w:b/>
                <w:color w:val="000000" w:themeColor="text1"/>
                <w:sz w:val="18"/>
                <w:szCs w:val="18"/>
              </w:rPr>
              <w:t>($/kW-month)</w:t>
            </w:r>
          </w:p>
        </w:tc>
      </w:tr>
      <w:tr w:rsidR="004E3B8A" w:rsidRPr="00954175" w:rsidTr="007A4E4A">
        <w:trPr>
          <w:cnfStyle w:val="000000010000"/>
          <w:trHeight w:val="300"/>
        </w:trPr>
        <w:tc>
          <w:tcPr>
            <w:cnfStyle w:val="001000000000"/>
            <w:tcW w:w="1280" w:type="dxa"/>
            <w:shd w:val="clear" w:color="auto" w:fill="FFFFFF" w:themeFill="background1"/>
            <w:noWrap/>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2010/2011</w:t>
            </w:r>
          </w:p>
        </w:tc>
        <w:tc>
          <w:tcPr>
            <w:tcW w:w="1170" w:type="dxa"/>
            <w:shd w:val="clear" w:color="auto" w:fill="FFFFFF" w:themeFill="background1"/>
            <w:noWrap/>
          </w:tcPr>
          <w:p w:rsidR="004E3B8A" w:rsidRPr="00954175" w:rsidRDefault="004E3B8A" w:rsidP="006D47E5">
            <w:pPr>
              <w:keepNext/>
              <w:keepLines/>
              <w:spacing w:after="0"/>
              <w:cnfStyle w:val="000000010000"/>
              <w:rPr>
                <w:rFonts w:ascii="Arial" w:hAnsi="Arial" w:cs="Arial"/>
                <w:sz w:val="18"/>
                <w:szCs w:val="18"/>
              </w:rPr>
            </w:pPr>
            <w:r w:rsidRPr="00954175">
              <w:rPr>
                <w:rFonts w:ascii="Arial" w:hAnsi="Arial" w:cs="Arial"/>
                <w:sz w:val="18"/>
                <w:szCs w:val="18"/>
              </w:rPr>
              <w:t>Rest-of-Pool</w:t>
            </w:r>
          </w:p>
        </w:tc>
        <w:tc>
          <w:tcPr>
            <w:tcW w:w="99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 </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30,572</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838</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1,584</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4.500</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4.25</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2.92</w:t>
            </w:r>
          </w:p>
        </w:tc>
      </w:tr>
      <w:tr w:rsidR="004E3B8A" w:rsidRPr="00954175" w:rsidTr="004E3B8A">
        <w:trPr>
          <w:cnfStyle w:val="000000100000"/>
          <w:trHeight w:val="300"/>
        </w:trPr>
        <w:tc>
          <w:tcPr>
            <w:cnfStyle w:val="001000000000"/>
            <w:tcW w:w="1280" w:type="dxa"/>
            <w:shd w:val="clear" w:color="auto" w:fill="FDEED1" w:themeFill="background2" w:themeFillTint="33"/>
            <w:noWrap/>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2010/2011</w:t>
            </w:r>
          </w:p>
        </w:tc>
        <w:tc>
          <w:tcPr>
            <w:tcW w:w="1170" w:type="dxa"/>
            <w:shd w:val="clear" w:color="auto" w:fill="FDEED1" w:themeFill="background2" w:themeFillTint="33"/>
            <w:noWrap/>
          </w:tcPr>
          <w:p w:rsidR="004E3B8A" w:rsidRPr="00954175" w:rsidRDefault="004E3B8A" w:rsidP="006D47E5">
            <w:pPr>
              <w:keepNext/>
              <w:keepLines/>
              <w:spacing w:after="0"/>
              <w:cnfStyle w:val="000000100000"/>
              <w:rPr>
                <w:rFonts w:ascii="Arial" w:hAnsi="Arial" w:cs="Arial"/>
                <w:sz w:val="18"/>
                <w:szCs w:val="18"/>
              </w:rPr>
            </w:pPr>
            <w:r w:rsidRPr="00954175">
              <w:rPr>
                <w:rFonts w:ascii="Arial" w:hAnsi="Arial" w:cs="Arial"/>
                <w:sz w:val="18"/>
                <w:szCs w:val="18"/>
              </w:rPr>
              <w:t>Maine</w:t>
            </w:r>
          </w:p>
        </w:tc>
        <w:tc>
          <w:tcPr>
            <w:tcW w:w="99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3,855</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3,505</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37</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9</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4.500</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4.25</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2.92</w:t>
            </w:r>
          </w:p>
        </w:tc>
      </w:tr>
      <w:tr w:rsidR="004E3B8A" w:rsidRPr="00954175" w:rsidTr="007A4E4A">
        <w:trPr>
          <w:cnfStyle w:val="000000010000"/>
          <w:trHeight w:val="300"/>
        </w:trPr>
        <w:tc>
          <w:tcPr>
            <w:cnfStyle w:val="001000000000"/>
            <w:tcW w:w="1280" w:type="dxa"/>
            <w:shd w:val="clear" w:color="auto" w:fill="FFFFFF" w:themeFill="background1"/>
            <w:noWrap/>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2011/2012</w:t>
            </w:r>
          </w:p>
        </w:tc>
        <w:tc>
          <w:tcPr>
            <w:tcW w:w="1170" w:type="dxa"/>
            <w:shd w:val="clear" w:color="auto" w:fill="FFFFFF" w:themeFill="background1"/>
            <w:noWrap/>
          </w:tcPr>
          <w:p w:rsidR="004E3B8A" w:rsidRPr="00954175" w:rsidRDefault="004E3B8A" w:rsidP="006D47E5">
            <w:pPr>
              <w:keepNext/>
              <w:keepLines/>
              <w:spacing w:after="0"/>
              <w:cnfStyle w:val="000000010000"/>
              <w:rPr>
                <w:rFonts w:ascii="Arial" w:hAnsi="Arial" w:cs="Arial"/>
                <w:sz w:val="18"/>
                <w:szCs w:val="18"/>
              </w:rPr>
            </w:pPr>
            <w:r w:rsidRPr="00954175">
              <w:rPr>
                <w:rFonts w:ascii="Arial" w:hAnsi="Arial" w:cs="Arial"/>
                <w:sz w:val="18"/>
                <w:szCs w:val="18"/>
              </w:rPr>
              <w:t>Rest-of-Pool</w:t>
            </w:r>
          </w:p>
        </w:tc>
        <w:tc>
          <w:tcPr>
            <w:tcW w:w="99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 </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33,468</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727</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1,687</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3.600</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3.12</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sidRPr="00954175">
              <w:rPr>
                <w:rFonts w:ascii="Arial" w:hAnsi="Arial" w:cs="Arial"/>
                <w:sz w:val="18"/>
                <w:szCs w:val="18"/>
              </w:rPr>
              <w:t>2.47</w:t>
            </w:r>
          </w:p>
        </w:tc>
      </w:tr>
      <w:tr w:rsidR="004E3B8A" w:rsidRPr="00954175" w:rsidTr="004E3B8A">
        <w:trPr>
          <w:cnfStyle w:val="000000100000"/>
          <w:trHeight w:val="300"/>
        </w:trPr>
        <w:tc>
          <w:tcPr>
            <w:cnfStyle w:val="001000000000"/>
            <w:tcW w:w="1280" w:type="dxa"/>
            <w:shd w:val="clear" w:color="auto" w:fill="FDEED1" w:themeFill="background2" w:themeFillTint="33"/>
            <w:noWrap/>
          </w:tcPr>
          <w:p w:rsidR="004E3B8A" w:rsidRPr="00954175" w:rsidRDefault="004E3B8A" w:rsidP="006D47E5">
            <w:pPr>
              <w:keepNext/>
              <w:keepLines/>
              <w:spacing w:after="0"/>
              <w:rPr>
                <w:rFonts w:ascii="Arial" w:hAnsi="Arial" w:cs="Arial"/>
                <w:sz w:val="18"/>
                <w:szCs w:val="18"/>
              </w:rPr>
            </w:pPr>
            <w:r w:rsidRPr="00954175">
              <w:rPr>
                <w:rFonts w:ascii="Arial" w:hAnsi="Arial" w:cs="Arial"/>
                <w:sz w:val="18"/>
                <w:szCs w:val="18"/>
              </w:rPr>
              <w:t>2011/2012</w:t>
            </w:r>
          </w:p>
        </w:tc>
        <w:tc>
          <w:tcPr>
            <w:tcW w:w="1170" w:type="dxa"/>
            <w:shd w:val="clear" w:color="auto" w:fill="FDEED1" w:themeFill="background2" w:themeFillTint="33"/>
            <w:noWrap/>
          </w:tcPr>
          <w:p w:rsidR="004E3B8A" w:rsidRPr="00954175" w:rsidRDefault="004E3B8A" w:rsidP="006D47E5">
            <w:pPr>
              <w:keepNext/>
              <w:keepLines/>
              <w:spacing w:after="0"/>
              <w:cnfStyle w:val="000000100000"/>
              <w:rPr>
                <w:rFonts w:ascii="Arial" w:hAnsi="Arial" w:cs="Arial"/>
                <w:sz w:val="18"/>
                <w:szCs w:val="18"/>
              </w:rPr>
            </w:pPr>
            <w:r w:rsidRPr="00954175">
              <w:rPr>
                <w:rFonts w:ascii="Arial" w:hAnsi="Arial" w:cs="Arial"/>
                <w:sz w:val="18"/>
                <w:szCs w:val="18"/>
              </w:rPr>
              <w:t>Maine</w:t>
            </w:r>
          </w:p>
        </w:tc>
        <w:tc>
          <w:tcPr>
            <w:tcW w:w="99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3,395</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3,815</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32</w:t>
            </w:r>
          </w:p>
        </w:tc>
        <w:tc>
          <w:tcPr>
            <w:tcW w:w="108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9</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3.600</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3.12</w:t>
            </w:r>
          </w:p>
        </w:tc>
        <w:tc>
          <w:tcPr>
            <w:tcW w:w="90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sidRPr="00954175">
              <w:rPr>
                <w:rFonts w:ascii="Arial" w:hAnsi="Arial" w:cs="Arial"/>
                <w:sz w:val="18"/>
                <w:szCs w:val="18"/>
              </w:rPr>
              <w:t>2.47</w:t>
            </w:r>
          </w:p>
        </w:tc>
      </w:tr>
      <w:tr w:rsidR="004E3B8A" w:rsidRPr="00954175" w:rsidTr="007A4E4A">
        <w:trPr>
          <w:cnfStyle w:val="000000010000"/>
          <w:trHeight w:val="300"/>
        </w:trPr>
        <w:tc>
          <w:tcPr>
            <w:cnfStyle w:val="001000000000"/>
            <w:tcW w:w="1280" w:type="dxa"/>
            <w:shd w:val="clear" w:color="auto" w:fill="FFFFFF" w:themeFill="background1"/>
            <w:noWrap/>
          </w:tcPr>
          <w:p w:rsidR="004E3B8A" w:rsidRPr="00954175" w:rsidRDefault="004E3B8A" w:rsidP="006D47E5">
            <w:pPr>
              <w:keepNext/>
              <w:keepLines/>
              <w:spacing w:after="0"/>
              <w:rPr>
                <w:rFonts w:ascii="Arial" w:hAnsi="Arial" w:cs="Arial"/>
                <w:sz w:val="18"/>
                <w:szCs w:val="18"/>
              </w:rPr>
            </w:pPr>
            <w:r>
              <w:rPr>
                <w:rFonts w:ascii="Arial" w:hAnsi="Arial" w:cs="Arial"/>
                <w:sz w:val="18"/>
                <w:szCs w:val="18"/>
              </w:rPr>
              <w:t>2012/2013</w:t>
            </w:r>
          </w:p>
        </w:tc>
        <w:tc>
          <w:tcPr>
            <w:tcW w:w="1170" w:type="dxa"/>
            <w:shd w:val="clear" w:color="auto" w:fill="FFFFFF" w:themeFill="background1"/>
            <w:noWrap/>
          </w:tcPr>
          <w:p w:rsidR="004E3B8A" w:rsidRPr="00954175" w:rsidRDefault="004E3B8A" w:rsidP="006D47E5">
            <w:pPr>
              <w:keepNext/>
              <w:keepLines/>
              <w:spacing w:after="0"/>
              <w:cnfStyle w:val="000000010000"/>
              <w:rPr>
                <w:rFonts w:ascii="Arial" w:hAnsi="Arial" w:cs="Arial"/>
                <w:sz w:val="18"/>
                <w:szCs w:val="18"/>
              </w:rPr>
            </w:pPr>
            <w:r>
              <w:rPr>
                <w:rFonts w:ascii="Arial" w:hAnsi="Arial" w:cs="Arial"/>
                <w:sz w:val="18"/>
                <w:szCs w:val="18"/>
              </w:rPr>
              <w:t>Rest-of-Pool</w:t>
            </w:r>
          </w:p>
        </w:tc>
        <w:tc>
          <w:tcPr>
            <w:tcW w:w="99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33,099</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597</w:t>
            </w:r>
          </w:p>
        </w:tc>
        <w:tc>
          <w:tcPr>
            <w:tcW w:w="108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1,925</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2.951</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2.535</w:t>
            </w:r>
          </w:p>
        </w:tc>
        <w:tc>
          <w:tcPr>
            <w:tcW w:w="900" w:type="dxa"/>
            <w:shd w:val="clear" w:color="auto" w:fill="FFFFFF" w:themeFill="background1"/>
            <w:noWrap/>
          </w:tcPr>
          <w:p w:rsidR="004E3B8A" w:rsidRPr="00954175" w:rsidRDefault="004E3B8A" w:rsidP="006D47E5">
            <w:pPr>
              <w:keepNext/>
              <w:keepLines/>
              <w:spacing w:after="0"/>
              <w:ind w:right="144"/>
              <w:jc w:val="right"/>
              <w:cnfStyle w:val="000000010000"/>
              <w:rPr>
                <w:rFonts w:ascii="Arial" w:hAnsi="Arial" w:cs="Arial"/>
                <w:sz w:val="18"/>
                <w:szCs w:val="18"/>
              </w:rPr>
            </w:pPr>
            <w:r>
              <w:rPr>
                <w:rFonts w:ascii="Arial" w:hAnsi="Arial" w:cs="Arial"/>
                <w:sz w:val="18"/>
                <w:szCs w:val="18"/>
              </w:rPr>
              <w:t>2.413</w:t>
            </w:r>
          </w:p>
        </w:tc>
      </w:tr>
      <w:tr w:rsidR="004E3B8A" w:rsidRPr="00954175" w:rsidTr="004E3B8A">
        <w:trPr>
          <w:cnfStyle w:val="000000100000"/>
          <w:trHeight w:val="300"/>
        </w:trPr>
        <w:tc>
          <w:tcPr>
            <w:cnfStyle w:val="001000000000"/>
            <w:tcW w:w="1280" w:type="dxa"/>
            <w:shd w:val="clear" w:color="auto" w:fill="FDEED1" w:themeFill="background2" w:themeFillTint="33"/>
            <w:noWrap/>
          </w:tcPr>
          <w:p w:rsidR="004E3B8A" w:rsidRDefault="004E3B8A" w:rsidP="006D47E5">
            <w:pPr>
              <w:keepNext/>
              <w:keepLines/>
              <w:spacing w:after="0"/>
              <w:rPr>
                <w:rFonts w:ascii="Arial" w:hAnsi="Arial" w:cs="Arial"/>
                <w:sz w:val="18"/>
                <w:szCs w:val="18"/>
              </w:rPr>
            </w:pPr>
            <w:r>
              <w:rPr>
                <w:rFonts w:ascii="Arial" w:hAnsi="Arial" w:cs="Arial"/>
                <w:sz w:val="18"/>
                <w:szCs w:val="18"/>
              </w:rPr>
              <w:t>2012/2013</w:t>
            </w:r>
          </w:p>
        </w:tc>
        <w:tc>
          <w:tcPr>
            <w:tcW w:w="1170" w:type="dxa"/>
            <w:shd w:val="clear" w:color="auto" w:fill="FDEED1" w:themeFill="background2" w:themeFillTint="33"/>
            <w:noWrap/>
          </w:tcPr>
          <w:p w:rsidR="004E3B8A" w:rsidRDefault="004E3B8A" w:rsidP="006D47E5">
            <w:pPr>
              <w:keepNext/>
              <w:keepLines/>
              <w:spacing w:after="0"/>
              <w:cnfStyle w:val="000000100000"/>
              <w:rPr>
                <w:rFonts w:ascii="Arial" w:hAnsi="Arial" w:cs="Arial"/>
                <w:sz w:val="18"/>
                <w:szCs w:val="18"/>
              </w:rPr>
            </w:pPr>
            <w:r>
              <w:rPr>
                <w:rFonts w:ascii="Arial" w:hAnsi="Arial" w:cs="Arial"/>
                <w:sz w:val="18"/>
                <w:szCs w:val="18"/>
              </w:rPr>
              <w:t>Maine</w:t>
            </w:r>
          </w:p>
        </w:tc>
        <w:tc>
          <w:tcPr>
            <w:tcW w:w="990" w:type="dxa"/>
            <w:shd w:val="clear" w:color="auto" w:fill="FDEED1" w:themeFill="background2" w:themeFillTint="33"/>
            <w:noWrap/>
          </w:tcPr>
          <w:p w:rsidR="004E3B8A" w:rsidRPr="00954175"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3,257</w:t>
            </w:r>
          </w:p>
        </w:tc>
        <w:tc>
          <w:tcPr>
            <w:tcW w:w="108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3,897</w:t>
            </w:r>
          </w:p>
        </w:tc>
        <w:tc>
          <w:tcPr>
            <w:tcW w:w="108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33</w:t>
            </w:r>
          </w:p>
        </w:tc>
        <w:tc>
          <w:tcPr>
            <w:tcW w:w="108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9</w:t>
            </w:r>
          </w:p>
        </w:tc>
        <w:tc>
          <w:tcPr>
            <w:tcW w:w="90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2,951</w:t>
            </w:r>
          </w:p>
        </w:tc>
        <w:tc>
          <w:tcPr>
            <w:tcW w:w="90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2.465</w:t>
            </w:r>
          </w:p>
        </w:tc>
        <w:tc>
          <w:tcPr>
            <w:tcW w:w="900" w:type="dxa"/>
            <w:shd w:val="clear" w:color="auto" w:fill="FDEED1" w:themeFill="background2" w:themeFillTint="33"/>
            <w:noWrap/>
          </w:tcPr>
          <w:p w:rsidR="004E3B8A" w:rsidRDefault="004E3B8A" w:rsidP="006D47E5">
            <w:pPr>
              <w:keepNext/>
              <w:keepLines/>
              <w:spacing w:after="0"/>
              <w:ind w:right="144"/>
              <w:jc w:val="right"/>
              <w:cnfStyle w:val="000000100000"/>
              <w:rPr>
                <w:rFonts w:ascii="Arial" w:hAnsi="Arial" w:cs="Arial"/>
                <w:sz w:val="18"/>
                <w:szCs w:val="18"/>
              </w:rPr>
            </w:pPr>
            <w:r>
              <w:rPr>
                <w:rFonts w:ascii="Arial" w:hAnsi="Arial" w:cs="Arial"/>
                <w:sz w:val="18"/>
                <w:szCs w:val="18"/>
              </w:rPr>
              <w:t>2.347</w:t>
            </w:r>
          </w:p>
        </w:tc>
      </w:tr>
    </w:tbl>
    <w:p w:rsidR="004E3B8A" w:rsidRPr="006438B8" w:rsidRDefault="004E3B8A" w:rsidP="004E3B8A">
      <w:pPr>
        <w:tabs>
          <w:tab w:val="left" w:pos="90"/>
        </w:tabs>
        <w:spacing w:before="120" w:line="240" w:lineRule="auto"/>
        <w:ind w:left="270" w:hanging="270"/>
      </w:pPr>
      <w:r w:rsidRPr="00764937">
        <w:rPr>
          <w:rFonts w:ascii="Arial" w:hAnsi="Arial" w:cs="Arial"/>
          <w:sz w:val="16"/>
          <w:szCs w:val="16"/>
        </w:rPr>
        <w:t>(a)</w:t>
      </w:r>
      <w:r>
        <w:tab/>
      </w:r>
      <w:r w:rsidRPr="00764937">
        <w:rPr>
          <w:rFonts w:ascii="Arial" w:hAnsi="Arial" w:cs="Arial"/>
          <w:sz w:val="16"/>
          <w:szCs w:val="16"/>
        </w:rPr>
        <w:t>Values are rounded.</w:t>
      </w:r>
    </w:p>
    <w:p w:rsidR="004E3B8A" w:rsidRPr="009C75CA" w:rsidRDefault="00832C7A" w:rsidP="00C77E16">
      <w:fldSimple w:instr=" REF _Ref229902228  \* MERGEFORMAT ">
        <w:r w:rsidR="00E5699E">
          <w:t>Table 4</w:t>
        </w:r>
        <w:r w:rsidR="00E5699E">
          <w:noBreakHyphen/>
          <w:t>6</w:t>
        </w:r>
      </w:fldSimple>
      <w:r w:rsidR="004E3B8A" w:rsidRPr="006C5781">
        <w:t xml:space="preserve"> shows the </w:t>
      </w:r>
      <w:r w:rsidR="000E34CD">
        <w:t xml:space="preserve">location, by state, of </w:t>
      </w:r>
      <w:r w:rsidR="004E3B8A" w:rsidRPr="006C5781">
        <w:t xml:space="preserve">total capacity supply obligations (in number of resources and megawatts) </w:t>
      </w:r>
      <w:r w:rsidR="00BB78BD">
        <w:t>for</w:t>
      </w:r>
      <w:r w:rsidR="004E3B8A" w:rsidRPr="006C5781">
        <w:t xml:space="preserve"> FCA #3.</w:t>
      </w:r>
      <w:r w:rsidR="004E3B8A" w:rsidRPr="006C1527">
        <w:rPr>
          <w:rStyle w:val="FootnoteReference"/>
          <w:sz w:val="22"/>
        </w:rPr>
        <w:footnoteReference w:id="97"/>
      </w:r>
      <w:r w:rsidR="004E3B8A" w:rsidRPr="006C5781">
        <w:t xml:space="preserve"> The obligation amounts for each state are categorized according to resource status (i.e., new or existing resources</w:t>
      </w:r>
      <w:r w:rsidR="004E3B8A" w:rsidRPr="005A7FA9">
        <w:t xml:space="preserve">) and capacity resource type (generation or demand resources). </w:t>
      </w:r>
      <w:bookmarkStart w:id="258" w:name="_Ref200276565"/>
      <w:r w:rsidR="004E3B8A" w:rsidRPr="005A7FA9">
        <w:t>The table also shows the resources imported from neighboring regions.</w:t>
      </w:r>
    </w:p>
    <w:p w:rsidR="005D54B1" w:rsidRDefault="004E3B8A">
      <w:pPr>
        <w:pStyle w:val="Caption"/>
        <w:ind w:left="0" w:right="0"/>
      </w:pPr>
      <w:bookmarkStart w:id="259" w:name="_Ref229902228"/>
      <w:bookmarkStart w:id="260" w:name="_Toc200440153"/>
      <w:bookmarkStart w:id="261" w:name="_Toc207531974"/>
      <w:bookmarkStart w:id="262" w:name="_Toc239157220"/>
      <w:bookmarkStart w:id="263" w:name="_Toc271552407"/>
      <w:bookmarkEnd w:id="258"/>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6</w:t>
      </w:r>
      <w:r w:rsidR="00832C7A">
        <w:fldChar w:fldCharType="end"/>
      </w:r>
      <w:bookmarkEnd w:id="259"/>
      <w:r w:rsidRPr="00621CD2">
        <w:br/>
      </w:r>
      <w:r w:rsidRPr="00AF6724">
        <w:t>State</w:t>
      </w:r>
      <w:r>
        <w:t>s’</w:t>
      </w:r>
      <w:r w:rsidRPr="00AF6724">
        <w:t xml:space="preserve"> </w:t>
      </w:r>
      <w:r w:rsidRPr="005A7FA9">
        <w:t xml:space="preserve">Capacity Supply Obligations for the </w:t>
      </w:r>
      <w:r>
        <w:t>2012/2013</w:t>
      </w:r>
      <w:r w:rsidRPr="005A7FA9">
        <w:t xml:space="preserve"> Capacity</w:t>
      </w:r>
      <w:r>
        <w:t xml:space="preserve"> </w:t>
      </w:r>
      <w:r w:rsidRPr="005A7FA9">
        <w:t>Commitment</w:t>
      </w:r>
      <w:r>
        <w:t xml:space="preserve"> </w:t>
      </w:r>
      <w:r w:rsidRPr="005A7FA9">
        <w:t>Period</w:t>
      </w:r>
      <w:bookmarkEnd w:id="260"/>
      <w:bookmarkEnd w:id="261"/>
      <w:bookmarkEnd w:id="262"/>
      <w:bookmarkEnd w:id="263"/>
    </w:p>
    <w:tbl>
      <w:tblPr>
        <w:tblW w:w="927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29" w:type="dxa"/>
          <w:left w:w="43" w:type="dxa"/>
          <w:bottom w:w="29" w:type="dxa"/>
          <w:right w:w="43" w:type="dxa"/>
        </w:tblCellMar>
        <w:tblLook w:val="04A0"/>
      </w:tblPr>
      <w:tblGrid>
        <w:gridCol w:w="1436"/>
        <w:gridCol w:w="1080"/>
        <w:gridCol w:w="1125"/>
        <w:gridCol w:w="1126"/>
        <w:gridCol w:w="1126"/>
        <w:gridCol w:w="1125"/>
        <w:gridCol w:w="1126"/>
        <w:gridCol w:w="1126"/>
      </w:tblGrid>
      <w:tr w:rsidR="004E3B8A" w:rsidRPr="000B37FA" w:rsidTr="0083027D">
        <w:trPr>
          <w:trHeight w:val="238"/>
          <w:jc w:val="center"/>
        </w:trPr>
        <w:tc>
          <w:tcPr>
            <w:tcW w:w="1436" w:type="dxa"/>
            <w:vMerge w:val="restart"/>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State</w:t>
            </w:r>
          </w:p>
        </w:tc>
        <w:tc>
          <w:tcPr>
            <w:tcW w:w="1080" w:type="dxa"/>
            <w:vMerge w:val="restart"/>
            <w:shd w:val="clear" w:color="auto" w:fill="FBCE76" w:themeFill="background2" w:themeFillTint="99"/>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Resource Status</w:t>
            </w:r>
          </w:p>
        </w:tc>
        <w:tc>
          <w:tcPr>
            <w:tcW w:w="2251" w:type="dxa"/>
            <w:gridSpan w:val="2"/>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Generation</w:t>
            </w:r>
            <w:r w:rsidRPr="000B37FA">
              <w:rPr>
                <w:rFonts w:ascii="Arial" w:hAnsi="Arial" w:cs="Arial"/>
                <w:b/>
                <w:bCs/>
                <w:color w:val="000000" w:themeColor="text1"/>
                <w:sz w:val="16"/>
                <w:szCs w:val="16"/>
                <w:vertAlign w:val="superscript"/>
              </w:rPr>
              <w:t>(a)</w:t>
            </w:r>
          </w:p>
        </w:tc>
        <w:tc>
          <w:tcPr>
            <w:tcW w:w="2251" w:type="dxa"/>
            <w:gridSpan w:val="2"/>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Demand</w:t>
            </w:r>
            <w:r w:rsidRPr="000B37FA">
              <w:rPr>
                <w:rFonts w:ascii="Arial" w:hAnsi="Arial" w:cs="Arial"/>
                <w:b/>
                <w:bCs/>
                <w:color w:val="000000" w:themeColor="text1"/>
                <w:sz w:val="16"/>
                <w:szCs w:val="16"/>
                <w:vertAlign w:val="superscript"/>
              </w:rPr>
              <w:t>(a)</w:t>
            </w:r>
          </w:p>
        </w:tc>
        <w:tc>
          <w:tcPr>
            <w:tcW w:w="2252" w:type="dxa"/>
            <w:gridSpan w:val="2"/>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Total</w:t>
            </w:r>
            <w:r w:rsidRPr="000B37FA">
              <w:rPr>
                <w:rFonts w:ascii="Arial" w:hAnsi="Arial" w:cs="Arial"/>
                <w:b/>
                <w:bCs/>
                <w:color w:val="000000" w:themeColor="text1"/>
                <w:sz w:val="16"/>
                <w:szCs w:val="16"/>
                <w:vertAlign w:val="superscript"/>
              </w:rPr>
              <w:t>(b)</w:t>
            </w:r>
          </w:p>
        </w:tc>
      </w:tr>
      <w:tr w:rsidR="004E3B8A" w:rsidRPr="000B37FA" w:rsidTr="005E3A82">
        <w:trPr>
          <w:trHeight w:val="537"/>
          <w:jc w:val="center"/>
        </w:trPr>
        <w:tc>
          <w:tcPr>
            <w:tcW w:w="1436" w:type="dxa"/>
            <w:vMerge/>
            <w:tcBorders>
              <w:bottom w:val="single" w:sz="2" w:space="0" w:color="000000" w:themeColor="text1"/>
            </w:tcBorders>
            <w:shd w:val="clear" w:color="auto" w:fill="FBCE76" w:themeFill="background2" w:themeFillTint="99"/>
            <w:vAlign w:val="center"/>
          </w:tcPr>
          <w:p w:rsidR="005D54B1" w:rsidRDefault="005D54B1">
            <w:pPr>
              <w:keepNext/>
              <w:keepLines/>
              <w:spacing w:after="0"/>
              <w:rPr>
                <w:rFonts w:ascii="Arial" w:hAnsi="Arial" w:cs="Arial"/>
                <w:b/>
                <w:bCs/>
                <w:color w:val="000000" w:themeColor="text1"/>
                <w:sz w:val="16"/>
                <w:szCs w:val="16"/>
              </w:rPr>
            </w:pPr>
          </w:p>
        </w:tc>
        <w:tc>
          <w:tcPr>
            <w:tcW w:w="1080" w:type="dxa"/>
            <w:vMerge/>
            <w:tcBorders>
              <w:bottom w:val="single" w:sz="2" w:space="0" w:color="000000" w:themeColor="text1"/>
            </w:tcBorders>
            <w:shd w:val="clear" w:color="auto" w:fill="FBCE76" w:themeFill="background2" w:themeFillTint="99"/>
            <w:vAlign w:val="center"/>
          </w:tcPr>
          <w:p w:rsidR="005D54B1" w:rsidRDefault="005D54B1">
            <w:pPr>
              <w:keepNext/>
              <w:keepLines/>
              <w:spacing w:after="0"/>
              <w:rPr>
                <w:rFonts w:ascii="Arial" w:hAnsi="Arial" w:cs="Arial"/>
                <w:b/>
                <w:bCs/>
                <w:color w:val="000000" w:themeColor="text1"/>
                <w:sz w:val="16"/>
                <w:szCs w:val="16"/>
              </w:rPr>
            </w:pPr>
          </w:p>
        </w:tc>
        <w:tc>
          <w:tcPr>
            <w:tcW w:w="1125" w:type="dxa"/>
            <w:shd w:val="clear" w:color="auto" w:fill="FBCE76" w:themeFill="background2" w:themeFillTint="99"/>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Number of Resources</w:t>
            </w:r>
          </w:p>
        </w:tc>
        <w:tc>
          <w:tcPr>
            <w:tcW w:w="1126" w:type="dxa"/>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Total MW</w:t>
            </w:r>
          </w:p>
        </w:tc>
        <w:tc>
          <w:tcPr>
            <w:tcW w:w="1126" w:type="dxa"/>
            <w:shd w:val="clear" w:color="auto" w:fill="FBCE76" w:themeFill="background2" w:themeFillTint="99"/>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Number of Resources</w:t>
            </w:r>
          </w:p>
        </w:tc>
        <w:tc>
          <w:tcPr>
            <w:tcW w:w="1125" w:type="dxa"/>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Total MW</w:t>
            </w:r>
          </w:p>
        </w:tc>
        <w:tc>
          <w:tcPr>
            <w:tcW w:w="1126" w:type="dxa"/>
            <w:shd w:val="clear" w:color="auto" w:fill="FBCE76" w:themeFill="background2" w:themeFillTint="99"/>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Number of Resources</w:t>
            </w:r>
          </w:p>
        </w:tc>
        <w:tc>
          <w:tcPr>
            <w:tcW w:w="1126" w:type="dxa"/>
            <w:shd w:val="clear" w:color="auto" w:fill="FBCE76" w:themeFill="background2" w:themeFillTint="99"/>
            <w:noWrap/>
            <w:vAlign w:val="center"/>
          </w:tcPr>
          <w:p w:rsidR="005D54B1" w:rsidRDefault="004E3B8A">
            <w:pPr>
              <w:keepNext/>
              <w:keepLines/>
              <w:spacing w:after="0"/>
              <w:jc w:val="center"/>
              <w:rPr>
                <w:rFonts w:ascii="Arial" w:hAnsi="Arial" w:cs="Arial"/>
                <w:b/>
                <w:bCs/>
                <w:color w:val="000000" w:themeColor="text1"/>
                <w:sz w:val="16"/>
                <w:szCs w:val="16"/>
              </w:rPr>
            </w:pPr>
            <w:r w:rsidRPr="000B37FA">
              <w:rPr>
                <w:rFonts w:ascii="Arial" w:hAnsi="Arial" w:cs="Arial"/>
                <w:b/>
                <w:bCs/>
                <w:color w:val="000000" w:themeColor="text1"/>
                <w:sz w:val="16"/>
                <w:szCs w:val="16"/>
              </w:rPr>
              <w:t>Total MW</w:t>
            </w:r>
          </w:p>
        </w:tc>
      </w:tr>
      <w:tr w:rsidR="004E3B8A" w:rsidRPr="000B37FA" w:rsidTr="005A201C">
        <w:trPr>
          <w:trHeight w:val="238"/>
          <w:jc w:val="center"/>
        </w:trPr>
        <w:tc>
          <w:tcPr>
            <w:tcW w:w="1436" w:type="dxa"/>
            <w:vMerge w:val="restart"/>
            <w:shd w:val="clear" w:color="auto" w:fill="auto"/>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M</w:t>
            </w:r>
            <w:r w:rsidR="005A201C">
              <w:rPr>
                <w:rFonts w:ascii="Arial" w:hAnsi="Arial" w:cs="Arial"/>
                <w:b/>
                <w:bCs/>
                <w:color w:val="000000" w:themeColor="text1"/>
                <w:sz w:val="16"/>
                <w:szCs w:val="16"/>
              </w:rPr>
              <w:t>A</w:t>
            </w: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183</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11,399</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202</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1,096</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385</w:t>
            </w:r>
          </w:p>
        </w:tc>
        <w:tc>
          <w:tcPr>
            <w:tcW w:w="1126" w:type="dxa"/>
            <w:shd w:val="clear" w:color="000000" w:fill="FFFFFF"/>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12,495</w:t>
            </w:r>
          </w:p>
        </w:tc>
      </w:tr>
      <w:tr w:rsidR="004E3B8A" w:rsidRPr="000B37FA" w:rsidTr="005A201C">
        <w:trPr>
          <w:trHeight w:val="238"/>
          <w:jc w:val="center"/>
        </w:trPr>
        <w:tc>
          <w:tcPr>
            <w:tcW w:w="1436" w:type="dxa"/>
            <w:vMerge/>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11</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1,490</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39</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146</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50</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1,636</w:t>
            </w:r>
          </w:p>
        </w:tc>
      </w:tr>
      <w:tr w:rsidR="004E3B8A" w:rsidRPr="000B37FA" w:rsidTr="005A201C">
        <w:trPr>
          <w:trHeight w:val="238"/>
          <w:jc w:val="center"/>
        </w:trPr>
        <w:tc>
          <w:tcPr>
            <w:tcW w:w="1436" w:type="dxa"/>
            <w:vMerge/>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194</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12,889</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241</w:t>
            </w: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1,242</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435</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14,132</w:t>
            </w:r>
          </w:p>
        </w:tc>
      </w:tr>
      <w:tr w:rsidR="004E3B8A" w:rsidRPr="000B37FA" w:rsidTr="005A201C">
        <w:trPr>
          <w:trHeight w:val="238"/>
          <w:jc w:val="center"/>
        </w:trPr>
        <w:tc>
          <w:tcPr>
            <w:tcW w:w="1436" w:type="dxa"/>
            <w:vMerge w:val="restart"/>
            <w:shd w:val="clear" w:color="auto" w:fill="FDEED1" w:themeFill="background2" w:themeFillTint="33"/>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C</w:t>
            </w:r>
            <w:r w:rsidR="005A201C">
              <w:rPr>
                <w:rFonts w:ascii="Arial" w:hAnsi="Arial" w:cs="Arial"/>
                <w:b/>
                <w:bCs/>
                <w:color w:val="000000" w:themeColor="text1"/>
                <w:sz w:val="16"/>
                <w:szCs w:val="16"/>
              </w:rPr>
              <w:t>T</w:t>
            </w: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98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8,225</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980</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768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1,078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8,993</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171</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13</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64</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21</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235</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106</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8,396</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993</w:t>
            </w: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831</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1,099</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9,227</w:t>
            </w:r>
          </w:p>
        </w:tc>
      </w:tr>
      <w:tr w:rsidR="004E3B8A" w:rsidRPr="000B37FA" w:rsidTr="005A201C">
        <w:trPr>
          <w:trHeight w:val="238"/>
          <w:jc w:val="center"/>
        </w:trPr>
        <w:tc>
          <w:tcPr>
            <w:tcW w:w="1436" w:type="dxa"/>
            <w:vMerge w:val="restart"/>
            <w:shd w:val="clear" w:color="auto" w:fill="auto"/>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R</w:t>
            </w:r>
            <w:r w:rsidR="005A201C">
              <w:rPr>
                <w:rFonts w:ascii="Arial" w:hAnsi="Arial" w:cs="Arial"/>
                <w:b/>
                <w:bCs/>
                <w:color w:val="000000" w:themeColor="text1"/>
                <w:sz w:val="16"/>
                <w:szCs w:val="16"/>
              </w:rPr>
              <w:t>I</w:t>
            </w: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23</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2,612</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33</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175</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56</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2,787</w:t>
            </w:r>
          </w:p>
        </w:tc>
      </w:tr>
      <w:tr w:rsidR="004E3B8A" w:rsidRPr="000B37FA" w:rsidTr="005A201C">
        <w:trPr>
          <w:trHeight w:val="238"/>
          <w:jc w:val="center"/>
        </w:trPr>
        <w:tc>
          <w:tcPr>
            <w:tcW w:w="1436" w:type="dxa"/>
            <w:vMerge/>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 </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 </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7</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21</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7</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21</w:t>
            </w:r>
          </w:p>
        </w:tc>
      </w:tr>
      <w:tr w:rsidR="004E3B8A" w:rsidRPr="000B37FA" w:rsidTr="005A201C">
        <w:trPr>
          <w:trHeight w:val="238"/>
          <w:jc w:val="center"/>
        </w:trPr>
        <w:tc>
          <w:tcPr>
            <w:tcW w:w="1436" w:type="dxa"/>
            <w:vMerge/>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23</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2,612</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40</w:t>
            </w: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196</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63</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2,808</w:t>
            </w:r>
          </w:p>
        </w:tc>
      </w:tr>
      <w:tr w:rsidR="004E3B8A" w:rsidRPr="000B37FA" w:rsidTr="005A201C">
        <w:trPr>
          <w:trHeight w:val="238"/>
          <w:jc w:val="center"/>
        </w:trPr>
        <w:tc>
          <w:tcPr>
            <w:tcW w:w="1436" w:type="dxa"/>
            <w:vMerge w:val="restart"/>
            <w:shd w:val="clear" w:color="auto" w:fill="FDEED1" w:themeFill="background2" w:themeFillTint="33"/>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N</w:t>
            </w:r>
            <w:r w:rsidR="005A201C">
              <w:rPr>
                <w:rFonts w:ascii="Arial" w:hAnsi="Arial" w:cs="Arial"/>
                <w:b/>
                <w:bCs/>
                <w:color w:val="000000" w:themeColor="text1"/>
                <w:sz w:val="16"/>
                <w:szCs w:val="16"/>
              </w:rPr>
              <w:t>H</w:t>
            </w: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118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4,166</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38</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100</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156</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4,266</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15</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16</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17</w:t>
            </w:r>
          </w:p>
        </w:tc>
        <w:tc>
          <w:tcPr>
            <w:tcW w:w="1126" w:type="dxa"/>
            <w:shd w:val="clear" w:color="auto" w:fill="FDEED1" w:themeFill="background2" w:themeFillTint="33"/>
            <w:noWrap/>
            <w:tcMar>
              <w:right w:w="144" w:type="dxa"/>
            </w:tcMar>
            <w:vAlign w:val="center"/>
          </w:tcPr>
          <w:p w:rsidR="005D54B1" w:rsidRDefault="009B6AA4">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24</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120</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4,174</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53</w:t>
            </w: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116</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173</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4,290</w:t>
            </w:r>
          </w:p>
        </w:tc>
      </w:tr>
      <w:tr w:rsidR="004E3B8A" w:rsidRPr="000B37FA" w:rsidTr="005A201C">
        <w:trPr>
          <w:trHeight w:val="238"/>
          <w:jc w:val="center"/>
        </w:trPr>
        <w:tc>
          <w:tcPr>
            <w:tcW w:w="1436" w:type="dxa"/>
            <w:vMerge w:val="restart"/>
            <w:shd w:val="clear" w:color="auto" w:fill="auto"/>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V</w:t>
            </w:r>
            <w:r w:rsidR="005A201C">
              <w:rPr>
                <w:rFonts w:ascii="Arial" w:hAnsi="Arial" w:cs="Arial"/>
                <w:b/>
                <w:bCs/>
                <w:color w:val="000000" w:themeColor="text1"/>
                <w:sz w:val="16"/>
                <w:szCs w:val="16"/>
              </w:rPr>
              <w:t>T</w:t>
            </w: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86</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924</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37</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94</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123</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1,018</w:t>
            </w:r>
          </w:p>
        </w:tc>
      </w:tr>
      <w:tr w:rsidR="004E3B8A" w:rsidRPr="000B37FA" w:rsidTr="005A201C">
        <w:trPr>
          <w:trHeight w:val="238"/>
          <w:jc w:val="center"/>
        </w:trPr>
        <w:tc>
          <w:tcPr>
            <w:tcW w:w="1436" w:type="dxa"/>
            <w:vMerge/>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w:t>
            </w:r>
          </w:p>
        </w:tc>
        <w:tc>
          <w:tcPr>
            <w:tcW w:w="1126" w:type="dxa"/>
            <w:shd w:val="clear" w:color="auto" w:fill="auto"/>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w:t>
            </w:r>
          </w:p>
        </w:tc>
        <w:tc>
          <w:tcPr>
            <w:tcW w:w="1126"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6</w:t>
            </w:r>
          </w:p>
        </w:tc>
        <w:tc>
          <w:tcPr>
            <w:tcW w:w="1125" w:type="dxa"/>
            <w:shd w:val="clear" w:color="auto" w:fill="auto"/>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22</w:t>
            </w: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9</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24</w:t>
            </w:r>
          </w:p>
        </w:tc>
      </w:tr>
      <w:tr w:rsidR="004E3B8A" w:rsidRPr="000B37FA" w:rsidTr="005A201C">
        <w:trPr>
          <w:trHeight w:val="238"/>
          <w:jc w:val="center"/>
        </w:trPr>
        <w:tc>
          <w:tcPr>
            <w:tcW w:w="1436" w:type="dxa"/>
            <w:vMerge/>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89</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926</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43</w:t>
            </w:r>
          </w:p>
        </w:tc>
        <w:tc>
          <w:tcPr>
            <w:tcW w:w="1125"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116</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132</w:t>
            </w:r>
          </w:p>
        </w:tc>
        <w:tc>
          <w:tcPr>
            <w:tcW w:w="1126" w:type="dxa"/>
            <w:shd w:val="clear" w:color="auto" w:fill="auto"/>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1,042</w:t>
            </w:r>
          </w:p>
        </w:tc>
      </w:tr>
      <w:tr w:rsidR="004E3B8A" w:rsidRPr="000B37FA" w:rsidTr="005A201C">
        <w:trPr>
          <w:trHeight w:val="238"/>
          <w:jc w:val="center"/>
        </w:trPr>
        <w:tc>
          <w:tcPr>
            <w:tcW w:w="1436" w:type="dxa"/>
            <w:vMerge w:val="restart"/>
            <w:shd w:val="clear" w:color="auto" w:fill="FDEED1" w:themeFill="background2" w:themeFillTint="33"/>
            <w:noWrap/>
            <w:tcMar>
              <w:left w:w="115" w:type="dxa"/>
            </w:tcMar>
            <w:vAlign w:val="center"/>
          </w:tcPr>
          <w:p w:rsidR="005D54B1" w:rsidRDefault="004E3B8A" w:rsidP="005A201C">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M</w:t>
            </w:r>
            <w:r w:rsidR="005A201C">
              <w:rPr>
                <w:rFonts w:ascii="Arial" w:hAnsi="Arial" w:cs="Arial"/>
                <w:b/>
                <w:bCs/>
                <w:color w:val="000000" w:themeColor="text1"/>
                <w:sz w:val="16"/>
                <w:szCs w:val="16"/>
              </w:rPr>
              <w:t>E</w:t>
            </w: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103</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3,231</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47</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325</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150</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3,556</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 </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5"/>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 </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11</w:t>
            </w:r>
          </w:p>
        </w:tc>
        <w:tc>
          <w:tcPr>
            <w:tcW w:w="1125" w:type="dxa"/>
            <w:shd w:val="clear" w:color="auto" w:fill="FDEED1" w:themeFill="background2" w:themeFillTint="33"/>
            <w:noWrap/>
            <w:tcMar>
              <w:right w:w="144" w:type="dxa"/>
            </w:tcMar>
            <w:vAlign w:val="center"/>
          </w:tcPr>
          <w:p w:rsidR="005D54B1" w:rsidRDefault="004E3B8A">
            <w:pPr>
              <w:keepNext/>
              <w:keepLines/>
              <w:tabs>
                <w:tab w:val="decimal" w:pos="748"/>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40</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11</w:t>
            </w:r>
          </w:p>
        </w:tc>
        <w:tc>
          <w:tcPr>
            <w:tcW w:w="1126" w:type="dxa"/>
            <w:shd w:val="clear" w:color="auto" w:fill="FDEED1" w:themeFill="background2" w:themeFillTint="33"/>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40</w:t>
            </w:r>
          </w:p>
        </w:tc>
      </w:tr>
      <w:tr w:rsidR="004E3B8A" w:rsidRPr="000B37FA" w:rsidTr="005A201C">
        <w:trPr>
          <w:trHeight w:val="238"/>
          <w:jc w:val="center"/>
        </w:trPr>
        <w:tc>
          <w:tcPr>
            <w:tcW w:w="1436" w:type="dxa"/>
            <w:vMerge/>
            <w:shd w:val="clear" w:color="auto" w:fill="FDEED1" w:themeFill="background2" w:themeFillTint="33"/>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FDEED1" w:themeFill="background2" w:themeFillTint="33"/>
            <w:noWrap/>
            <w:vAlign w:val="center"/>
          </w:tcPr>
          <w:p w:rsidR="00A2264A" w:rsidRDefault="00A2264A" w:rsidP="006467BE">
            <w:pPr>
              <w:keepNext/>
              <w:keepLines/>
              <w:spacing w:after="0"/>
              <w:jc w:val="center"/>
              <w:rPr>
                <w:rFonts w:ascii="Arial" w:hAnsi="Arial" w:cs="Arial"/>
                <w:b/>
                <w:bCs/>
                <w:color w:val="000000" w:themeColor="text1"/>
                <w:sz w:val="16"/>
                <w:szCs w:val="16"/>
              </w:rPr>
            </w:pP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103</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3,231</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58</w:t>
            </w:r>
          </w:p>
        </w:tc>
        <w:tc>
          <w:tcPr>
            <w:tcW w:w="1125"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366</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161</w:t>
            </w:r>
          </w:p>
        </w:tc>
        <w:tc>
          <w:tcPr>
            <w:tcW w:w="1126" w:type="dxa"/>
            <w:shd w:val="clear" w:color="auto" w:fill="FDEED1" w:themeFill="background2" w:themeFillTint="33"/>
            <w:noWrap/>
            <w:tcMar>
              <w:right w:w="144" w:type="dxa"/>
            </w:tcMar>
            <w:vAlign w:val="center"/>
          </w:tcPr>
          <w:p w:rsidR="00A2264A" w:rsidRDefault="003174D8">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3,597</w:t>
            </w:r>
          </w:p>
        </w:tc>
      </w:tr>
      <w:tr w:rsidR="004E3B8A" w:rsidRPr="000B37FA" w:rsidTr="005A201C">
        <w:trPr>
          <w:trHeight w:val="238"/>
          <w:jc w:val="center"/>
        </w:trPr>
        <w:tc>
          <w:tcPr>
            <w:tcW w:w="1436" w:type="dxa"/>
            <w:vMerge w:val="restart"/>
            <w:shd w:val="clear" w:color="auto" w:fill="auto"/>
            <w:noWrap/>
            <w:tcMar>
              <w:left w:w="115" w:type="dxa"/>
            </w:tcMar>
            <w:vAlign w:val="center"/>
          </w:tcPr>
          <w:p w:rsidR="005D54B1" w:rsidRDefault="004E3B8A">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Import</w:t>
            </w:r>
            <w:r w:rsidR="005A201C">
              <w:rPr>
                <w:rFonts w:ascii="Arial" w:hAnsi="Arial" w:cs="Arial"/>
                <w:b/>
                <w:bCs/>
                <w:color w:val="000000" w:themeColor="text1"/>
                <w:sz w:val="16"/>
                <w:szCs w:val="16"/>
              </w:rPr>
              <w:t>s</w:t>
            </w: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Existing</w:t>
            </w:r>
          </w:p>
        </w:tc>
        <w:tc>
          <w:tcPr>
            <w:tcW w:w="4502" w:type="dxa"/>
            <w:gridSpan w:val="4"/>
            <w:shd w:val="clear" w:color="auto" w:fill="auto"/>
            <w:noWrap/>
            <w:tcMar>
              <w:right w:w="144" w:type="dxa"/>
            </w:tcMar>
            <w:vAlign w:val="center"/>
          </w:tcPr>
          <w:p w:rsidR="005D54B1" w:rsidRDefault="005D54B1">
            <w:pPr>
              <w:keepNext/>
              <w:keepLines/>
              <w:tabs>
                <w:tab w:val="decimal" w:pos="748"/>
              </w:tabs>
              <w:spacing w:after="0"/>
              <w:jc w:val="right"/>
              <w:rPr>
                <w:rFonts w:ascii="Arial" w:hAnsi="Arial" w:cs="Arial"/>
                <w:b/>
                <w:bCs/>
                <w:color w:val="000000" w:themeColor="text1"/>
                <w:sz w:val="16"/>
                <w:szCs w:val="16"/>
                <w:highlight w:val="yellow"/>
              </w:rPr>
            </w:pP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7</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1,083</w:t>
            </w:r>
          </w:p>
        </w:tc>
      </w:tr>
      <w:tr w:rsidR="004E3B8A" w:rsidRPr="000B37FA" w:rsidTr="005A201C">
        <w:trPr>
          <w:trHeight w:val="238"/>
          <w:jc w:val="center"/>
        </w:trPr>
        <w:tc>
          <w:tcPr>
            <w:tcW w:w="1436" w:type="dxa"/>
            <w:vMerge/>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5D54B1" w:rsidRDefault="004E3B8A" w:rsidP="006467BE">
            <w:pPr>
              <w:keepNext/>
              <w:keepLines/>
              <w:spacing w:after="0"/>
              <w:jc w:val="center"/>
              <w:rPr>
                <w:rFonts w:ascii="Arial" w:hAnsi="Arial" w:cs="Arial"/>
                <w:color w:val="000000" w:themeColor="text1"/>
                <w:sz w:val="16"/>
                <w:szCs w:val="16"/>
              </w:rPr>
            </w:pPr>
            <w:r w:rsidRPr="000B37FA">
              <w:rPr>
                <w:rFonts w:ascii="Arial" w:hAnsi="Arial" w:cs="Arial"/>
                <w:color w:val="000000" w:themeColor="text1"/>
                <w:sz w:val="16"/>
                <w:szCs w:val="16"/>
              </w:rPr>
              <w:t>New</w:t>
            </w:r>
          </w:p>
        </w:tc>
        <w:tc>
          <w:tcPr>
            <w:tcW w:w="4502" w:type="dxa"/>
            <w:gridSpan w:val="4"/>
            <w:shd w:val="clear" w:color="auto" w:fill="auto"/>
            <w:noWrap/>
            <w:tcMar>
              <w:right w:w="144" w:type="dxa"/>
            </w:tcMar>
            <w:vAlign w:val="center"/>
          </w:tcPr>
          <w:p w:rsidR="005D54B1" w:rsidRDefault="005D54B1">
            <w:pPr>
              <w:keepNext/>
              <w:keepLines/>
              <w:tabs>
                <w:tab w:val="decimal" w:pos="748"/>
              </w:tabs>
              <w:spacing w:after="0"/>
              <w:jc w:val="right"/>
              <w:rPr>
                <w:rFonts w:ascii="Arial" w:hAnsi="Arial" w:cs="Arial"/>
                <w:b/>
                <w:bCs/>
                <w:color w:val="000000" w:themeColor="text1"/>
                <w:sz w:val="16"/>
                <w:szCs w:val="16"/>
                <w:highlight w:val="yellow"/>
              </w:rPr>
            </w:pP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color w:val="000000" w:themeColor="text1"/>
                <w:sz w:val="16"/>
                <w:szCs w:val="16"/>
              </w:rPr>
            </w:pPr>
            <w:r w:rsidRPr="000B37FA">
              <w:rPr>
                <w:rFonts w:ascii="Arial" w:hAnsi="Arial" w:cs="Arial"/>
                <w:color w:val="000000" w:themeColor="text1"/>
                <w:sz w:val="16"/>
                <w:szCs w:val="16"/>
              </w:rPr>
              <w:t>817</w:t>
            </w:r>
          </w:p>
        </w:tc>
      </w:tr>
      <w:tr w:rsidR="004E3B8A" w:rsidRPr="000B37FA" w:rsidTr="005A201C">
        <w:trPr>
          <w:trHeight w:val="238"/>
          <w:jc w:val="center"/>
        </w:trPr>
        <w:tc>
          <w:tcPr>
            <w:tcW w:w="1436" w:type="dxa"/>
            <w:vMerge/>
            <w:tcMar>
              <w:left w:w="115" w:type="dxa"/>
            </w:tcMar>
            <w:vAlign w:val="center"/>
          </w:tcPr>
          <w:p w:rsidR="005D54B1" w:rsidRDefault="005D54B1">
            <w:pPr>
              <w:keepNext/>
              <w:keepLines/>
              <w:spacing w:after="0"/>
              <w:rPr>
                <w:rFonts w:ascii="Arial" w:hAnsi="Arial" w:cs="Arial"/>
                <w:b/>
                <w:bCs/>
                <w:color w:val="000000" w:themeColor="text1"/>
                <w:sz w:val="16"/>
                <w:szCs w:val="16"/>
              </w:rPr>
            </w:pPr>
          </w:p>
        </w:tc>
        <w:tc>
          <w:tcPr>
            <w:tcW w:w="1080" w:type="dxa"/>
            <w:shd w:val="clear" w:color="auto" w:fill="auto"/>
            <w:noWrap/>
            <w:vAlign w:val="center"/>
          </w:tcPr>
          <w:p w:rsidR="005D54B1" w:rsidRDefault="005D54B1" w:rsidP="006467BE">
            <w:pPr>
              <w:keepNext/>
              <w:keepLines/>
              <w:spacing w:after="0"/>
              <w:jc w:val="center"/>
              <w:rPr>
                <w:rFonts w:ascii="Arial" w:hAnsi="Arial" w:cs="Arial"/>
                <w:b/>
                <w:bCs/>
                <w:color w:val="000000" w:themeColor="text1"/>
                <w:sz w:val="16"/>
                <w:szCs w:val="16"/>
              </w:rPr>
            </w:pPr>
          </w:p>
        </w:tc>
        <w:tc>
          <w:tcPr>
            <w:tcW w:w="4502" w:type="dxa"/>
            <w:gridSpan w:val="4"/>
            <w:shd w:val="clear" w:color="auto" w:fill="auto"/>
            <w:noWrap/>
            <w:tcMar>
              <w:right w:w="144" w:type="dxa"/>
            </w:tcMar>
            <w:vAlign w:val="center"/>
          </w:tcPr>
          <w:p w:rsidR="005D54B1" w:rsidRDefault="005D54B1">
            <w:pPr>
              <w:keepNext/>
              <w:keepLines/>
              <w:tabs>
                <w:tab w:val="decimal" w:pos="748"/>
              </w:tabs>
              <w:spacing w:after="0"/>
              <w:jc w:val="right"/>
              <w:rPr>
                <w:rFonts w:ascii="Arial" w:hAnsi="Arial" w:cs="Arial"/>
                <w:b/>
                <w:bCs/>
                <w:color w:val="000000" w:themeColor="text1"/>
                <w:sz w:val="16"/>
                <w:szCs w:val="16"/>
                <w:highlight w:val="yellow"/>
              </w:rPr>
            </w:pPr>
          </w:p>
        </w:tc>
        <w:tc>
          <w:tcPr>
            <w:tcW w:w="1126" w:type="dxa"/>
            <w:shd w:val="clear" w:color="auto" w:fill="auto"/>
            <w:noWrap/>
            <w:tcMar>
              <w:right w:w="144" w:type="dxa"/>
            </w:tcMar>
            <w:vAlign w:val="center"/>
          </w:tcPr>
          <w:p w:rsidR="005D54B1" w:rsidRDefault="004E3B8A">
            <w:pPr>
              <w:keepNext/>
              <w:keepLines/>
              <w:tabs>
                <w:tab w:val="decimal" w:pos="826"/>
              </w:tab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15</w:t>
            </w:r>
          </w:p>
        </w:tc>
        <w:tc>
          <w:tcPr>
            <w:tcW w:w="1126" w:type="dxa"/>
            <w:shd w:val="clear" w:color="auto" w:fill="auto"/>
            <w:noWrap/>
            <w:tcMar>
              <w:right w:w="144" w:type="dxa"/>
            </w:tcMar>
            <w:vAlign w:val="center"/>
          </w:tcPr>
          <w:p w:rsidR="005D54B1" w:rsidRDefault="004E3B8A">
            <w:pPr>
              <w:keepNext/>
              <w:keepLines/>
              <w:tabs>
                <w:tab w:val="decimal" w:pos="782"/>
              </w:tabs>
              <w:spacing w:after="0"/>
              <w:jc w:val="right"/>
              <w:rPr>
                <w:rFonts w:ascii="Arial" w:hAnsi="Arial" w:cs="Arial"/>
                <w:b/>
                <w:bCs/>
                <w:color w:val="000000" w:themeColor="text1"/>
                <w:sz w:val="16"/>
                <w:szCs w:val="16"/>
              </w:rPr>
            </w:pPr>
            <w:r w:rsidRPr="000B37FA">
              <w:rPr>
                <w:rFonts w:ascii="Arial" w:hAnsi="Arial" w:cs="Arial"/>
                <w:b/>
                <w:bCs/>
                <w:iCs/>
                <w:color w:val="000000" w:themeColor="text1"/>
                <w:sz w:val="16"/>
                <w:szCs w:val="16"/>
              </w:rPr>
              <w:t>1,900</w:t>
            </w:r>
          </w:p>
        </w:tc>
      </w:tr>
      <w:tr w:rsidR="004E3B8A" w:rsidRPr="000B37FA" w:rsidTr="005A201C">
        <w:trPr>
          <w:trHeight w:val="238"/>
          <w:jc w:val="center"/>
        </w:trPr>
        <w:tc>
          <w:tcPr>
            <w:tcW w:w="1436" w:type="dxa"/>
            <w:vMerge w:val="restart"/>
            <w:shd w:val="clear" w:color="auto" w:fill="FBCE76" w:themeFill="background2" w:themeFillTint="99"/>
            <w:noWrap/>
            <w:tcMar>
              <w:left w:w="115" w:type="dxa"/>
            </w:tcMar>
            <w:vAlign w:val="center"/>
          </w:tcPr>
          <w:p w:rsidR="00A2264A" w:rsidRDefault="004E3B8A">
            <w:pPr>
              <w:keepNext/>
              <w:keepLines/>
              <w:spacing w:after="0"/>
              <w:rPr>
                <w:rFonts w:ascii="Arial" w:hAnsi="Arial" w:cs="Arial"/>
                <w:b/>
                <w:bCs/>
                <w:color w:val="000000" w:themeColor="text1"/>
                <w:sz w:val="16"/>
                <w:szCs w:val="16"/>
              </w:rPr>
            </w:pPr>
            <w:r w:rsidRPr="000B37FA">
              <w:rPr>
                <w:rFonts w:ascii="Arial" w:hAnsi="Arial" w:cs="Arial"/>
                <w:b/>
                <w:bCs/>
                <w:color w:val="000000" w:themeColor="text1"/>
                <w:sz w:val="16"/>
                <w:szCs w:val="16"/>
              </w:rPr>
              <w:t>Totals</w:t>
            </w:r>
            <w:r w:rsidRPr="000B37FA">
              <w:rPr>
                <w:rFonts w:ascii="Arial" w:hAnsi="Arial" w:cs="Arial"/>
                <w:b/>
                <w:bCs/>
                <w:color w:val="000000" w:themeColor="text1"/>
                <w:sz w:val="16"/>
                <w:szCs w:val="16"/>
                <w:vertAlign w:val="superscript"/>
              </w:rPr>
              <w:t>(c)</w:t>
            </w:r>
          </w:p>
        </w:tc>
        <w:tc>
          <w:tcPr>
            <w:tcW w:w="1080" w:type="dxa"/>
            <w:shd w:val="clear" w:color="auto" w:fill="FBCE76" w:themeFill="background2" w:themeFillTint="99"/>
            <w:noWrap/>
            <w:vAlign w:val="center"/>
          </w:tcPr>
          <w:p w:rsidR="00A2264A" w:rsidRDefault="004E3B8A" w:rsidP="006467BE">
            <w:pPr>
              <w:keepNext/>
              <w:keepLines/>
              <w:spacing w:after="0"/>
              <w:jc w:val="center"/>
              <w:rPr>
                <w:rFonts w:ascii="Arial" w:hAnsi="Arial" w:cs="Arial"/>
                <w:b/>
                <w:bCs/>
                <w:color w:val="000000" w:themeColor="text1"/>
                <w:sz w:val="16"/>
                <w:szCs w:val="16"/>
              </w:rPr>
            </w:pPr>
            <w:r w:rsidRPr="000B37FA">
              <w:rPr>
                <w:rFonts w:ascii="Arial" w:hAnsi="Arial" w:cs="Arial"/>
                <w:color w:val="000000" w:themeColor="text1"/>
                <w:sz w:val="16"/>
                <w:szCs w:val="16"/>
              </w:rPr>
              <w:t>Existing</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611</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30,557</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1,337</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2,558</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1,955</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34,198</w:t>
            </w:r>
          </w:p>
        </w:tc>
      </w:tr>
      <w:tr w:rsidR="004E3B8A" w:rsidRPr="000B37FA" w:rsidTr="005A201C">
        <w:trPr>
          <w:trHeight w:val="238"/>
          <w:jc w:val="center"/>
        </w:trPr>
        <w:tc>
          <w:tcPr>
            <w:tcW w:w="1436" w:type="dxa"/>
            <w:vMerge/>
            <w:shd w:val="clear" w:color="auto" w:fill="FBCE76" w:themeFill="background2" w:themeFillTint="99"/>
            <w:tcMar>
              <w:left w:w="115" w:type="dxa"/>
            </w:tcMar>
            <w:vAlign w:val="center"/>
          </w:tcPr>
          <w:p w:rsidR="00A2264A" w:rsidRDefault="00A2264A">
            <w:pPr>
              <w:keepNext/>
              <w:keepLines/>
              <w:spacing w:after="0"/>
              <w:rPr>
                <w:rFonts w:ascii="Arial" w:hAnsi="Arial" w:cs="Arial"/>
                <w:b/>
                <w:bCs/>
                <w:color w:val="000000" w:themeColor="text1"/>
                <w:sz w:val="16"/>
                <w:szCs w:val="16"/>
              </w:rPr>
            </w:pPr>
          </w:p>
        </w:tc>
        <w:tc>
          <w:tcPr>
            <w:tcW w:w="1080" w:type="dxa"/>
            <w:shd w:val="clear" w:color="auto" w:fill="FBCE76" w:themeFill="background2" w:themeFillTint="99"/>
            <w:noWrap/>
            <w:vAlign w:val="center"/>
          </w:tcPr>
          <w:p w:rsidR="00A2264A" w:rsidRDefault="004E3B8A" w:rsidP="006467BE">
            <w:pPr>
              <w:keepNext/>
              <w:keepLines/>
              <w:spacing w:after="0"/>
              <w:jc w:val="center"/>
              <w:rPr>
                <w:rFonts w:ascii="Arial" w:hAnsi="Arial" w:cs="Arial"/>
                <w:b/>
                <w:bCs/>
                <w:color w:val="000000" w:themeColor="text1"/>
                <w:sz w:val="16"/>
                <w:szCs w:val="16"/>
              </w:rPr>
            </w:pPr>
            <w:r w:rsidRPr="000B37FA">
              <w:rPr>
                <w:rFonts w:ascii="Arial" w:hAnsi="Arial" w:cs="Arial"/>
                <w:color w:val="000000" w:themeColor="text1"/>
                <w:sz w:val="16"/>
                <w:szCs w:val="16"/>
              </w:rPr>
              <w:t>New</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24</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1,671</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91</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309</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123</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2,797</w:t>
            </w:r>
          </w:p>
        </w:tc>
      </w:tr>
      <w:tr w:rsidR="004E3B8A" w:rsidRPr="000B37FA" w:rsidTr="005A201C">
        <w:trPr>
          <w:trHeight w:val="20"/>
          <w:jc w:val="center"/>
        </w:trPr>
        <w:tc>
          <w:tcPr>
            <w:tcW w:w="2516" w:type="dxa"/>
            <w:gridSpan w:val="2"/>
            <w:shd w:val="clear" w:color="auto" w:fill="FBCE76" w:themeFill="background2" w:themeFillTint="99"/>
            <w:tcMar>
              <w:left w:w="115" w:type="dxa"/>
            </w:tcMar>
            <w:vAlign w:val="center"/>
          </w:tcPr>
          <w:p w:rsidR="00A2264A" w:rsidRDefault="004E3B8A">
            <w:pPr>
              <w:keepNext/>
              <w:keepLines/>
              <w:spacing w:after="0"/>
              <w:rPr>
                <w:rFonts w:ascii="Arial" w:hAnsi="Arial" w:cs="Arial"/>
                <w:b/>
                <w:bCs/>
                <w:color w:val="000000" w:themeColor="text1"/>
                <w:sz w:val="16"/>
                <w:szCs w:val="16"/>
              </w:rPr>
            </w:pPr>
            <w:bookmarkStart w:id="264" w:name="RANGE!A26"/>
            <w:r w:rsidRPr="000B37FA">
              <w:rPr>
                <w:rFonts w:ascii="Arial" w:hAnsi="Arial" w:cs="Arial"/>
                <w:b/>
                <w:bCs/>
                <w:color w:val="000000" w:themeColor="text1"/>
                <w:sz w:val="16"/>
                <w:szCs w:val="16"/>
              </w:rPr>
              <w:t>Grand total</w:t>
            </w:r>
            <w:bookmarkEnd w:id="264"/>
            <w:r w:rsidRPr="000B37FA">
              <w:rPr>
                <w:rFonts w:ascii="Arial" w:hAnsi="Arial" w:cs="Arial"/>
                <w:b/>
                <w:bCs/>
                <w:color w:val="000000" w:themeColor="text1"/>
                <w:sz w:val="16"/>
                <w:szCs w:val="16"/>
                <w:vertAlign w:val="superscript"/>
              </w:rPr>
              <w:t>(c)</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635</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32,228</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1,428</w:t>
            </w:r>
          </w:p>
        </w:tc>
        <w:tc>
          <w:tcPr>
            <w:tcW w:w="1125"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2,867</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2,078</w:t>
            </w:r>
          </w:p>
        </w:tc>
        <w:tc>
          <w:tcPr>
            <w:tcW w:w="1126" w:type="dxa"/>
            <w:shd w:val="clear" w:color="auto" w:fill="FBCE76" w:themeFill="background2" w:themeFillTint="99"/>
            <w:noWrap/>
            <w:tcMar>
              <w:right w:w="144" w:type="dxa"/>
            </w:tcMar>
            <w:vAlign w:val="center"/>
          </w:tcPr>
          <w:p w:rsidR="00A2264A" w:rsidRDefault="004E3B8A">
            <w:pPr>
              <w:keepNext/>
              <w:keepLines/>
              <w:spacing w:after="0"/>
              <w:jc w:val="right"/>
              <w:rPr>
                <w:rFonts w:ascii="Arial" w:hAnsi="Arial" w:cs="Arial"/>
                <w:b/>
                <w:bCs/>
                <w:color w:val="000000" w:themeColor="text1"/>
                <w:sz w:val="16"/>
                <w:szCs w:val="16"/>
              </w:rPr>
            </w:pPr>
            <w:r w:rsidRPr="000B37FA">
              <w:rPr>
                <w:rFonts w:ascii="Arial" w:hAnsi="Arial" w:cs="Arial"/>
                <w:b/>
                <w:bCs/>
                <w:color w:val="000000" w:themeColor="text1"/>
                <w:sz w:val="16"/>
                <w:szCs w:val="16"/>
              </w:rPr>
              <w:t>36,996</w:t>
            </w:r>
          </w:p>
        </w:tc>
      </w:tr>
    </w:tbl>
    <w:p w:rsidR="005D54B1" w:rsidRDefault="004E3B8A" w:rsidP="006C1527">
      <w:pPr>
        <w:keepNext/>
        <w:keepLines/>
        <w:tabs>
          <w:tab w:val="left" w:pos="90"/>
        </w:tabs>
        <w:spacing w:before="120" w:after="60" w:line="240" w:lineRule="auto"/>
        <w:ind w:left="360" w:right="-86" w:hanging="270"/>
        <w:rPr>
          <w:rFonts w:ascii="Arial" w:hAnsi="Arial" w:cs="Arial"/>
          <w:sz w:val="16"/>
          <w:szCs w:val="16"/>
        </w:rPr>
      </w:pPr>
      <w:r w:rsidRPr="00817FD4">
        <w:rPr>
          <w:rFonts w:ascii="Arial" w:hAnsi="Arial" w:cs="Arial"/>
          <w:sz w:val="16"/>
          <w:szCs w:val="16"/>
        </w:rPr>
        <w:t>(</w:t>
      </w:r>
      <w:r>
        <w:rPr>
          <w:rFonts w:ascii="Arial" w:hAnsi="Arial" w:cs="Arial"/>
          <w:sz w:val="16"/>
          <w:szCs w:val="16"/>
        </w:rPr>
        <w:t>a</w:t>
      </w:r>
      <w:r w:rsidRPr="00817FD4">
        <w:rPr>
          <w:rFonts w:ascii="Arial" w:hAnsi="Arial" w:cs="Arial"/>
          <w:sz w:val="16"/>
          <w:szCs w:val="16"/>
        </w:rPr>
        <w:t>)</w:t>
      </w:r>
      <w:r>
        <w:rPr>
          <w:rFonts w:ascii="Arial" w:hAnsi="Arial" w:cs="Arial"/>
          <w:sz w:val="16"/>
          <w:szCs w:val="16"/>
        </w:rPr>
        <w:tab/>
      </w:r>
      <w:r w:rsidRPr="00817FD4">
        <w:rPr>
          <w:rFonts w:ascii="Arial" w:hAnsi="Arial" w:cs="Arial"/>
          <w:sz w:val="16"/>
          <w:szCs w:val="16"/>
        </w:rPr>
        <w:t xml:space="preserve">Demand-resource amounts include real-time emergency generation capped at 600 MW per </w:t>
      </w:r>
      <w:r w:rsidRPr="00A43092">
        <w:rPr>
          <w:rFonts w:ascii="Arial" w:hAnsi="Arial" w:cs="Arial"/>
          <w:i/>
          <w:sz w:val="16"/>
          <w:szCs w:val="16"/>
        </w:rPr>
        <w:t>Market Rule 1</w:t>
      </w:r>
      <w:r w:rsidRPr="00817FD4">
        <w:rPr>
          <w:rFonts w:ascii="Arial" w:hAnsi="Arial" w:cs="Arial"/>
          <w:sz w:val="16"/>
          <w:szCs w:val="16"/>
        </w:rPr>
        <w:t>.</w:t>
      </w:r>
    </w:p>
    <w:p w:rsidR="005D54B1" w:rsidRDefault="004E3B8A" w:rsidP="006C1527">
      <w:pPr>
        <w:keepNext/>
        <w:keepLines/>
        <w:tabs>
          <w:tab w:val="left" w:pos="90"/>
        </w:tabs>
        <w:spacing w:after="60" w:line="240" w:lineRule="auto"/>
        <w:ind w:left="360" w:right="-90" w:hanging="270"/>
        <w:rPr>
          <w:rFonts w:ascii="Arial" w:hAnsi="Arial" w:cs="Arial"/>
          <w:sz w:val="16"/>
          <w:szCs w:val="16"/>
        </w:rPr>
      </w:pPr>
      <w:r w:rsidRPr="001A3CD4">
        <w:rPr>
          <w:rFonts w:ascii="Arial" w:hAnsi="Arial" w:cs="Arial"/>
          <w:sz w:val="16"/>
          <w:szCs w:val="16"/>
        </w:rPr>
        <w:t>(</w:t>
      </w:r>
      <w:r>
        <w:rPr>
          <w:rFonts w:ascii="Arial" w:hAnsi="Arial" w:cs="Arial"/>
          <w:sz w:val="16"/>
          <w:szCs w:val="16"/>
        </w:rPr>
        <w:t>b</w:t>
      </w:r>
      <w:r w:rsidRPr="001A3CD4">
        <w:rPr>
          <w:rFonts w:ascii="Arial" w:hAnsi="Arial" w:cs="Arial"/>
          <w:sz w:val="16"/>
          <w:szCs w:val="16"/>
        </w:rPr>
        <w:t>)</w:t>
      </w:r>
      <w:r w:rsidRPr="001A3CD4">
        <w:rPr>
          <w:rFonts w:ascii="Arial" w:hAnsi="Arial" w:cs="Arial"/>
          <w:sz w:val="16"/>
          <w:szCs w:val="16"/>
        </w:rPr>
        <w:tab/>
        <w:t>The totals include external imports.</w:t>
      </w:r>
    </w:p>
    <w:p w:rsidR="00A2264A" w:rsidRDefault="004E3B8A" w:rsidP="006C1527">
      <w:pPr>
        <w:keepNext/>
        <w:keepLines/>
        <w:tabs>
          <w:tab w:val="left" w:pos="90"/>
        </w:tabs>
        <w:spacing w:line="240" w:lineRule="auto"/>
        <w:ind w:left="360" w:right="-86" w:hanging="270"/>
        <w:rPr>
          <w:rFonts w:ascii="Arial" w:hAnsi="Arial" w:cs="Arial"/>
          <w:sz w:val="16"/>
          <w:szCs w:val="16"/>
        </w:rPr>
      </w:pPr>
      <w:r w:rsidRPr="001A3CD4">
        <w:rPr>
          <w:rFonts w:ascii="Arial" w:hAnsi="Arial" w:cs="Arial"/>
          <w:sz w:val="16"/>
          <w:szCs w:val="16"/>
        </w:rPr>
        <w:t>(</w:t>
      </w:r>
      <w:r>
        <w:rPr>
          <w:rFonts w:ascii="Arial" w:hAnsi="Arial" w:cs="Arial"/>
          <w:sz w:val="16"/>
          <w:szCs w:val="16"/>
        </w:rPr>
        <w:t>c</w:t>
      </w:r>
      <w:r w:rsidRPr="001A3CD4">
        <w:rPr>
          <w:rFonts w:ascii="Arial" w:hAnsi="Arial" w:cs="Arial"/>
          <w:sz w:val="16"/>
          <w:szCs w:val="16"/>
        </w:rPr>
        <w:t>)</w:t>
      </w:r>
      <w:r w:rsidRPr="001A3CD4">
        <w:rPr>
          <w:rFonts w:ascii="Arial" w:hAnsi="Arial" w:cs="Arial"/>
          <w:sz w:val="16"/>
          <w:szCs w:val="16"/>
        </w:rPr>
        <w:tab/>
        <w:t>Values are rounded; the sum may not agree with the totals.</w:t>
      </w:r>
    </w:p>
    <w:p w:rsidR="004E3B8A" w:rsidRDefault="004E3B8A" w:rsidP="004E3B8A">
      <w:r w:rsidRPr="006C5781">
        <w:t xml:space="preserve">Several hundred demand resources, representing 2,867 MW, cleared in the third FCA. This total reflects the total RTEG market rule limit of 600 MW. An additional 30 MW of RTEGs above the 600 MW cap were procured, resulting in a total amount of demand resources of 2,897 MW. In addition, 24 new generation resources, representing </w:t>
      </w:r>
      <w:r w:rsidRPr="006C5781">
        <w:rPr>
          <w:bCs/>
          <w:color w:val="000000"/>
        </w:rPr>
        <w:t>1,671</w:t>
      </w:r>
      <w:r w:rsidRPr="006C5781">
        <w:t xml:space="preserve"> MW, are expected to be on line by June 1, 2012.</w:t>
      </w:r>
      <w:r w:rsidRPr="00C77E16">
        <w:rPr>
          <w:rStyle w:val="FootnoteReference"/>
          <w:sz w:val="22"/>
        </w:rPr>
        <w:footnoteReference w:id="98"/>
      </w:r>
    </w:p>
    <w:p w:rsidR="00FC0261" w:rsidRDefault="004E3B8A" w:rsidP="00235A65">
      <w:pPr>
        <w:pStyle w:val="Heading4"/>
      </w:pPr>
      <w:bookmarkStart w:id="265" w:name="_Toc201669935"/>
      <w:bookmarkStart w:id="266" w:name="_Ref202445775"/>
      <w:bookmarkStart w:id="267" w:name="_Ref202456126"/>
      <w:bookmarkStart w:id="268" w:name="_Ref202667578"/>
      <w:bookmarkStart w:id="269" w:name="_Toc207531832"/>
      <w:r w:rsidRPr="006C5781">
        <w:t xml:space="preserve">Demand Resources that Cleared FCA #3 </w:t>
      </w:r>
    </w:p>
    <w:p w:rsidR="004E3B8A" w:rsidRDefault="004E3B8A" w:rsidP="004E3B8A">
      <w:r w:rsidRPr="006C5781">
        <w:t>Of the 2,867</w:t>
      </w:r>
      <w:r w:rsidR="0076739E">
        <w:t xml:space="preserve"> </w:t>
      </w:r>
      <w:r w:rsidRPr="006C5781">
        <w:t>MW</w:t>
      </w:r>
      <w:r w:rsidRPr="00BF59DA">
        <w:t xml:space="preserve"> of </w:t>
      </w:r>
      <w:r w:rsidRPr="008610C3">
        <w:t>demand resources</w:t>
      </w:r>
      <w:r w:rsidRPr="00BF59DA">
        <w:t xml:space="preserve"> </w:t>
      </w:r>
      <w:r>
        <w:t xml:space="preserve">that </w:t>
      </w:r>
      <w:r w:rsidRPr="00BF59DA">
        <w:t xml:space="preserve">cleared </w:t>
      </w:r>
      <w:r>
        <w:t xml:space="preserve">in FCA #3 and </w:t>
      </w:r>
      <w:r w:rsidRPr="00BF59DA">
        <w:t>will count toward satisfying the I</w:t>
      </w:r>
      <w:r>
        <w:t xml:space="preserve">CR </w:t>
      </w:r>
      <w:r w:rsidRPr="00BF59DA">
        <w:t>for the 201</w:t>
      </w:r>
      <w:r>
        <w:t>2</w:t>
      </w:r>
      <w:r w:rsidRPr="00BF59DA">
        <w:t>/201</w:t>
      </w:r>
      <w:r>
        <w:t>3 delivery year, p</w:t>
      </w:r>
      <w:r w:rsidRPr="00BF59DA">
        <w:t>assive demand</w:t>
      </w:r>
      <w:r>
        <w:t xml:space="preserve"> </w:t>
      </w:r>
      <w:r w:rsidRPr="00BF59DA">
        <w:t xml:space="preserve">resources </w:t>
      </w:r>
      <w:r w:rsidRPr="006C5781">
        <w:t>represent 1,072 MW</w:t>
      </w:r>
      <w:r w:rsidRPr="00BF59DA">
        <w:t xml:space="preserve">, or </w:t>
      </w:r>
      <w:r>
        <w:t>37</w:t>
      </w:r>
      <w:r w:rsidRPr="00BF59DA">
        <w:t>%</w:t>
      </w:r>
      <w:r>
        <w:t>, and a</w:t>
      </w:r>
      <w:r w:rsidRPr="00BF59DA">
        <w:t>ctive demand</w:t>
      </w:r>
      <w:r>
        <w:t xml:space="preserve"> </w:t>
      </w:r>
      <w:r w:rsidRPr="00BF59DA">
        <w:t>resources represent</w:t>
      </w:r>
      <w:r>
        <w:t xml:space="preserve"> 1,794 </w:t>
      </w:r>
      <w:r w:rsidRPr="00BF59DA">
        <w:t xml:space="preserve">MW, or </w:t>
      </w:r>
      <w:r>
        <w:t>63</w:t>
      </w:r>
      <w:r w:rsidRPr="00BF59DA">
        <w:t>%</w:t>
      </w:r>
      <w:r>
        <w:t>. T</w:t>
      </w:r>
      <w:r w:rsidRPr="00BF59DA">
        <w:t>o meet the ICR requirements imposed under the market rules</w:t>
      </w:r>
      <w:r>
        <w:t>, t</w:t>
      </w:r>
      <w:r w:rsidRPr="00BF59DA">
        <w:t xml:space="preserve">he </w:t>
      </w:r>
      <w:r w:rsidR="007D29BE">
        <w:t xml:space="preserve">value for </w:t>
      </w:r>
      <w:r w:rsidRPr="00BF59DA">
        <w:t>active</w:t>
      </w:r>
      <w:r w:rsidR="007D29BE">
        <w:t xml:space="preserve"> </w:t>
      </w:r>
      <w:r w:rsidRPr="00BF59DA">
        <w:t>demand</w:t>
      </w:r>
      <w:r w:rsidR="007D29BE">
        <w:t xml:space="preserve"> </w:t>
      </w:r>
      <w:r w:rsidRPr="00BF59DA">
        <w:t xml:space="preserve">response </w:t>
      </w:r>
      <w:r>
        <w:t xml:space="preserve">includes </w:t>
      </w:r>
      <w:r w:rsidRPr="00BF59DA">
        <w:t>a 600 MW cap placed on the use of emergency generators.</w:t>
      </w:r>
      <w:r>
        <w:t xml:space="preserve"> </w:t>
      </w:r>
      <w:r w:rsidR="00832C7A">
        <w:fldChar w:fldCharType="begin"/>
      </w:r>
      <w:r w:rsidR="008C6AD9">
        <w:instrText xml:space="preserve"> REF _Ref262657761 \h </w:instrText>
      </w:r>
      <w:r w:rsidR="00832C7A">
        <w:fldChar w:fldCharType="separate"/>
      </w:r>
      <w:r w:rsidR="00E5699E">
        <w:t xml:space="preserve">Table </w:t>
      </w:r>
      <w:r w:rsidR="00E5699E">
        <w:rPr>
          <w:noProof/>
        </w:rPr>
        <w:t>4</w:t>
      </w:r>
      <w:r w:rsidR="00E5699E">
        <w:noBreakHyphen/>
      </w:r>
      <w:r w:rsidR="00E5699E">
        <w:rPr>
          <w:noProof/>
        </w:rPr>
        <w:t>7</w:t>
      </w:r>
      <w:r w:rsidR="00832C7A">
        <w:fldChar w:fldCharType="end"/>
      </w:r>
      <w:r>
        <w:t xml:space="preserve"> shows the types and locations of demand resources that cleared in FCA #3.</w:t>
      </w:r>
    </w:p>
    <w:p w:rsidR="004E3B8A" w:rsidRDefault="00550281" w:rsidP="00550281">
      <w:pPr>
        <w:pStyle w:val="Caption"/>
      </w:pPr>
      <w:bookmarkStart w:id="270" w:name="_Ref262657761"/>
      <w:bookmarkStart w:id="271" w:name="_Toc271552408"/>
      <w:r>
        <w:t xml:space="preserve">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7</w:t>
      </w:r>
      <w:r w:rsidR="00832C7A">
        <w:fldChar w:fldCharType="end"/>
      </w:r>
      <w:bookmarkEnd w:id="270"/>
      <w:r w:rsidRPr="00621CD2">
        <w:br/>
      </w:r>
      <w:r w:rsidRPr="00F763A8">
        <w:rPr>
          <w:rFonts w:cs="Arial"/>
        </w:rPr>
        <w:t>Demand-Resource Capacity that Cleared in FCA #</w:t>
      </w:r>
      <w:r>
        <w:rPr>
          <w:rFonts w:cs="Arial"/>
        </w:rPr>
        <w:t>3</w:t>
      </w:r>
      <w:r w:rsidRPr="00F763A8">
        <w:rPr>
          <w:rFonts w:cs="Arial"/>
        </w:rPr>
        <w:t xml:space="preserve"> (MW)</w:t>
      </w:r>
      <w:r w:rsidRPr="00065A30">
        <w:rPr>
          <w:rFonts w:cs="Arial"/>
          <w:vertAlign w:val="superscript"/>
        </w:rPr>
        <w:t>(a)</w:t>
      </w:r>
      <w:bookmarkEnd w:id="271"/>
    </w:p>
    <w:tbl>
      <w:tblPr>
        <w:tblW w:w="9119"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29" w:type="dxa"/>
          <w:left w:w="58" w:type="dxa"/>
          <w:bottom w:w="29" w:type="dxa"/>
          <w:right w:w="58" w:type="dxa"/>
        </w:tblCellMar>
        <w:tblLook w:val="0000"/>
      </w:tblPr>
      <w:tblGrid>
        <w:gridCol w:w="3600"/>
        <w:gridCol w:w="788"/>
        <w:gridCol w:w="788"/>
        <w:gridCol w:w="789"/>
        <w:gridCol w:w="788"/>
        <w:gridCol w:w="789"/>
        <w:gridCol w:w="788"/>
        <w:gridCol w:w="789"/>
      </w:tblGrid>
      <w:tr w:rsidR="004E3B8A" w:rsidRPr="00DD73B5" w:rsidTr="007C7CF0">
        <w:trPr>
          <w:trHeight w:val="255"/>
          <w:jc w:val="center"/>
        </w:trPr>
        <w:tc>
          <w:tcPr>
            <w:tcW w:w="3600"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Resource Type</w:t>
            </w:r>
          </w:p>
        </w:tc>
        <w:tc>
          <w:tcPr>
            <w:tcW w:w="788" w:type="dxa"/>
            <w:shd w:val="clear" w:color="auto" w:fill="FBCE76" w:themeFill="background2" w:themeFillTint="99"/>
            <w:tcMar>
              <w:top w:w="43" w:type="dxa"/>
              <w:left w:w="58" w:type="dxa"/>
              <w:bottom w:w="43" w:type="dxa"/>
              <w:right w:w="58"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ME</w:t>
            </w:r>
          </w:p>
        </w:tc>
        <w:tc>
          <w:tcPr>
            <w:tcW w:w="788"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NH</w:t>
            </w:r>
          </w:p>
        </w:tc>
        <w:tc>
          <w:tcPr>
            <w:tcW w:w="789"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VT</w:t>
            </w:r>
          </w:p>
        </w:tc>
        <w:tc>
          <w:tcPr>
            <w:tcW w:w="788"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MA</w:t>
            </w:r>
          </w:p>
        </w:tc>
        <w:tc>
          <w:tcPr>
            <w:tcW w:w="789"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CT</w:t>
            </w:r>
          </w:p>
        </w:tc>
        <w:tc>
          <w:tcPr>
            <w:tcW w:w="788"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RI</w:t>
            </w:r>
          </w:p>
        </w:tc>
        <w:tc>
          <w:tcPr>
            <w:tcW w:w="789" w:type="dxa"/>
            <w:shd w:val="clear" w:color="auto" w:fill="FBCE76" w:themeFill="background2" w:themeFillTint="99"/>
            <w:tcMar>
              <w:top w:w="43" w:type="dxa"/>
              <w:bottom w:w="43" w:type="dxa"/>
            </w:tcMar>
            <w:vAlign w:val="center"/>
          </w:tcPr>
          <w:p w:rsidR="004E3B8A" w:rsidRPr="00DD73B5" w:rsidRDefault="004E3B8A" w:rsidP="00550281">
            <w:pPr>
              <w:keepNext/>
              <w:keepLines/>
              <w:spacing w:after="0"/>
              <w:jc w:val="center"/>
              <w:rPr>
                <w:rFonts w:ascii="Arial" w:hAnsi="Arial" w:cs="Arial"/>
                <w:b/>
                <w:bCs/>
                <w:color w:val="000000" w:themeColor="text1"/>
                <w:sz w:val="18"/>
                <w:szCs w:val="18"/>
              </w:rPr>
            </w:pPr>
            <w:r w:rsidRPr="00DD73B5">
              <w:rPr>
                <w:rFonts w:ascii="Arial" w:hAnsi="Arial" w:cs="Arial"/>
                <w:b/>
                <w:bCs/>
                <w:color w:val="000000" w:themeColor="text1"/>
                <w:sz w:val="18"/>
                <w:szCs w:val="18"/>
              </w:rPr>
              <w:t>Total</w:t>
            </w:r>
          </w:p>
        </w:tc>
      </w:tr>
      <w:tr w:rsidR="004E3B8A" w:rsidRPr="00DD73B5" w:rsidTr="007C7CF0">
        <w:trPr>
          <w:trHeight w:val="255"/>
          <w:jc w:val="center"/>
        </w:trPr>
        <w:tc>
          <w:tcPr>
            <w:tcW w:w="3600" w:type="dxa"/>
            <w:shd w:val="clear" w:color="auto" w:fill="auto"/>
            <w:noWrap/>
            <w:tcMar>
              <w:top w:w="43" w:type="dxa"/>
              <w:bottom w:w="43" w:type="dxa"/>
            </w:tcMar>
            <w:vAlign w:val="center"/>
          </w:tcPr>
          <w:p w:rsidR="004E3B8A" w:rsidRPr="00DD73B5" w:rsidRDefault="004E3B8A" w:rsidP="00550281">
            <w:pPr>
              <w:keepNext/>
              <w:keepLines/>
              <w:spacing w:after="0"/>
              <w:rPr>
                <w:rFonts w:ascii="Arial" w:hAnsi="Arial" w:cs="Arial"/>
                <w:b/>
                <w:color w:val="000000" w:themeColor="text1"/>
                <w:sz w:val="18"/>
                <w:szCs w:val="18"/>
              </w:rPr>
            </w:pPr>
            <w:r w:rsidRPr="00DD73B5">
              <w:rPr>
                <w:rFonts w:ascii="Arial" w:hAnsi="Arial" w:cs="Arial"/>
                <w:b/>
                <w:color w:val="000000" w:themeColor="text1"/>
                <w:sz w:val="18"/>
                <w:szCs w:val="18"/>
              </w:rPr>
              <w:t>On-peak demand resource</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60</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63</w:t>
            </w:r>
          </w:p>
        </w:tc>
        <w:tc>
          <w:tcPr>
            <w:tcW w:w="789"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75</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418</w:t>
            </w:r>
          </w:p>
        </w:tc>
        <w:tc>
          <w:tcPr>
            <w:tcW w:w="789"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114</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69</w:t>
            </w:r>
          </w:p>
        </w:tc>
        <w:tc>
          <w:tcPr>
            <w:tcW w:w="789" w:type="dxa"/>
            <w:shd w:val="clear" w:color="auto" w:fill="auto"/>
            <w:noWrap/>
            <w:tcMar>
              <w:top w:w="43" w:type="dxa"/>
              <w:left w:w="0" w:type="dxa"/>
              <w:bottom w:w="43" w:type="dxa"/>
              <w:right w:w="173" w:type="dxa"/>
            </w:tcMar>
            <w:vAlign w:val="bottom"/>
          </w:tcPr>
          <w:p w:rsidR="004E3B8A" w:rsidRPr="00DD73B5" w:rsidRDefault="004E3B8A" w:rsidP="00465930">
            <w:pPr>
              <w:keepNext/>
              <w:keepLines/>
              <w:tabs>
                <w:tab w:val="decimal" w:pos="515"/>
              </w:tabs>
              <w:spacing w:after="0"/>
              <w:jc w:val="right"/>
              <w:rPr>
                <w:rFonts w:ascii="Arial" w:hAnsi="Arial" w:cs="Arial"/>
                <w:b/>
                <w:bCs/>
                <w:color w:val="000000" w:themeColor="text1"/>
                <w:sz w:val="18"/>
                <w:szCs w:val="18"/>
              </w:rPr>
            </w:pPr>
            <w:r w:rsidRPr="00DD73B5">
              <w:rPr>
                <w:rFonts w:ascii="Arial" w:hAnsi="Arial" w:cs="Arial"/>
                <w:color w:val="000000" w:themeColor="text1"/>
                <w:sz w:val="18"/>
                <w:szCs w:val="18"/>
              </w:rPr>
              <w:t>799</w:t>
            </w:r>
          </w:p>
        </w:tc>
      </w:tr>
      <w:tr w:rsidR="004E3B8A" w:rsidRPr="00DD73B5" w:rsidTr="007C7CF0">
        <w:trPr>
          <w:trHeight w:val="255"/>
          <w:jc w:val="center"/>
        </w:trPr>
        <w:tc>
          <w:tcPr>
            <w:tcW w:w="3600" w:type="dxa"/>
            <w:shd w:val="clear" w:color="auto" w:fill="FDEED1" w:themeFill="background2" w:themeFillTint="33"/>
            <w:noWrap/>
            <w:tcMar>
              <w:top w:w="43" w:type="dxa"/>
              <w:bottom w:w="43" w:type="dxa"/>
            </w:tcMar>
            <w:vAlign w:val="center"/>
          </w:tcPr>
          <w:p w:rsidR="004E3B8A" w:rsidRPr="00DD73B5" w:rsidRDefault="004E3B8A" w:rsidP="00550281">
            <w:pPr>
              <w:keepNext/>
              <w:keepLines/>
              <w:spacing w:after="0"/>
              <w:rPr>
                <w:rFonts w:ascii="Arial" w:hAnsi="Arial" w:cs="Arial"/>
                <w:b/>
                <w:color w:val="000000" w:themeColor="text1"/>
                <w:sz w:val="18"/>
                <w:szCs w:val="18"/>
              </w:rPr>
            </w:pPr>
            <w:r w:rsidRPr="00DD73B5">
              <w:rPr>
                <w:rFonts w:ascii="Arial" w:hAnsi="Arial" w:cs="Arial"/>
                <w:b/>
                <w:color w:val="000000" w:themeColor="text1"/>
                <w:sz w:val="18"/>
                <w:szCs w:val="18"/>
              </w:rPr>
              <w:t>Real-time demand-response resource</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274</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41</w:t>
            </w:r>
          </w:p>
        </w:tc>
        <w:tc>
          <w:tcPr>
            <w:tcW w:w="789"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33</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524</w:t>
            </w:r>
          </w:p>
        </w:tc>
        <w:tc>
          <w:tcPr>
            <w:tcW w:w="789"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273</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49</w:t>
            </w:r>
          </w:p>
        </w:tc>
        <w:tc>
          <w:tcPr>
            <w:tcW w:w="789" w:type="dxa"/>
            <w:shd w:val="clear" w:color="auto" w:fill="FDEED1" w:themeFill="background2" w:themeFillTint="33"/>
            <w:noWrap/>
            <w:tcMar>
              <w:top w:w="43" w:type="dxa"/>
              <w:left w:w="0" w:type="dxa"/>
              <w:bottom w:w="43" w:type="dxa"/>
              <w:right w:w="173" w:type="dxa"/>
            </w:tcMar>
            <w:vAlign w:val="bottom"/>
          </w:tcPr>
          <w:p w:rsidR="004E3B8A" w:rsidRPr="00DD73B5" w:rsidRDefault="004E3B8A" w:rsidP="00465930">
            <w:pPr>
              <w:keepNext/>
              <w:keepLines/>
              <w:tabs>
                <w:tab w:val="decimal" w:pos="515"/>
              </w:tabs>
              <w:spacing w:after="0"/>
              <w:jc w:val="right"/>
              <w:rPr>
                <w:rFonts w:ascii="Arial" w:hAnsi="Arial" w:cs="Arial"/>
                <w:b/>
                <w:bCs/>
                <w:color w:val="000000" w:themeColor="text1"/>
                <w:sz w:val="18"/>
                <w:szCs w:val="18"/>
              </w:rPr>
            </w:pPr>
            <w:r w:rsidRPr="00DD73B5">
              <w:rPr>
                <w:rFonts w:ascii="Arial" w:hAnsi="Arial" w:cs="Arial"/>
                <w:color w:val="000000" w:themeColor="text1"/>
                <w:sz w:val="18"/>
                <w:szCs w:val="18"/>
              </w:rPr>
              <w:t>1,194</w:t>
            </w:r>
          </w:p>
        </w:tc>
      </w:tr>
      <w:tr w:rsidR="004E3B8A" w:rsidRPr="00DD73B5" w:rsidTr="007C7CF0">
        <w:trPr>
          <w:trHeight w:val="255"/>
          <w:jc w:val="center"/>
        </w:trPr>
        <w:tc>
          <w:tcPr>
            <w:tcW w:w="3600" w:type="dxa"/>
            <w:shd w:val="clear" w:color="auto" w:fill="auto"/>
            <w:noWrap/>
            <w:tcMar>
              <w:top w:w="43" w:type="dxa"/>
              <w:bottom w:w="43" w:type="dxa"/>
            </w:tcMar>
            <w:vAlign w:val="center"/>
          </w:tcPr>
          <w:p w:rsidR="004E3B8A" w:rsidRPr="00DD73B5" w:rsidRDefault="004E3B8A" w:rsidP="00550281">
            <w:pPr>
              <w:keepNext/>
              <w:keepLines/>
              <w:spacing w:after="0"/>
              <w:rPr>
                <w:rFonts w:ascii="Arial" w:hAnsi="Arial" w:cs="Arial"/>
                <w:b/>
                <w:color w:val="000000" w:themeColor="text1"/>
                <w:sz w:val="18"/>
                <w:szCs w:val="18"/>
              </w:rPr>
            </w:pPr>
            <w:r w:rsidRPr="00DD73B5">
              <w:rPr>
                <w:rFonts w:ascii="Arial" w:hAnsi="Arial" w:cs="Arial"/>
                <w:b/>
                <w:color w:val="000000" w:themeColor="text1"/>
                <w:sz w:val="18"/>
                <w:szCs w:val="18"/>
              </w:rPr>
              <w:t>Real-time emergency-generation resource</w:t>
            </w:r>
            <w:r w:rsidRPr="00DD73B5">
              <w:rPr>
                <w:rFonts w:ascii="Arial" w:hAnsi="Arial" w:cs="Arial"/>
                <w:b/>
                <w:color w:val="000000" w:themeColor="text1"/>
                <w:sz w:val="18"/>
                <w:szCs w:val="18"/>
                <w:vertAlign w:val="superscript"/>
              </w:rPr>
              <w:t>(b)</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32</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11</w:t>
            </w:r>
          </w:p>
        </w:tc>
        <w:tc>
          <w:tcPr>
            <w:tcW w:w="789"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8</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279</w:t>
            </w:r>
          </w:p>
        </w:tc>
        <w:tc>
          <w:tcPr>
            <w:tcW w:w="789"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194</w:t>
            </w:r>
          </w:p>
        </w:tc>
        <w:tc>
          <w:tcPr>
            <w:tcW w:w="788" w:type="dxa"/>
            <w:shd w:val="clear" w:color="auto" w:fill="auto"/>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76</w:t>
            </w:r>
          </w:p>
        </w:tc>
        <w:tc>
          <w:tcPr>
            <w:tcW w:w="789" w:type="dxa"/>
            <w:shd w:val="clear" w:color="auto" w:fill="auto"/>
            <w:noWrap/>
            <w:tcMar>
              <w:top w:w="43" w:type="dxa"/>
              <w:left w:w="0" w:type="dxa"/>
              <w:bottom w:w="43" w:type="dxa"/>
              <w:right w:w="173" w:type="dxa"/>
            </w:tcMar>
            <w:vAlign w:val="bottom"/>
          </w:tcPr>
          <w:p w:rsidR="004E3B8A" w:rsidRPr="00DD73B5" w:rsidRDefault="004E3B8A" w:rsidP="00465930">
            <w:pPr>
              <w:keepNext/>
              <w:keepLines/>
              <w:tabs>
                <w:tab w:val="decimal" w:pos="515"/>
              </w:tabs>
              <w:spacing w:after="0"/>
              <w:jc w:val="right"/>
              <w:rPr>
                <w:rFonts w:ascii="Arial" w:hAnsi="Arial" w:cs="Arial"/>
                <w:b/>
                <w:bCs/>
                <w:color w:val="000000" w:themeColor="text1"/>
                <w:sz w:val="18"/>
                <w:szCs w:val="18"/>
              </w:rPr>
            </w:pPr>
            <w:r w:rsidRPr="00DD73B5">
              <w:rPr>
                <w:rFonts w:ascii="Arial" w:hAnsi="Arial" w:cs="Arial"/>
                <w:color w:val="000000" w:themeColor="text1"/>
                <w:sz w:val="18"/>
                <w:szCs w:val="18"/>
              </w:rPr>
              <w:t>630</w:t>
            </w:r>
          </w:p>
        </w:tc>
      </w:tr>
      <w:tr w:rsidR="004E3B8A" w:rsidRPr="00DD73B5" w:rsidTr="007C7CF0">
        <w:trPr>
          <w:trHeight w:val="255"/>
          <w:jc w:val="center"/>
        </w:trPr>
        <w:tc>
          <w:tcPr>
            <w:tcW w:w="3600" w:type="dxa"/>
            <w:shd w:val="clear" w:color="auto" w:fill="FDEED1" w:themeFill="background2" w:themeFillTint="33"/>
            <w:noWrap/>
            <w:tcMar>
              <w:top w:w="43" w:type="dxa"/>
              <w:bottom w:w="43" w:type="dxa"/>
            </w:tcMar>
            <w:vAlign w:val="center"/>
          </w:tcPr>
          <w:p w:rsidR="004E3B8A" w:rsidRPr="00DD73B5" w:rsidRDefault="004E3B8A" w:rsidP="00550281">
            <w:pPr>
              <w:keepNext/>
              <w:keepLines/>
              <w:spacing w:after="0"/>
              <w:rPr>
                <w:rFonts w:ascii="Arial" w:hAnsi="Arial" w:cs="Arial"/>
                <w:b/>
                <w:color w:val="000000" w:themeColor="text1"/>
                <w:sz w:val="18"/>
                <w:szCs w:val="18"/>
              </w:rPr>
            </w:pPr>
            <w:r w:rsidRPr="00DD73B5">
              <w:rPr>
                <w:rFonts w:ascii="Arial" w:hAnsi="Arial" w:cs="Arial"/>
                <w:b/>
                <w:color w:val="000000" w:themeColor="text1"/>
                <w:sz w:val="18"/>
                <w:szCs w:val="18"/>
              </w:rPr>
              <w:t>Seasonal-peak demand resource</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0</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0</w:t>
            </w:r>
          </w:p>
        </w:tc>
        <w:tc>
          <w:tcPr>
            <w:tcW w:w="789"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0</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21</w:t>
            </w:r>
          </w:p>
        </w:tc>
        <w:tc>
          <w:tcPr>
            <w:tcW w:w="789"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251</w:t>
            </w:r>
          </w:p>
        </w:tc>
        <w:tc>
          <w:tcPr>
            <w:tcW w:w="788" w:type="dxa"/>
            <w:shd w:val="clear" w:color="auto" w:fill="FDEED1" w:themeFill="background2" w:themeFillTint="33"/>
            <w:noWrap/>
            <w:tcMar>
              <w:top w:w="43" w:type="dxa"/>
              <w:left w:w="0" w:type="dxa"/>
              <w:bottom w:w="43" w:type="dxa"/>
              <w:right w:w="43" w:type="dxa"/>
            </w:tcMar>
            <w:vAlign w:val="bottom"/>
          </w:tcPr>
          <w:p w:rsidR="004E3B8A" w:rsidRPr="00DD73B5" w:rsidRDefault="004E3B8A" w:rsidP="00465930">
            <w:pPr>
              <w:keepNext/>
              <w:keepLines/>
              <w:tabs>
                <w:tab w:val="decimal" w:pos="366"/>
              </w:tabs>
              <w:spacing w:after="0"/>
              <w:ind w:right="144"/>
              <w:jc w:val="right"/>
              <w:rPr>
                <w:rFonts w:ascii="Arial" w:hAnsi="Arial" w:cs="Arial"/>
                <w:color w:val="000000" w:themeColor="text1"/>
                <w:sz w:val="18"/>
                <w:szCs w:val="18"/>
              </w:rPr>
            </w:pPr>
            <w:r w:rsidRPr="00DD73B5">
              <w:rPr>
                <w:rFonts w:ascii="Arial" w:hAnsi="Arial" w:cs="Arial"/>
                <w:color w:val="000000" w:themeColor="text1"/>
                <w:sz w:val="18"/>
                <w:szCs w:val="18"/>
              </w:rPr>
              <w:t>2</w:t>
            </w:r>
          </w:p>
        </w:tc>
        <w:tc>
          <w:tcPr>
            <w:tcW w:w="789" w:type="dxa"/>
            <w:shd w:val="clear" w:color="auto" w:fill="FDEED1" w:themeFill="background2" w:themeFillTint="33"/>
            <w:noWrap/>
            <w:tcMar>
              <w:top w:w="43" w:type="dxa"/>
              <w:left w:w="0" w:type="dxa"/>
              <w:bottom w:w="43" w:type="dxa"/>
              <w:right w:w="173" w:type="dxa"/>
            </w:tcMar>
            <w:vAlign w:val="bottom"/>
          </w:tcPr>
          <w:p w:rsidR="004E3B8A" w:rsidRPr="00DD73B5" w:rsidRDefault="004E3B8A" w:rsidP="00465930">
            <w:pPr>
              <w:keepNext/>
              <w:keepLines/>
              <w:tabs>
                <w:tab w:val="decimal" w:pos="515"/>
              </w:tabs>
              <w:spacing w:after="0"/>
              <w:jc w:val="right"/>
              <w:rPr>
                <w:rFonts w:ascii="Arial" w:hAnsi="Arial" w:cs="Arial"/>
                <w:b/>
                <w:bCs/>
                <w:color w:val="000000" w:themeColor="text1"/>
                <w:sz w:val="18"/>
                <w:szCs w:val="18"/>
              </w:rPr>
            </w:pPr>
            <w:r w:rsidRPr="00DD73B5">
              <w:rPr>
                <w:rFonts w:ascii="Arial" w:hAnsi="Arial" w:cs="Arial"/>
                <w:color w:val="000000" w:themeColor="text1"/>
                <w:sz w:val="18"/>
                <w:szCs w:val="18"/>
              </w:rPr>
              <w:t>273</w:t>
            </w:r>
          </w:p>
        </w:tc>
      </w:tr>
      <w:tr w:rsidR="004E3B8A" w:rsidRPr="00DD73B5" w:rsidTr="007C7CF0">
        <w:trPr>
          <w:trHeight w:val="255"/>
          <w:jc w:val="center"/>
        </w:trPr>
        <w:tc>
          <w:tcPr>
            <w:tcW w:w="3600" w:type="dxa"/>
            <w:shd w:val="clear" w:color="auto" w:fill="FBCE76" w:themeFill="background2" w:themeFillTint="99"/>
            <w:noWrap/>
            <w:tcMar>
              <w:top w:w="43" w:type="dxa"/>
              <w:bottom w:w="43" w:type="dxa"/>
            </w:tcMar>
            <w:vAlign w:val="center"/>
          </w:tcPr>
          <w:p w:rsidR="004E3B8A" w:rsidRPr="00DD73B5" w:rsidRDefault="004E3B8A" w:rsidP="00A24ADD">
            <w:pPr>
              <w:keepNext/>
              <w:keepLines/>
              <w:spacing w:after="0"/>
              <w:rPr>
                <w:rFonts w:ascii="Arial" w:hAnsi="Arial" w:cs="Arial"/>
                <w:b/>
                <w:bCs/>
                <w:color w:val="000000" w:themeColor="text1"/>
                <w:sz w:val="18"/>
                <w:szCs w:val="18"/>
              </w:rPr>
            </w:pPr>
            <w:r w:rsidRPr="00DD73B5">
              <w:rPr>
                <w:rFonts w:ascii="Arial" w:hAnsi="Arial" w:cs="Arial"/>
                <w:b/>
                <w:bCs/>
                <w:color w:val="000000" w:themeColor="text1"/>
                <w:sz w:val="18"/>
                <w:szCs w:val="18"/>
              </w:rPr>
              <w:t>Total</w:t>
            </w:r>
          </w:p>
        </w:tc>
        <w:tc>
          <w:tcPr>
            <w:tcW w:w="788"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366</w:t>
            </w:r>
          </w:p>
        </w:tc>
        <w:tc>
          <w:tcPr>
            <w:tcW w:w="788"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116</w:t>
            </w:r>
          </w:p>
        </w:tc>
        <w:tc>
          <w:tcPr>
            <w:tcW w:w="789"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116</w:t>
            </w:r>
          </w:p>
        </w:tc>
        <w:tc>
          <w:tcPr>
            <w:tcW w:w="788"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1,256</w:t>
            </w:r>
          </w:p>
        </w:tc>
        <w:tc>
          <w:tcPr>
            <w:tcW w:w="789"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841</w:t>
            </w:r>
          </w:p>
        </w:tc>
        <w:tc>
          <w:tcPr>
            <w:tcW w:w="788" w:type="dxa"/>
            <w:shd w:val="clear" w:color="auto" w:fill="FBCE76" w:themeFill="background2" w:themeFillTint="99"/>
            <w:noWrap/>
            <w:tcMar>
              <w:top w:w="43" w:type="dxa"/>
              <w:left w:w="0" w:type="dxa"/>
              <w:bottom w:w="43" w:type="dxa"/>
              <w:right w:w="43" w:type="dxa"/>
            </w:tcMar>
            <w:vAlign w:val="bottom"/>
          </w:tcPr>
          <w:p w:rsidR="004E3B8A" w:rsidRPr="00DD73B5" w:rsidRDefault="004E3B8A" w:rsidP="00465930">
            <w:pPr>
              <w:keepNext/>
              <w:keepLines/>
              <w:tabs>
                <w:tab w:val="decimal" w:pos="353"/>
              </w:tabs>
              <w:spacing w:after="0"/>
              <w:ind w:right="144"/>
              <w:jc w:val="right"/>
              <w:rPr>
                <w:rFonts w:ascii="Arial" w:hAnsi="Arial" w:cs="Arial"/>
                <w:b/>
                <w:bCs/>
                <w:color w:val="000000" w:themeColor="text1"/>
                <w:sz w:val="18"/>
                <w:szCs w:val="18"/>
              </w:rPr>
            </w:pPr>
            <w:r w:rsidRPr="00DD73B5">
              <w:rPr>
                <w:rFonts w:ascii="Arial" w:hAnsi="Arial" w:cs="Arial"/>
                <w:b/>
                <w:bCs/>
                <w:color w:val="000000" w:themeColor="text1"/>
                <w:sz w:val="18"/>
                <w:szCs w:val="18"/>
              </w:rPr>
              <w:t>200</w:t>
            </w:r>
          </w:p>
        </w:tc>
        <w:tc>
          <w:tcPr>
            <w:tcW w:w="789" w:type="dxa"/>
            <w:shd w:val="clear" w:color="auto" w:fill="FBCE76" w:themeFill="background2" w:themeFillTint="99"/>
            <w:noWrap/>
            <w:tcMar>
              <w:top w:w="43" w:type="dxa"/>
              <w:left w:w="0" w:type="dxa"/>
              <w:bottom w:w="43" w:type="dxa"/>
              <w:right w:w="173" w:type="dxa"/>
            </w:tcMar>
            <w:vAlign w:val="center"/>
          </w:tcPr>
          <w:p w:rsidR="004E3B8A" w:rsidRPr="00DD73B5" w:rsidRDefault="004E3B8A" w:rsidP="00465930">
            <w:pPr>
              <w:keepNext/>
              <w:keepLines/>
              <w:tabs>
                <w:tab w:val="decimal" w:pos="576"/>
              </w:tabs>
              <w:spacing w:after="0"/>
              <w:jc w:val="right"/>
              <w:rPr>
                <w:rFonts w:ascii="Arial" w:hAnsi="Arial" w:cs="Arial"/>
                <w:b/>
                <w:bCs/>
                <w:color w:val="000000" w:themeColor="text1"/>
                <w:sz w:val="18"/>
                <w:szCs w:val="18"/>
              </w:rPr>
            </w:pPr>
            <w:r w:rsidRPr="00DD73B5">
              <w:rPr>
                <w:rFonts w:ascii="Arial" w:hAnsi="Arial" w:cs="Arial"/>
                <w:b/>
                <w:bCs/>
                <w:color w:val="000000" w:themeColor="text1"/>
                <w:sz w:val="18"/>
                <w:szCs w:val="18"/>
              </w:rPr>
              <w:t>2,897</w:t>
            </w:r>
          </w:p>
        </w:tc>
      </w:tr>
    </w:tbl>
    <w:p w:rsidR="004E3B8A" w:rsidRPr="006C5781" w:rsidRDefault="004E3B8A" w:rsidP="007C7CF0">
      <w:pPr>
        <w:keepNext/>
        <w:keepLines/>
        <w:widowControl w:val="0"/>
        <w:spacing w:before="120" w:after="80" w:line="240" w:lineRule="auto"/>
        <w:ind w:left="450" w:right="90" w:hanging="270"/>
        <w:rPr>
          <w:rFonts w:ascii="Arial" w:hAnsi="Arial" w:cs="Arial"/>
          <w:sz w:val="16"/>
          <w:szCs w:val="16"/>
        </w:rPr>
      </w:pPr>
      <w:r w:rsidRPr="004A47B1">
        <w:rPr>
          <w:rFonts w:ascii="Arial" w:hAnsi="Arial" w:cs="Arial"/>
          <w:sz w:val="16"/>
          <w:szCs w:val="16"/>
        </w:rPr>
        <w:t>(</w:t>
      </w:r>
      <w:r w:rsidRPr="006C5781">
        <w:rPr>
          <w:rFonts w:ascii="Arial" w:hAnsi="Arial" w:cs="Arial"/>
          <w:sz w:val="16"/>
          <w:szCs w:val="16"/>
        </w:rPr>
        <w:t>a)</w:t>
      </w:r>
      <w:r w:rsidRPr="006C5781">
        <w:rPr>
          <w:rFonts w:ascii="Arial" w:hAnsi="Arial" w:cs="Arial"/>
          <w:sz w:val="16"/>
          <w:szCs w:val="16"/>
        </w:rPr>
        <w:tab/>
        <w:t xml:space="preserve">All megawatt values </w:t>
      </w:r>
      <w:r w:rsidR="000E34CD">
        <w:rPr>
          <w:rFonts w:ascii="Arial" w:hAnsi="Arial" w:cs="Arial"/>
          <w:sz w:val="16"/>
          <w:szCs w:val="16"/>
        </w:rPr>
        <w:t xml:space="preserve">include the loss adjustment. </w:t>
      </w:r>
      <w:r w:rsidRPr="006C5781">
        <w:rPr>
          <w:rFonts w:ascii="Arial" w:hAnsi="Arial" w:cs="Arial"/>
          <w:sz w:val="16"/>
          <w:szCs w:val="16"/>
        </w:rPr>
        <w:t>Totals may not equal the sum because of rounding.</w:t>
      </w:r>
    </w:p>
    <w:p w:rsidR="004E3B8A" w:rsidRPr="00924C17" w:rsidRDefault="004E3B8A" w:rsidP="007C7CF0">
      <w:pPr>
        <w:keepNext/>
        <w:keepLines/>
        <w:widowControl w:val="0"/>
        <w:spacing w:after="80" w:line="240" w:lineRule="auto"/>
        <w:ind w:left="450" w:right="90" w:hanging="270"/>
      </w:pPr>
      <w:r w:rsidRPr="006C5781">
        <w:rPr>
          <w:rFonts w:ascii="Arial" w:hAnsi="Arial" w:cs="Arial"/>
          <w:sz w:val="16"/>
          <w:szCs w:val="16"/>
        </w:rPr>
        <w:t>(b)</w:t>
      </w:r>
      <w:r w:rsidRPr="006C5781">
        <w:rPr>
          <w:rFonts w:ascii="Arial" w:hAnsi="Arial" w:cs="Arial"/>
          <w:sz w:val="16"/>
          <w:szCs w:val="16"/>
        </w:rPr>
        <w:tab/>
        <w:t>The use of real-time emergency-generation resources to meet the ICR is limited to 600 MW, but the 600 MW cap has not</w:t>
      </w:r>
      <w:r w:rsidR="0031430C">
        <w:rPr>
          <w:rFonts w:ascii="Arial" w:hAnsi="Arial" w:cs="Arial"/>
          <w:sz w:val="16"/>
          <w:szCs w:val="16"/>
        </w:rPr>
        <w:t xml:space="preserve"> </w:t>
      </w:r>
      <w:r w:rsidRPr="006C5781">
        <w:rPr>
          <w:rFonts w:ascii="Arial" w:hAnsi="Arial" w:cs="Arial"/>
          <w:sz w:val="16"/>
          <w:szCs w:val="16"/>
        </w:rPr>
        <w:t>been applied to the values in this table.</w:t>
      </w:r>
      <w:r w:rsidR="008E01FB">
        <w:rPr>
          <w:rFonts w:ascii="Arial" w:hAnsi="Arial" w:cs="Arial"/>
          <w:sz w:val="16"/>
          <w:szCs w:val="16"/>
        </w:rPr>
        <w:t xml:space="preserve"> </w:t>
      </w:r>
    </w:p>
    <w:p w:rsidR="00B462A6" w:rsidRDefault="004E3B8A">
      <w:pPr>
        <w:pStyle w:val="Heading3"/>
      </w:pPr>
      <w:bookmarkStart w:id="272" w:name="_Toc239157067"/>
      <w:bookmarkStart w:id="273" w:name="_Toc271632222"/>
      <w:bookmarkEnd w:id="265"/>
      <w:bookmarkEnd w:id="266"/>
      <w:bookmarkEnd w:id="267"/>
      <w:bookmarkEnd w:id="268"/>
      <w:bookmarkEnd w:id="269"/>
      <w:r w:rsidRPr="006A58D7">
        <w:t xml:space="preserve">Meeting </w:t>
      </w:r>
      <w:r w:rsidRPr="008610C3">
        <w:t>Capacity Needs</w:t>
      </w:r>
      <w:bookmarkEnd w:id="272"/>
      <w:bookmarkEnd w:id="273"/>
    </w:p>
    <w:p w:rsidR="004E3B8A" w:rsidRDefault="00832C7A" w:rsidP="004E3B8A">
      <w:r>
        <w:fldChar w:fldCharType="begin"/>
      </w:r>
      <w:r w:rsidR="004E3B8A">
        <w:instrText xml:space="preserve"> REF _Ref262590345 \h </w:instrText>
      </w:r>
      <w:r>
        <w:fldChar w:fldCharType="separate"/>
      </w:r>
      <w:r w:rsidR="00E5699E">
        <w:t>Table </w:t>
      </w:r>
      <w:r w:rsidR="00E5699E">
        <w:rPr>
          <w:noProof/>
        </w:rPr>
        <w:t>4</w:t>
      </w:r>
      <w:r w:rsidR="00E5699E">
        <w:noBreakHyphen/>
      </w:r>
      <w:r w:rsidR="00E5699E">
        <w:rPr>
          <w:noProof/>
        </w:rPr>
        <w:t>8</w:t>
      </w:r>
      <w:r>
        <w:fldChar w:fldCharType="end"/>
      </w:r>
      <w:r w:rsidR="004E3B8A">
        <w:t xml:space="preserve"> </w:t>
      </w:r>
      <w:r w:rsidR="004E3B8A" w:rsidRPr="005A7FA9">
        <w:t>shows that no additional physical capacity would be needed to meet the representative future ICR</w:t>
      </w:r>
      <w:r w:rsidR="004E3B8A">
        <w:t xml:space="preserve"> during the study period. This projection assumes all resources with supply obligations</w:t>
      </w:r>
      <w:r w:rsidR="004E3B8A" w:rsidRPr="00063594">
        <w:t xml:space="preserve"> </w:t>
      </w:r>
      <w:r w:rsidR="004E3B8A">
        <w:t>through FCA #3 are in commercial service by the start of the third capacity commitment period commencing in June 2012 and that all existing resources interconnected within New England as of that date remain in service.</w:t>
      </w:r>
      <w:r w:rsidR="00AB6ADD" w:rsidRPr="0003155D">
        <w:rPr>
          <w:rStyle w:val="FootnoteReference"/>
          <w:sz w:val="22"/>
        </w:rPr>
        <w:footnoteReference w:id="99"/>
      </w:r>
    </w:p>
    <w:p w:rsidR="00A2264A" w:rsidRDefault="004E3B8A">
      <w:pPr>
        <w:pStyle w:val="Caption"/>
      </w:pPr>
      <w:bookmarkStart w:id="274" w:name="_Ref262590345"/>
      <w:bookmarkStart w:id="275" w:name="_Toc271552409"/>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8</w:t>
      </w:r>
      <w:r w:rsidR="00832C7A">
        <w:fldChar w:fldCharType="end"/>
      </w:r>
      <w:bookmarkEnd w:id="274"/>
      <w:r w:rsidRPr="00621CD2">
        <w:br/>
      </w:r>
      <w:r w:rsidRPr="00171EF9">
        <w:t>Actual and Representative Future New England</w:t>
      </w:r>
      <w:r>
        <w:t xml:space="preserve"> </w:t>
      </w:r>
      <w:r w:rsidRPr="00171EF9">
        <w:t>Net Installed Capacity</w:t>
      </w:r>
      <w:r>
        <w:t xml:space="preserve"> </w:t>
      </w:r>
      <w:r w:rsidRPr="00171EF9">
        <w:t>Requirements</w:t>
      </w:r>
      <w:r>
        <w:t xml:space="preserve"> </w:t>
      </w:r>
      <w:r w:rsidRPr="00171EF9">
        <w:t>for 20</w:t>
      </w:r>
      <w:r>
        <w:t>10–</w:t>
      </w:r>
      <w:r w:rsidRPr="00171EF9">
        <w:t>201</w:t>
      </w:r>
      <w:r w:rsidR="00192F37">
        <w:t>9</w:t>
      </w:r>
      <w:r>
        <w:t xml:space="preserve"> </w:t>
      </w:r>
      <w:r w:rsidRPr="00171EF9">
        <w:t xml:space="preserve">and Potential </w:t>
      </w:r>
      <w:r>
        <w:t>Surplus ICAP</w:t>
      </w:r>
      <w:bookmarkEnd w:id="275"/>
      <w:r w:rsidR="00BC08FA">
        <w:t xml:space="preserve"> (MW)</w:t>
      </w:r>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4" w:type="dxa"/>
          <w:bottom w:w="14" w:type="dxa"/>
        </w:tblCellMar>
        <w:tblLook w:val="04A0"/>
      </w:tblPr>
      <w:tblGrid>
        <w:gridCol w:w="1710"/>
        <w:gridCol w:w="1645"/>
        <w:gridCol w:w="1749"/>
        <w:gridCol w:w="1749"/>
        <w:gridCol w:w="1750"/>
      </w:tblGrid>
      <w:tr w:rsidR="004E3B8A" w:rsidRPr="00127123" w:rsidTr="004E3B8A">
        <w:trPr>
          <w:cnfStyle w:val="100000000000"/>
          <w:trHeight w:val="717"/>
        </w:trPr>
        <w:tc>
          <w:tcPr>
            <w:cnfStyle w:val="001000000100"/>
            <w:tcW w:w="1710" w:type="dxa"/>
            <w:shd w:val="clear" w:color="auto" w:fill="FBCE76" w:themeFill="background2" w:themeFillTint="99"/>
            <w:tcMar>
              <w:top w:w="43" w:type="dxa"/>
              <w:bottom w:w="43" w:type="dxa"/>
            </w:tcMar>
          </w:tcPr>
          <w:p w:rsidR="004E3B8A" w:rsidRPr="00523DE8" w:rsidRDefault="004E3B8A" w:rsidP="00550281">
            <w:pPr>
              <w:keepNext/>
              <w:keepLines/>
              <w:widowControl w:val="0"/>
              <w:spacing w:after="0"/>
              <w:jc w:val="center"/>
              <w:rPr>
                <w:rFonts w:ascii="Arial" w:hAnsi="Arial" w:cs="Arial"/>
                <w:b w:val="0"/>
                <w:bCs w:val="0"/>
                <w:color w:val="000000" w:themeColor="text1"/>
                <w:sz w:val="18"/>
                <w:szCs w:val="18"/>
              </w:rPr>
            </w:pPr>
            <w:r w:rsidRPr="00523DE8">
              <w:rPr>
                <w:rFonts w:ascii="Arial" w:hAnsi="Arial" w:cs="Arial"/>
                <w:color w:val="000000" w:themeColor="text1"/>
                <w:sz w:val="18"/>
                <w:szCs w:val="18"/>
              </w:rPr>
              <w:t>Year</w:t>
            </w:r>
          </w:p>
        </w:tc>
        <w:tc>
          <w:tcPr>
            <w:tcW w:w="1645" w:type="dxa"/>
            <w:shd w:val="clear" w:color="auto" w:fill="FBCE76" w:themeFill="background2" w:themeFillTint="99"/>
            <w:tcMar>
              <w:top w:w="43" w:type="dxa"/>
              <w:bottom w:w="43" w:type="dxa"/>
            </w:tcMar>
          </w:tcPr>
          <w:p w:rsidR="00A2264A" w:rsidRDefault="004E3B8A">
            <w:pPr>
              <w:keepNext/>
              <w:keepLines/>
              <w:widowControl w:val="0"/>
              <w:spacing w:after="0"/>
              <w:cnfStyle w:val="100000000000"/>
              <w:rPr>
                <w:rFonts w:ascii="Arial" w:hAnsi="Arial" w:cs="Arial"/>
                <w:b w:val="0"/>
                <w:bCs w:val="0"/>
                <w:color w:val="000000" w:themeColor="text1"/>
                <w:sz w:val="18"/>
                <w:szCs w:val="18"/>
              </w:rPr>
            </w:pPr>
            <w:r w:rsidRPr="00523DE8">
              <w:rPr>
                <w:rFonts w:ascii="Arial" w:hAnsi="Arial" w:cs="Arial"/>
                <w:color w:val="000000" w:themeColor="text1"/>
                <w:sz w:val="18"/>
                <w:szCs w:val="18"/>
              </w:rPr>
              <w:t>Forecast</w:t>
            </w:r>
            <w:r w:rsidRPr="00523DE8">
              <w:rPr>
                <w:rFonts w:ascii="Arial" w:hAnsi="Arial" w:cs="Arial"/>
                <w:color w:val="000000" w:themeColor="text1"/>
                <w:sz w:val="18"/>
                <w:szCs w:val="18"/>
              </w:rPr>
              <w:br/>
              <w:t>50/50 Peak</w:t>
            </w:r>
          </w:p>
        </w:tc>
        <w:tc>
          <w:tcPr>
            <w:tcW w:w="1749" w:type="dxa"/>
            <w:shd w:val="clear" w:color="auto" w:fill="FBCE76" w:themeFill="background2" w:themeFillTint="99"/>
            <w:tcMar>
              <w:top w:w="43" w:type="dxa"/>
              <w:bottom w:w="43" w:type="dxa"/>
            </w:tcMar>
          </w:tcPr>
          <w:p w:rsidR="00A2264A" w:rsidRDefault="004E3B8A">
            <w:pPr>
              <w:keepNext/>
              <w:keepLines/>
              <w:widowControl w:val="0"/>
              <w:spacing w:after="0"/>
              <w:cnfStyle w:val="100000000000"/>
              <w:rPr>
                <w:rFonts w:ascii="Arial" w:hAnsi="Arial" w:cs="Arial"/>
                <w:b w:val="0"/>
                <w:bCs w:val="0"/>
                <w:color w:val="000000" w:themeColor="text1"/>
                <w:sz w:val="18"/>
                <w:szCs w:val="18"/>
              </w:rPr>
            </w:pPr>
            <w:r w:rsidRPr="00523DE8">
              <w:rPr>
                <w:rFonts w:ascii="Arial" w:hAnsi="Arial" w:cs="Arial"/>
                <w:color w:val="000000" w:themeColor="text1"/>
                <w:sz w:val="18"/>
                <w:szCs w:val="18"/>
              </w:rPr>
              <w:t>Representative Future Net ICR</w:t>
            </w:r>
            <w:r w:rsidRPr="00523DE8">
              <w:rPr>
                <w:rFonts w:ascii="Arial" w:hAnsi="Arial" w:cs="Arial"/>
                <w:color w:val="000000" w:themeColor="text1"/>
                <w:sz w:val="18"/>
                <w:szCs w:val="18"/>
                <w:vertAlign w:val="superscript"/>
              </w:rPr>
              <w:t>(a)</w:t>
            </w:r>
          </w:p>
        </w:tc>
        <w:tc>
          <w:tcPr>
            <w:tcW w:w="1749" w:type="dxa"/>
            <w:shd w:val="clear" w:color="auto" w:fill="FBCE76" w:themeFill="background2" w:themeFillTint="99"/>
            <w:tcMar>
              <w:top w:w="43" w:type="dxa"/>
              <w:bottom w:w="43" w:type="dxa"/>
            </w:tcMar>
          </w:tcPr>
          <w:p w:rsidR="00A2264A" w:rsidRDefault="004E3B8A">
            <w:pPr>
              <w:keepNext/>
              <w:keepLines/>
              <w:widowControl w:val="0"/>
              <w:spacing w:after="0"/>
              <w:cnfStyle w:val="100000000000"/>
              <w:rPr>
                <w:rFonts w:ascii="Arial" w:hAnsi="Arial" w:cs="Arial"/>
                <w:b w:val="0"/>
                <w:bCs w:val="0"/>
                <w:color w:val="000000" w:themeColor="text1"/>
                <w:sz w:val="18"/>
                <w:szCs w:val="18"/>
              </w:rPr>
            </w:pPr>
            <w:r w:rsidRPr="00523DE8">
              <w:rPr>
                <w:rFonts w:ascii="Arial" w:hAnsi="Arial" w:cs="Arial"/>
                <w:color w:val="000000" w:themeColor="text1"/>
                <w:sz w:val="18"/>
                <w:szCs w:val="18"/>
              </w:rPr>
              <w:t>Assumed Existing ICAP</w:t>
            </w:r>
            <w:r w:rsidRPr="00523DE8">
              <w:rPr>
                <w:rFonts w:ascii="Arial" w:hAnsi="Arial" w:cs="Arial"/>
                <w:color w:val="000000" w:themeColor="text1"/>
                <w:sz w:val="18"/>
                <w:szCs w:val="18"/>
                <w:vertAlign w:val="superscript"/>
              </w:rPr>
              <w:t>(b)</w:t>
            </w:r>
          </w:p>
        </w:tc>
        <w:tc>
          <w:tcPr>
            <w:tcW w:w="1750" w:type="dxa"/>
            <w:shd w:val="clear" w:color="auto" w:fill="FBCE76" w:themeFill="background2" w:themeFillTint="99"/>
            <w:tcMar>
              <w:top w:w="43" w:type="dxa"/>
              <w:bottom w:w="43" w:type="dxa"/>
            </w:tcMar>
          </w:tcPr>
          <w:p w:rsidR="00A2264A" w:rsidRDefault="004E3B8A">
            <w:pPr>
              <w:keepNext/>
              <w:keepLines/>
              <w:widowControl w:val="0"/>
              <w:spacing w:after="0"/>
              <w:cnfStyle w:val="100000000000"/>
              <w:rPr>
                <w:rFonts w:ascii="Arial" w:hAnsi="Arial" w:cs="Arial"/>
                <w:b w:val="0"/>
                <w:bCs w:val="0"/>
                <w:color w:val="000000" w:themeColor="text1"/>
                <w:sz w:val="18"/>
                <w:szCs w:val="18"/>
              </w:rPr>
            </w:pPr>
            <w:r w:rsidRPr="00523DE8">
              <w:rPr>
                <w:rFonts w:ascii="Arial" w:hAnsi="Arial" w:cs="Arial"/>
                <w:color w:val="000000" w:themeColor="text1"/>
                <w:sz w:val="18"/>
                <w:szCs w:val="18"/>
              </w:rPr>
              <w:t>Potential Surplus ICAP</w:t>
            </w:r>
            <w:r w:rsidRPr="00523DE8">
              <w:rPr>
                <w:rFonts w:ascii="Arial" w:hAnsi="Arial" w:cs="Arial"/>
                <w:color w:val="000000" w:themeColor="text1"/>
                <w:sz w:val="18"/>
                <w:szCs w:val="18"/>
                <w:vertAlign w:val="superscript"/>
              </w:rPr>
              <w:t>(c)</w:t>
            </w:r>
          </w:p>
        </w:tc>
      </w:tr>
      <w:tr w:rsidR="004E3B8A" w:rsidRPr="00127123" w:rsidTr="000B37FA">
        <w:trPr>
          <w:cnfStyle w:val="000000100000"/>
          <w:trHeight w:val="288"/>
        </w:trPr>
        <w:tc>
          <w:tcPr>
            <w:cnfStyle w:val="001000000000"/>
            <w:tcW w:w="1710" w:type="dxa"/>
            <w:noWrap/>
            <w:tcMar>
              <w:left w:w="0" w:type="dxa"/>
              <w:right w:w="144" w:type="dxa"/>
            </w:tcMar>
          </w:tcPr>
          <w:p w:rsidR="004E3B8A" w:rsidRPr="00127123" w:rsidRDefault="004E3B8A" w:rsidP="00550281">
            <w:pPr>
              <w:keepNext/>
              <w:keepLines/>
              <w:tabs>
                <w:tab w:val="decimal" w:pos="0"/>
              </w:tabs>
              <w:spacing w:after="0"/>
              <w:jc w:val="center"/>
              <w:rPr>
                <w:rFonts w:ascii="Arial" w:hAnsi="Arial" w:cs="Arial"/>
                <w:b w:val="0"/>
                <w:bCs w:val="0"/>
                <w:sz w:val="18"/>
                <w:szCs w:val="18"/>
              </w:rPr>
            </w:pPr>
            <w:r w:rsidRPr="00127123">
              <w:rPr>
                <w:rFonts w:ascii="Arial" w:hAnsi="Arial" w:cs="Arial"/>
                <w:sz w:val="18"/>
                <w:szCs w:val="18"/>
              </w:rPr>
              <w:t>2010</w:t>
            </w:r>
            <w:r>
              <w:rPr>
                <w:rFonts w:ascii="Arial" w:hAnsi="Arial" w:cs="Arial"/>
                <w:sz w:val="18"/>
                <w:szCs w:val="18"/>
              </w:rPr>
              <w:t>/2011</w:t>
            </w:r>
          </w:p>
        </w:tc>
        <w:tc>
          <w:tcPr>
            <w:tcW w:w="1645" w:type="dxa"/>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100000"/>
              <w:rPr>
                <w:rFonts w:ascii="Arial" w:hAnsi="Arial" w:cs="Arial"/>
                <w:sz w:val="18"/>
                <w:szCs w:val="18"/>
              </w:rPr>
            </w:pPr>
            <w:r w:rsidRPr="00EA5526">
              <w:rPr>
                <w:rFonts w:ascii="Arial" w:hAnsi="Arial" w:cs="Arial"/>
                <w:sz w:val="18"/>
                <w:szCs w:val="18"/>
              </w:rPr>
              <w:t>27,190</w:t>
            </w:r>
          </w:p>
        </w:tc>
        <w:tc>
          <w:tcPr>
            <w:tcW w:w="1749" w:type="dxa"/>
            <w:noWrap/>
            <w:tcMar>
              <w:left w:w="0" w:type="dxa"/>
              <w:right w:w="58"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31,110</w:t>
            </w:r>
            <w:r w:rsidR="009B289D" w:rsidRPr="009B289D">
              <w:rPr>
                <w:rFonts w:ascii="Arial" w:hAnsi="Arial" w:cs="Arial"/>
                <w:sz w:val="18"/>
                <w:szCs w:val="18"/>
                <w:vertAlign w:val="superscript"/>
              </w:rPr>
              <w:t>(</w:t>
            </w:r>
            <w:r w:rsidR="009B289D">
              <w:rPr>
                <w:rFonts w:ascii="Arial" w:hAnsi="Arial" w:cs="Arial"/>
                <w:sz w:val="18"/>
                <w:szCs w:val="18"/>
                <w:vertAlign w:val="superscript"/>
              </w:rPr>
              <w:t>d</w:t>
            </w:r>
            <w:r w:rsidR="009B289D" w:rsidRPr="009B289D">
              <w:rPr>
                <w:rFonts w:ascii="Arial" w:hAnsi="Arial" w:cs="Arial"/>
                <w:sz w:val="18"/>
                <w:szCs w:val="18"/>
                <w:vertAlign w:val="superscript"/>
              </w:rPr>
              <w:t>)</w:t>
            </w:r>
          </w:p>
        </w:tc>
        <w:tc>
          <w:tcPr>
            <w:tcW w:w="1749" w:type="dxa"/>
            <w:noWrap/>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32,678</w:t>
            </w:r>
          </w:p>
        </w:tc>
        <w:tc>
          <w:tcPr>
            <w:tcW w:w="1750" w:type="dxa"/>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1,568</w:t>
            </w:r>
          </w:p>
        </w:tc>
      </w:tr>
      <w:tr w:rsidR="004E3B8A" w:rsidRPr="00127123" w:rsidTr="000B37FA">
        <w:trPr>
          <w:cnfStyle w:val="000000010000"/>
          <w:trHeight w:val="288"/>
        </w:trPr>
        <w:tc>
          <w:tcPr>
            <w:cnfStyle w:val="001000000000"/>
            <w:tcW w:w="1710" w:type="dxa"/>
            <w:shd w:val="clear" w:color="auto" w:fill="FDEED1" w:themeFill="background2" w:themeFillTint="33"/>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2011</w:t>
            </w:r>
            <w:r>
              <w:rPr>
                <w:rFonts w:ascii="Arial" w:hAnsi="Arial" w:cs="Arial"/>
                <w:sz w:val="18"/>
                <w:szCs w:val="18"/>
              </w:rPr>
              <w:t>/2012</w:t>
            </w:r>
          </w:p>
        </w:tc>
        <w:tc>
          <w:tcPr>
            <w:tcW w:w="1645" w:type="dxa"/>
            <w:shd w:val="clear" w:color="auto" w:fill="FDEED1" w:themeFill="background2" w:themeFillTint="33"/>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010000"/>
              <w:rPr>
                <w:rFonts w:ascii="Arial" w:hAnsi="Arial" w:cs="Arial"/>
                <w:sz w:val="18"/>
                <w:szCs w:val="18"/>
              </w:rPr>
            </w:pPr>
            <w:r w:rsidRPr="00EA5526">
              <w:rPr>
                <w:rFonts w:ascii="Arial" w:hAnsi="Arial" w:cs="Arial"/>
                <w:sz w:val="18"/>
                <w:szCs w:val="18"/>
              </w:rPr>
              <w:t>27,660</w:t>
            </w:r>
          </w:p>
        </w:tc>
        <w:tc>
          <w:tcPr>
            <w:tcW w:w="1749" w:type="dxa"/>
            <w:shd w:val="clear" w:color="auto" w:fill="FDEED1" w:themeFill="background2" w:themeFillTint="33"/>
            <w:noWrap/>
            <w:tcMar>
              <w:left w:w="0"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31,741</w:t>
            </w:r>
            <w:r w:rsidR="009B289D" w:rsidRPr="0049300D">
              <w:rPr>
                <w:rFonts w:ascii="Arial" w:hAnsi="Arial" w:cs="Arial"/>
                <w:sz w:val="18"/>
                <w:szCs w:val="18"/>
                <w:vertAlign w:val="superscript"/>
              </w:rPr>
              <w:t>(e)</w:t>
            </w:r>
          </w:p>
        </w:tc>
        <w:tc>
          <w:tcPr>
            <w:tcW w:w="1749" w:type="dxa"/>
            <w:shd w:val="clear" w:color="auto" w:fill="FDEED1" w:themeFill="background2" w:themeFillTint="33"/>
            <w:noWrap/>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33,030</w:t>
            </w:r>
          </w:p>
        </w:tc>
        <w:tc>
          <w:tcPr>
            <w:tcW w:w="1750" w:type="dxa"/>
            <w:shd w:val="clear" w:color="auto" w:fill="FDEED1" w:themeFill="background2" w:themeFillTint="33"/>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1,289</w:t>
            </w:r>
          </w:p>
        </w:tc>
      </w:tr>
      <w:tr w:rsidR="004E3B8A" w:rsidRPr="00127123" w:rsidTr="000B37FA">
        <w:trPr>
          <w:cnfStyle w:val="000000100000"/>
          <w:trHeight w:val="288"/>
        </w:trPr>
        <w:tc>
          <w:tcPr>
            <w:cnfStyle w:val="001000000000"/>
            <w:tcW w:w="1710" w:type="dxa"/>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2012</w:t>
            </w:r>
            <w:r>
              <w:rPr>
                <w:rFonts w:ascii="Arial" w:hAnsi="Arial" w:cs="Arial"/>
                <w:sz w:val="18"/>
                <w:szCs w:val="18"/>
              </w:rPr>
              <w:t>/2013</w:t>
            </w:r>
          </w:p>
        </w:tc>
        <w:tc>
          <w:tcPr>
            <w:tcW w:w="1645" w:type="dxa"/>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100000"/>
              <w:rPr>
                <w:rFonts w:ascii="Arial" w:hAnsi="Arial" w:cs="Arial"/>
                <w:sz w:val="18"/>
                <w:szCs w:val="18"/>
              </w:rPr>
            </w:pPr>
            <w:r w:rsidRPr="00EA5526">
              <w:rPr>
                <w:rFonts w:ascii="Arial" w:hAnsi="Arial" w:cs="Arial"/>
                <w:sz w:val="18"/>
                <w:szCs w:val="18"/>
              </w:rPr>
              <w:t>28,165</w:t>
            </w:r>
          </w:p>
        </w:tc>
        <w:tc>
          <w:tcPr>
            <w:tcW w:w="1749" w:type="dxa"/>
            <w:noWrap/>
            <w:tcMar>
              <w:left w:w="0" w:type="dxa"/>
              <w:right w:w="58"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31,965</w:t>
            </w:r>
            <w:r w:rsidR="009B289D" w:rsidRPr="0049300D">
              <w:rPr>
                <w:rFonts w:ascii="Arial" w:hAnsi="Arial" w:cs="Arial"/>
                <w:sz w:val="18"/>
                <w:szCs w:val="18"/>
                <w:vertAlign w:val="superscript"/>
              </w:rPr>
              <w:t>(f)</w:t>
            </w:r>
          </w:p>
        </w:tc>
        <w:tc>
          <w:tcPr>
            <w:tcW w:w="1749" w:type="dxa"/>
            <w:noWrap/>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37,026</w:t>
            </w:r>
          </w:p>
        </w:tc>
        <w:tc>
          <w:tcPr>
            <w:tcW w:w="1750" w:type="dxa"/>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5,061</w:t>
            </w:r>
          </w:p>
        </w:tc>
      </w:tr>
      <w:tr w:rsidR="004E3B8A" w:rsidRPr="00127123" w:rsidTr="000B37FA">
        <w:trPr>
          <w:cnfStyle w:val="000000010000"/>
          <w:trHeight w:val="288"/>
        </w:trPr>
        <w:tc>
          <w:tcPr>
            <w:cnfStyle w:val="001000000000"/>
            <w:tcW w:w="1710" w:type="dxa"/>
            <w:shd w:val="clear" w:color="auto" w:fill="FDEED1" w:themeFill="background2" w:themeFillTint="33"/>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2013</w:t>
            </w:r>
            <w:r>
              <w:rPr>
                <w:rFonts w:ascii="Arial" w:hAnsi="Arial" w:cs="Arial"/>
                <w:sz w:val="18"/>
                <w:szCs w:val="18"/>
              </w:rPr>
              <w:t>/2014</w:t>
            </w:r>
          </w:p>
        </w:tc>
        <w:tc>
          <w:tcPr>
            <w:tcW w:w="1645" w:type="dxa"/>
            <w:shd w:val="clear" w:color="auto" w:fill="FDEED1" w:themeFill="background2" w:themeFillTint="33"/>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010000"/>
              <w:rPr>
                <w:rFonts w:ascii="Arial" w:hAnsi="Arial" w:cs="Arial"/>
                <w:sz w:val="18"/>
                <w:szCs w:val="18"/>
              </w:rPr>
            </w:pPr>
            <w:r w:rsidRPr="00EA5526">
              <w:rPr>
                <w:rFonts w:ascii="Arial" w:hAnsi="Arial" w:cs="Arial"/>
                <w:sz w:val="18"/>
                <w:szCs w:val="18"/>
              </w:rPr>
              <w:t>28,570</w:t>
            </w:r>
          </w:p>
        </w:tc>
        <w:tc>
          <w:tcPr>
            <w:tcW w:w="1749" w:type="dxa"/>
            <w:shd w:val="clear" w:color="auto" w:fill="FDEED1" w:themeFill="background2" w:themeFillTint="33"/>
            <w:noWrap/>
            <w:tcMar>
              <w:left w:w="0"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32,127</w:t>
            </w:r>
            <w:r w:rsidR="009B289D" w:rsidRPr="0049300D">
              <w:rPr>
                <w:rFonts w:ascii="Arial" w:hAnsi="Arial" w:cs="Arial"/>
                <w:sz w:val="18"/>
                <w:szCs w:val="18"/>
                <w:vertAlign w:val="superscript"/>
              </w:rPr>
              <w:t>(g)</w:t>
            </w:r>
          </w:p>
        </w:tc>
        <w:tc>
          <w:tcPr>
            <w:tcW w:w="1749" w:type="dxa"/>
            <w:shd w:val="clear" w:color="auto" w:fill="FDEED1" w:themeFill="background2" w:themeFillTint="33"/>
            <w:noWrap/>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35,440</w:t>
            </w:r>
          </w:p>
        </w:tc>
        <w:tc>
          <w:tcPr>
            <w:tcW w:w="1750" w:type="dxa"/>
            <w:shd w:val="clear" w:color="auto" w:fill="FDEED1" w:themeFill="background2" w:themeFillTint="33"/>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3,313</w:t>
            </w:r>
          </w:p>
        </w:tc>
      </w:tr>
      <w:tr w:rsidR="004E3B8A" w:rsidRPr="00127123" w:rsidTr="000B37FA">
        <w:trPr>
          <w:cnfStyle w:val="000000100000"/>
          <w:trHeight w:val="288"/>
        </w:trPr>
        <w:tc>
          <w:tcPr>
            <w:cnfStyle w:val="001000000000"/>
            <w:tcW w:w="1710" w:type="dxa"/>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2014</w:t>
            </w:r>
            <w:r>
              <w:rPr>
                <w:rFonts w:ascii="Arial" w:hAnsi="Arial" w:cs="Arial"/>
                <w:sz w:val="18"/>
                <w:szCs w:val="18"/>
              </w:rPr>
              <w:t>/2015</w:t>
            </w:r>
          </w:p>
        </w:tc>
        <w:tc>
          <w:tcPr>
            <w:tcW w:w="1645" w:type="dxa"/>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100000"/>
              <w:rPr>
                <w:rFonts w:ascii="Arial" w:hAnsi="Arial" w:cs="Arial"/>
                <w:sz w:val="18"/>
                <w:szCs w:val="18"/>
              </w:rPr>
            </w:pPr>
            <w:r w:rsidRPr="00EA5526">
              <w:rPr>
                <w:rFonts w:ascii="Arial" w:hAnsi="Arial" w:cs="Arial"/>
                <w:sz w:val="18"/>
                <w:szCs w:val="18"/>
              </w:rPr>
              <w:t>29,025</w:t>
            </w:r>
          </w:p>
        </w:tc>
        <w:tc>
          <w:tcPr>
            <w:tcW w:w="1749" w:type="dxa"/>
            <w:noWrap/>
            <w:tcMar>
              <w:left w:w="0" w:type="dxa"/>
              <w:right w:w="58"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32,672</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noWrap/>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35,440</w:t>
            </w:r>
          </w:p>
        </w:tc>
        <w:tc>
          <w:tcPr>
            <w:tcW w:w="1750" w:type="dxa"/>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2,768</w:t>
            </w:r>
          </w:p>
        </w:tc>
      </w:tr>
      <w:tr w:rsidR="004E3B8A" w:rsidRPr="00127123" w:rsidTr="000B37FA">
        <w:trPr>
          <w:cnfStyle w:val="000000010000"/>
          <w:trHeight w:val="288"/>
        </w:trPr>
        <w:tc>
          <w:tcPr>
            <w:cnfStyle w:val="001000000000"/>
            <w:tcW w:w="1710" w:type="dxa"/>
            <w:shd w:val="clear" w:color="auto" w:fill="FDEED1" w:themeFill="background2" w:themeFillTint="33"/>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2015</w:t>
            </w:r>
            <w:r>
              <w:rPr>
                <w:rFonts w:ascii="Arial" w:hAnsi="Arial" w:cs="Arial"/>
                <w:sz w:val="18"/>
                <w:szCs w:val="18"/>
              </w:rPr>
              <w:t>/2016</w:t>
            </w:r>
          </w:p>
        </w:tc>
        <w:tc>
          <w:tcPr>
            <w:tcW w:w="1645" w:type="dxa"/>
            <w:shd w:val="clear" w:color="auto" w:fill="FDEED1" w:themeFill="background2" w:themeFillTint="33"/>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010000"/>
              <w:rPr>
                <w:rFonts w:ascii="Arial" w:hAnsi="Arial" w:cs="Arial"/>
                <w:sz w:val="18"/>
                <w:szCs w:val="18"/>
              </w:rPr>
            </w:pPr>
            <w:r w:rsidRPr="00EA5526">
              <w:rPr>
                <w:rFonts w:ascii="Arial" w:hAnsi="Arial" w:cs="Arial"/>
                <w:sz w:val="18"/>
                <w:szCs w:val="18"/>
              </w:rPr>
              <w:t>29,450</w:t>
            </w:r>
          </w:p>
        </w:tc>
        <w:tc>
          <w:tcPr>
            <w:tcW w:w="1749" w:type="dxa"/>
            <w:shd w:val="clear" w:color="auto" w:fill="FDEED1" w:themeFill="background2" w:themeFillTint="33"/>
            <w:noWrap/>
            <w:tcMar>
              <w:left w:w="0"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33,178</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shd w:val="clear" w:color="auto" w:fill="FDEED1" w:themeFill="background2" w:themeFillTint="33"/>
            <w:noWrap/>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35,390</w:t>
            </w:r>
          </w:p>
        </w:tc>
        <w:tc>
          <w:tcPr>
            <w:tcW w:w="1750" w:type="dxa"/>
            <w:shd w:val="clear" w:color="auto" w:fill="FDEED1" w:themeFill="background2" w:themeFillTint="33"/>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2,212</w:t>
            </w:r>
          </w:p>
        </w:tc>
      </w:tr>
      <w:tr w:rsidR="004E3B8A" w:rsidRPr="00127123" w:rsidTr="000B37FA">
        <w:trPr>
          <w:cnfStyle w:val="000000100000"/>
          <w:trHeight w:val="288"/>
        </w:trPr>
        <w:tc>
          <w:tcPr>
            <w:cnfStyle w:val="001000000000"/>
            <w:tcW w:w="1710" w:type="dxa"/>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2016</w:t>
            </w:r>
            <w:r>
              <w:rPr>
                <w:rFonts w:ascii="Arial" w:hAnsi="Arial" w:cs="Arial"/>
                <w:sz w:val="18"/>
                <w:szCs w:val="18"/>
              </w:rPr>
              <w:t>/2017</w:t>
            </w:r>
          </w:p>
        </w:tc>
        <w:tc>
          <w:tcPr>
            <w:tcW w:w="1645" w:type="dxa"/>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100000"/>
              <w:rPr>
                <w:rFonts w:ascii="Arial" w:hAnsi="Arial" w:cs="Arial"/>
                <w:sz w:val="18"/>
                <w:szCs w:val="18"/>
              </w:rPr>
            </w:pPr>
            <w:r w:rsidRPr="00EA5526">
              <w:rPr>
                <w:rFonts w:ascii="Arial" w:hAnsi="Arial" w:cs="Arial"/>
                <w:sz w:val="18"/>
                <w:szCs w:val="18"/>
              </w:rPr>
              <w:t>29,785</w:t>
            </w:r>
          </w:p>
        </w:tc>
        <w:tc>
          <w:tcPr>
            <w:tcW w:w="1749" w:type="dxa"/>
            <w:noWrap/>
            <w:tcMar>
              <w:left w:w="0" w:type="dxa"/>
              <w:right w:w="58"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33,604</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noWrap/>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35,218</w:t>
            </w:r>
          </w:p>
        </w:tc>
        <w:tc>
          <w:tcPr>
            <w:tcW w:w="1750" w:type="dxa"/>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1,614</w:t>
            </w:r>
          </w:p>
        </w:tc>
      </w:tr>
      <w:tr w:rsidR="004E3B8A" w:rsidRPr="00127123" w:rsidTr="000B37FA">
        <w:trPr>
          <w:cnfStyle w:val="000000010000"/>
          <w:trHeight w:val="288"/>
        </w:trPr>
        <w:tc>
          <w:tcPr>
            <w:cnfStyle w:val="001000000000"/>
            <w:tcW w:w="1710" w:type="dxa"/>
            <w:shd w:val="clear" w:color="auto" w:fill="FDEED1" w:themeFill="background2" w:themeFillTint="33"/>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 w:val="0"/>
                <w:bCs w:val="0"/>
                <w:sz w:val="18"/>
                <w:szCs w:val="18"/>
              </w:rPr>
            </w:pPr>
            <w:r w:rsidRPr="00127123">
              <w:rPr>
                <w:rFonts w:ascii="Arial" w:hAnsi="Arial" w:cs="Arial"/>
                <w:sz w:val="18"/>
                <w:szCs w:val="18"/>
              </w:rPr>
              <w:t>2017</w:t>
            </w:r>
            <w:r>
              <w:rPr>
                <w:rFonts w:ascii="Arial" w:hAnsi="Arial" w:cs="Arial"/>
                <w:sz w:val="18"/>
                <w:szCs w:val="18"/>
              </w:rPr>
              <w:t>/2018</w:t>
            </w:r>
          </w:p>
        </w:tc>
        <w:tc>
          <w:tcPr>
            <w:tcW w:w="1645" w:type="dxa"/>
            <w:shd w:val="clear" w:color="auto" w:fill="FDEED1" w:themeFill="background2" w:themeFillTint="33"/>
            <w:noWrap/>
            <w:tcMar>
              <w:top w:w="43" w:type="dxa"/>
              <w:left w:w="0" w:type="dxa"/>
              <w:bottom w:w="43" w:type="dxa"/>
              <w:right w:w="58" w:type="dxa"/>
            </w:tcMar>
          </w:tcPr>
          <w:p w:rsidR="004E3B8A" w:rsidRPr="00EA5526" w:rsidRDefault="004E3B8A" w:rsidP="000B37FA">
            <w:pPr>
              <w:keepNext/>
              <w:keepLines/>
              <w:tabs>
                <w:tab w:val="decimal" w:pos="1075"/>
              </w:tabs>
              <w:spacing w:after="0"/>
              <w:cnfStyle w:val="000000010000"/>
              <w:rPr>
                <w:rFonts w:ascii="Arial" w:hAnsi="Arial" w:cs="Arial"/>
                <w:sz w:val="18"/>
                <w:szCs w:val="18"/>
              </w:rPr>
            </w:pPr>
            <w:r w:rsidRPr="00EA5526">
              <w:rPr>
                <w:rFonts w:ascii="Arial" w:hAnsi="Arial" w:cs="Arial"/>
                <w:sz w:val="18"/>
                <w:szCs w:val="18"/>
              </w:rPr>
              <w:t>30,110</w:t>
            </w:r>
          </w:p>
        </w:tc>
        <w:tc>
          <w:tcPr>
            <w:tcW w:w="1749" w:type="dxa"/>
            <w:shd w:val="clear" w:color="auto" w:fill="FDEED1" w:themeFill="background2" w:themeFillTint="33"/>
            <w:noWrap/>
            <w:tcMar>
              <w:left w:w="0"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34,025</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shd w:val="clear" w:color="auto" w:fill="FDEED1" w:themeFill="background2" w:themeFillTint="33"/>
            <w:noWrap/>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35,112</w:t>
            </w:r>
          </w:p>
        </w:tc>
        <w:tc>
          <w:tcPr>
            <w:tcW w:w="1750" w:type="dxa"/>
            <w:shd w:val="clear" w:color="auto" w:fill="FDEED1" w:themeFill="background2" w:themeFillTint="33"/>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1,087</w:t>
            </w:r>
          </w:p>
        </w:tc>
      </w:tr>
      <w:tr w:rsidR="004E3B8A" w:rsidRPr="00127123" w:rsidTr="000B37FA">
        <w:trPr>
          <w:cnfStyle w:val="000000100000"/>
          <w:trHeight w:val="288"/>
        </w:trPr>
        <w:tc>
          <w:tcPr>
            <w:cnfStyle w:val="001000000000"/>
            <w:tcW w:w="1710" w:type="dxa"/>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bCs w:val="0"/>
                <w:sz w:val="18"/>
                <w:szCs w:val="18"/>
              </w:rPr>
            </w:pPr>
            <w:r w:rsidRPr="00127123">
              <w:rPr>
                <w:rFonts w:ascii="Arial" w:hAnsi="Arial" w:cs="Arial"/>
                <w:sz w:val="18"/>
                <w:szCs w:val="18"/>
              </w:rPr>
              <w:t>2018</w:t>
            </w:r>
            <w:r>
              <w:rPr>
                <w:rFonts w:ascii="Arial" w:hAnsi="Arial" w:cs="Arial"/>
                <w:sz w:val="18"/>
                <w:szCs w:val="18"/>
              </w:rPr>
              <w:t>/2019</w:t>
            </w:r>
          </w:p>
        </w:tc>
        <w:tc>
          <w:tcPr>
            <w:tcW w:w="1645" w:type="dxa"/>
            <w:noWrap/>
            <w:tcMar>
              <w:top w:w="43" w:type="dxa"/>
              <w:left w:w="0" w:type="dxa"/>
              <w:bottom w:w="43" w:type="dxa"/>
              <w:right w:w="58" w:type="dxa"/>
            </w:tcMar>
          </w:tcPr>
          <w:p w:rsidR="004E3B8A" w:rsidRPr="008E01FB" w:rsidRDefault="00205075" w:rsidP="000B37FA">
            <w:pPr>
              <w:keepNext/>
              <w:keepLines/>
              <w:tabs>
                <w:tab w:val="decimal" w:pos="1075"/>
              </w:tabs>
              <w:spacing w:after="0"/>
              <w:cnfStyle w:val="000000100000"/>
              <w:rPr>
                <w:rFonts w:ascii="Arial" w:hAnsi="Arial" w:cs="Arial"/>
                <w:sz w:val="18"/>
                <w:szCs w:val="18"/>
              </w:rPr>
            </w:pPr>
            <w:r w:rsidRPr="00205075">
              <w:rPr>
                <w:rFonts w:ascii="Arial" w:hAnsi="Arial" w:cs="Arial"/>
                <w:sz w:val="18"/>
                <w:szCs w:val="18"/>
              </w:rPr>
              <w:t>30,430</w:t>
            </w:r>
          </w:p>
        </w:tc>
        <w:tc>
          <w:tcPr>
            <w:tcW w:w="1749" w:type="dxa"/>
            <w:noWrap/>
            <w:tcMar>
              <w:left w:w="0" w:type="dxa"/>
              <w:right w:w="58"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34,434</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noWrap/>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35,112</w:t>
            </w:r>
          </w:p>
        </w:tc>
        <w:tc>
          <w:tcPr>
            <w:tcW w:w="1750" w:type="dxa"/>
            <w:tcMar>
              <w:left w:w="0" w:type="dxa"/>
              <w:right w:w="144" w:type="dxa"/>
            </w:tcMar>
          </w:tcPr>
          <w:p w:rsidR="004E3B8A" w:rsidRPr="00127123" w:rsidRDefault="004E3B8A" w:rsidP="000B37FA">
            <w:pPr>
              <w:keepNext/>
              <w:keepLines/>
              <w:tabs>
                <w:tab w:val="decimal" w:pos="1075"/>
              </w:tabs>
              <w:spacing w:after="0"/>
              <w:cnfStyle w:val="000000100000"/>
              <w:rPr>
                <w:rFonts w:ascii="Arial" w:hAnsi="Arial" w:cs="Arial"/>
                <w:sz w:val="18"/>
                <w:szCs w:val="18"/>
              </w:rPr>
            </w:pPr>
            <w:r>
              <w:rPr>
                <w:rFonts w:ascii="Arial" w:hAnsi="Arial" w:cs="Arial"/>
                <w:sz w:val="18"/>
                <w:szCs w:val="18"/>
              </w:rPr>
              <w:t>678</w:t>
            </w:r>
          </w:p>
        </w:tc>
      </w:tr>
      <w:tr w:rsidR="004E3B8A" w:rsidRPr="00127123" w:rsidTr="000B37FA">
        <w:trPr>
          <w:cnfStyle w:val="000000010000"/>
          <w:trHeight w:val="288"/>
        </w:trPr>
        <w:tc>
          <w:tcPr>
            <w:cnfStyle w:val="001000000000"/>
            <w:tcW w:w="1710" w:type="dxa"/>
            <w:shd w:val="clear" w:color="auto" w:fill="FDEED1" w:themeFill="background2" w:themeFillTint="33"/>
            <w:noWrap/>
            <w:tcMar>
              <w:left w:w="0" w:type="dxa"/>
              <w:right w:w="144" w:type="dxa"/>
            </w:tcMar>
          </w:tcPr>
          <w:p w:rsidR="004E3B8A" w:rsidRPr="00127123" w:rsidRDefault="004E3B8A" w:rsidP="00550281">
            <w:pPr>
              <w:keepNext/>
              <w:keepLines/>
              <w:tabs>
                <w:tab w:val="decimal" w:pos="0"/>
                <w:tab w:val="decimal" w:pos="957"/>
              </w:tabs>
              <w:spacing w:after="0"/>
              <w:jc w:val="center"/>
              <w:rPr>
                <w:rFonts w:ascii="Arial" w:hAnsi="Arial" w:cs="Arial"/>
                <w:sz w:val="18"/>
                <w:szCs w:val="18"/>
              </w:rPr>
            </w:pPr>
            <w:r>
              <w:rPr>
                <w:rFonts w:ascii="Arial" w:hAnsi="Arial" w:cs="Arial"/>
                <w:sz w:val="18"/>
                <w:szCs w:val="18"/>
              </w:rPr>
              <w:t>2019/2020</w:t>
            </w:r>
          </w:p>
        </w:tc>
        <w:tc>
          <w:tcPr>
            <w:tcW w:w="1645" w:type="dxa"/>
            <w:shd w:val="clear" w:color="auto" w:fill="FDEED1" w:themeFill="background2" w:themeFillTint="33"/>
            <w:noWrap/>
            <w:tcMar>
              <w:top w:w="43" w:type="dxa"/>
              <w:left w:w="0" w:type="dxa"/>
              <w:bottom w:w="43"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30,730</w:t>
            </w:r>
          </w:p>
        </w:tc>
        <w:tc>
          <w:tcPr>
            <w:tcW w:w="1749" w:type="dxa"/>
            <w:shd w:val="clear" w:color="auto" w:fill="FDEED1" w:themeFill="background2" w:themeFillTint="33"/>
            <w:noWrap/>
            <w:tcMar>
              <w:left w:w="0" w:type="dxa"/>
              <w:right w:w="58"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34,818</w:t>
            </w:r>
            <w:r w:rsidR="009B289D">
              <w:rPr>
                <w:rFonts w:ascii="Arial" w:hAnsi="Arial" w:cs="Arial"/>
                <w:sz w:val="18"/>
                <w:szCs w:val="18"/>
                <w:vertAlign w:val="superscript"/>
              </w:rPr>
              <w:t>(h</w:t>
            </w:r>
            <w:r w:rsidR="009B289D" w:rsidRPr="009B289D">
              <w:rPr>
                <w:rFonts w:ascii="Arial" w:hAnsi="Arial" w:cs="Arial"/>
                <w:sz w:val="18"/>
                <w:szCs w:val="18"/>
                <w:vertAlign w:val="superscript"/>
              </w:rPr>
              <w:t>)</w:t>
            </w:r>
          </w:p>
        </w:tc>
        <w:tc>
          <w:tcPr>
            <w:tcW w:w="1749" w:type="dxa"/>
            <w:shd w:val="clear" w:color="auto" w:fill="FDEED1" w:themeFill="background2" w:themeFillTint="33"/>
            <w:noWrap/>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35,112</w:t>
            </w:r>
          </w:p>
        </w:tc>
        <w:tc>
          <w:tcPr>
            <w:tcW w:w="1750" w:type="dxa"/>
            <w:shd w:val="clear" w:color="auto" w:fill="FDEED1" w:themeFill="background2" w:themeFillTint="33"/>
            <w:tcMar>
              <w:left w:w="0" w:type="dxa"/>
              <w:right w:w="144" w:type="dxa"/>
            </w:tcMar>
          </w:tcPr>
          <w:p w:rsidR="004E3B8A" w:rsidRPr="00127123" w:rsidRDefault="004E3B8A" w:rsidP="000B37FA">
            <w:pPr>
              <w:keepNext/>
              <w:keepLines/>
              <w:tabs>
                <w:tab w:val="decimal" w:pos="1075"/>
              </w:tabs>
              <w:spacing w:after="0"/>
              <w:cnfStyle w:val="000000010000"/>
              <w:rPr>
                <w:rFonts w:ascii="Arial" w:hAnsi="Arial" w:cs="Arial"/>
                <w:sz w:val="18"/>
                <w:szCs w:val="18"/>
              </w:rPr>
            </w:pPr>
            <w:r>
              <w:rPr>
                <w:rFonts w:ascii="Arial" w:hAnsi="Arial" w:cs="Arial"/>
                <w:sz w:val="18"/>
                <w:szCs w:val="18"/>
              </w:rPr>
              <w:t>294</w:t>
            </w:r>
          </w:p>
        </w:tc>
      </w:tr>
    </w:tbl>
    <w:p w:rsidR="009B289D" w:rsidRPr="00E013D4" w:rsidRDefault="009B289D" w:rsidP="00D70F17">
      <w:pPr>
        <w:keepNext/>
        <w:keepLines/>
        <w:spacing w:before="120" w:after="80" w:line="240" w:lineRule="auto"/>
        <w:ind w:left="720" w:right="187" w:hanging="270"/>
        <w:rPr>
          <w:rFonts w:ascii="Arial" w:hAnsi="Arial" w:cs="Arial"/>
          <w:sz w:val="16"/>
          <w:szCs w:val="16"/>
        </w:rPr>
      </w:pPr>
      <w:r w:rsidRPr="00E013D4">
        <w:rPr>
          <w:rFonts w:ascii="Arial" w:hAnsi="Arial" w:cs="Arial"/>
          <w:sz w:val="16"/>
          <w:szCs w:val="16"/>
        </w:rPr>
        <w:t xml:space="preserve">(a) </w:t>
      </w:r>
      <w:r w:rsidR="00D70F17">
        <w:rPr>
          <w:rFonts w:ascii="Arial" w:hAnsi="Arial" w:cs="Arial"/>
          <w:sz w:val="16"/>
          <w:szCs w:val="16"/>
        </w:rPr>
        <w:tab/>
      </w:r>
      <w:r w:rsidRPr="00E013D4">
        <w:rPr>
          <w:rFonts w:ascii="Arial" w:hAnsi="Arial" w:cs="Arial"/>
          <w:sz w:val="16"/>
          <w:szCs w:val="16"/>
        </w:rPr>
        <w:t xml:space="preserve">“Representative Future Net ICR” is the representative ICR for the region, minus the tie-reliability benefits associated with the HQICCs. </w:t>
      </w:r>
    </w:p>
    <w:p w:rsidR="009B289D" w:rsidRPr="00061B3D" w:rsidRDefault="009B289D" w:rsidP="00D70F17">
      <w:pPr>
        <w:keepNext/>
        <w:keepLines/>
        <w:spacing w:after="80" w:line="240" w:lineRule="auto"/>
        <w:ind w:left="720" w:right="187" w:hanging="270"/>
        <w:rPr>
          <w:rFonts w:ascii="Arial" w:hAnsi="Arial" w:cs="Arial"/>
          <w:sz w:val="16"/>
          <w:szCs w:val="16"/>
        </w:rPr>
      </w:pPr>
      <w:r w:rsidRPr="00E013D4">
        <w:rPr>
          <w:rFonts w:ascii="Arial" w:hAnsi="Arial" w:cs="Arial"/>
          <w:sz w:val="16"/>
          <w:szCs w:val="16"/>
        </w:rPr>
        <w:t xml:space="preserve"> (b)</w:t>
      </w:r>
      <w:r w:rsidRPr="00E013D4">
        <w:rPr>
          <w:rFonts w:ascii="Arial" w:hAnsi="Arial" w:cs="Arial"/>
          <w:sz w:val="16"/>
          <w:szCs w:val="16"/>
        </w:rPr>
        <w:tab/>
        <w:t xml:space="preserve">“Assumed Existing ICAP” for 2010/2011 through 2012/2013 reflect the most recent FCM obligations as of March 12, 2010, for those years but </w:t>
      </w:r>
      <w:r w:rsidR="00F70FE3" w:rsidRPr="00E013D4">
        <w:rPr>
          <w:rFonts w:ascii="Arial" w:hAnsi="Arial" w:cs="Arial"/>
          <w:sz w:val="16"/>
          <w:szCs w:val="16"/>
        </w:rPr>
        <w:t xml:space="preserve">without </w:t>
      </w:r>
      <w:r w:rsidR="00E013D4" w:rsidRPr="00E013D4">
        <w:rPr>
          <w:rFonts w:ascii="Arial" w:hAnsi="Arial" w:cs="Arial"/>
          <w:sz w:val="16"/>
          <w:szCs w:val="16"/>
        </w:rPr>
        <w:t xml:space="preserve">reserve-margin </w:t>
      </w:r>
      <w:r w:rsidR="00E013D4" w:rsidRPr="006467BE">
        <w:rPr>
          <w:rFonts w:ascii="Arial" w:hAnsi="Arial" w:cs="Arial"/>
          <w:i/>
          <w:sz w:val="16"/>
          <w:szCs w:val="16"/>
        </w:rPr>
        <w:t>gross ups</w:t>
      </w:r>
      <w:r w:rsidR="00E013D4" w:rsidRPr="00E013D4">
        <w:rPr>
          <w:rFonts w:ascii="Arial" w:hAnsi="Arial" w:cs="Arial"/>
          <w:sz w:val="16"/>
          <w:szCs w:val="16"/>
        </w:rPr>
        <w:t xml:space="preserve"> (i.e., credits to account for reducing power system losses)</w:t>
      </w:r>
      <w:r w:rsidR="00F70FE3" w:rsidRPr="00E013D4">
        <w:rPr>
          <w:rFonts w:ascii="Arial" w:hAnsi="Arial" w:cs="Arial"/>
          <w:sz w:val="16"/>
          <w:szCs w:val="16"/>
        </w:rPr>
        <w:t>, if any, from both New York Power Authority (NYPA) imports and demand resources.</w:t>
      </w:r>
      <w:r w:rsidR="00E013D4" w:rsidRPr="00E013D4">
        <w:rPr>
          <w:rFonts w:ascii="Arial" w:hAnsi="Arial" w:cs="Arial"/>
          <w:sz w:val="16"/>
          <w:szCs w:val="16"/>
        </w:rPr>
        <w:t xml:space="preserve"> </w:t>
      </w:r>
      <w:r w:rsidRPr="00E013D4">
        <w:rPr>
          <w:rFonts w:ascii="Arial" w:hAnsi="Arial" w:cs="Arial"/>
          <w:sz w:val="16"/>
          <w:szCs w:val="16"/>
        </w:rPr>
        <w:t>The values for 2013/2014 and beyond are based on the 2012/2013 obligations as of March 12, 2010, but with nongrandfathered capacity imports removed and the full amount of RTEGs included.</w:t>
      </w:r>
      <w:r w:rsidRPr="00457C9E">
        <w:rPr>
          <w:rFonts w:ascii="Arial" w:hAnsi="Arial" w:cs="Arial"/>
          <w:sz w:val="16"/>
          <w:szCs w:val="16"/>
        </w:rPr>
        <w:t xml:space="preserve"> </w:t>
      </w:r>
    </w:p>
    <w:p w:rsidR="009B289D" w:rsidRDefault="009B289D" w:rsidP="00D70F17">
      <w:pPr>
        <w:widowControl w:val="0"/>
        <w:spacing w:after="80" w:line="240" w:lineRule="auto"/>
        <w:ind w:left="720" w:right="187" w:hanging="270"/>
        <w:rPr>
          <w:rFonts w:ascii="Arial" w:hAnsi="Arial" w:cs="Arial"/>
          <w:sz w:val="16"/>
          <w:szCs w:val="16"/>
        </w:rPr>
      </w:pPr>
      <w:r w:rsidRPr="00457C9E">
        <w:rPr>
          <w:rFonts w:ascii="Arial" w:hAnsi="Arial" w:cs="Arial"/>
          <w:sz w:val="16"/>
          <w:szCs w:val="16"/>
        </w:rPr>
        <w:t>(</w:t>
      </w:r>
      <w:r>
        <w:rPr>
          <w:rFonts w:ascii="Arial" w:hAnsi="Arial" w:cs="Arial"/>
          <w:sz w:val="16"/>
          <w:szCs w:val="16"/>
        </w:rPr>
        <w:t>c</w:t>
      </w:r>
      <w:r w:rsidRPr="00457C9E">
        <w:rPr>
          <w:rFonts w:ascii="Arial" w:hAnsi="Arial" w:cs="Arial"/>
          <w:sz w:val="16"/>
          <w:szCs w:val="16"/>
        </w:rPr>
        <w:t>)</w:t>
      </w:r>
      <w:r w:rsidRPr="00457C9E">
        <w:rPr>
          <w:rFonts w:ascii="Arial" w:hAnsi="Arial" w:cs="Arial"/>
          <w:sz w:val="16"/>
          <w:szCs w:val="16"/>
        </w:rPr>
        <w:tab/>
        <w:t xml:space="preserve">“Potential Surplus ICAP” represents an approximation of the future capacity situation, assuming no resource additions or attritions during the study period. Capacity that </w:t>
      </w:r>
      <w:r>
        <w:rPr>
          <w:rFonts w:ascii="Arial" w:hAnsi="Arial" w:cs="Arial"/>
          <w:sz w:val="16"/>
          <w:szCs w:val="16"/>
        </w:rPr>
        <w:t>assumed FCA #3 obligations</w:t>
      </w:r>
      <w:r w:rsidRPr="00457C9E">
        <w:rPr>
          <w:rFonts w:ascii="Arial" w:hAnsi="Arial" w:cs="Arial"/>
          <w:sz w:val="16"/>
          <w:szCs w:val="16"/>
        </w:rPr>
        <w:t>, excluding the nongrandfathered</w:t>
      </w:r>
      <w:r>
        <w:rPr>
          <w:rFonts w:ascii="Arial" w:hAnsi="Arial" w:cs="Arial"/>
          <w:sz w:val="16"/>
          <w:szCs w:val="16"/>
        </w:rPr>
        <w:t xml:space="preserve"> capacity </w:t>
      </w:r>
      <w:r w:rsidRPr="00BD3DED">
        <w:rPr>
          <w:rFonts w:ascii="Arial" w:hAnsi="Arial" w:cs="Arial"/>
          <w:sz w:val="16"/>
          <w:szCs w:val="16"/>
        </w:rPr>
        <w:t>imports and adjusted for other factors described in note (b)</w:t>
      </w:r>
      <w:r>
        <w:rPr>
          <w:rFonts w:ascii="Arial" w:hAnsi="Arial" w:cs="Arial"/>
          <w:sz w:val="16"/>
          <w:szCs w:val="16"/>
        </w:rPr>
        <w:t>,</w:t>
      </w:r>
      <w:r w:rsidRPr="00BD3DED">
        <w:rPr>
          <w:rFonts w:ascii="Arial" w:hAnsi="Arial" w:cs="Arial"/>
          <w:sz w:val="16"/>
          <w:szCs w:val="16"/>
        </w:rPr>
        <w:t xml:space="preserve"> </w:t>
      </w:r>
      <w:r>
        <w:rPr>
          <w:rFonts w:ascii="Arial" w:hAnsi="Arial" w:cs="Arial"/>
          <w:sz w:val="16"/>
          <w:szCs w:val="16"/>
        </w:rPr>
        <w:t xml:space="preserve">is assumed to </w:t>
      </w:r>
      <w:r w:rsidRPr="00BD3DED">
        <w:rPr>
          <w:rFonts w:ascii="Arial" w:hAnsi="Arial" w:cs="Arial"/>
          <w:sz w:val="16"/>
          <w:szCs w:val="16"/>
        </w:rPr>
        <w:t>be in service in 2012 and will continue to be in service until the end of the study period.</w:t>
      </w:r>
    </w:p>
    <w:p w:rsidR="009B289D" w:rsidRDefault="0049300D" w:rsidP="00D70F17">
      <w:pPr>
        <w:keepNext/>
        <w:keepLines/>
        <w:spacing w:after="80" w:line="240" w:lineRule="auto"/>
        <w:ind w:left="720" w:right="187" w:hanging="270"/>
        <w:rPr>
          <w:rFonts w:ascii="Arial" w:hAnsi="Arial" w:cs="Arial"/>
          <w:sz w:val="16"/>
          <w:szCs w:val="16"/>
        </w:rPr>
      </w:pPr>
      <w:r>
        <w:rPr>
          <w:rFonts w:ascii="Arial" w:hAnsi="Arial" w:cs="Arial"/>
          <w:sz w:val="16"/>
          <w:szCs w:val="16"/>
        </w:rPr>
        <w:t>(d)</w:t>
      </w:r>
      <w:r w:rsidR="00D70F17">
        <w:rPr>
          <w:rFonts w:ascii="Arial" w:hAnsi="Arial" w:cs="Arial"/>
          <w:sz w:val="16"/>
          <w:szCs w:val="16"/>
        </w:rPr>
        <w:tab/>
      </w:r>
      <w:r w:rsidR="004E3B8A" w:rsidRPr="0016262F">
        <w:rPr>
          <w:rFonts w:ascii="Arial" w:hAnsi="Arial" w:cs="Arial"/>
          <w:sz w:val="16"/>
          <w:szCs w:val="16"/>
        </w:rPr>
        <w:t xml:space="preserve">The </w:t>
      </w:r>
      <w:r w:rsidR="004E3B8A">
        <w:rPr>
          <w:rFonts w:ascii="Arial" w:hAnsi="Arial" w:cs="Arial"/>
          <w:sz w:val="16"/>
          <w:szCs w:val="16"/>
        </w:rPr>
        <w:t xml:space="preserve">net </w:t>
      </w:r>
      <w:r w:rsidR="004E3B8A" w:rsidRPr="0016262F">
        <w:rPr>
          <w:rFonts w:ascii="Arial" w:hAnsi="Arial" w:cs="Arial"/>
          <w:sz w:val="16"/>
          <w:szCs w:val="16"/>
        </w:rPr>
        <w:t>ICR value for 2010/2011 reflects the value for ARA</w:t>
      </w:r>
      <w:r w:rsidR="004E3B8A">
        <w:rPr>
          <w:rFonts w:ascii="Arial" w:hAnsi="Arial" w:cs="Arial"/>
          <w:sz w:val="16"/>
          <w:szCs w:val="16"/>
        </w:rPr>
        <w:t xml:space="preserve"> #</w:t>
      </w:r>
      <w:r w:rsidR="004E3B8A" w:rsidRPr="0016262F">
        <w:rPr>
          <w:rFonts w:ascii="Arial" w:hAnsi="Arial" w:cs="Arial"/>
          <w:sz w:val="16"/>
          <w:szCs w:val="16"/>
        </w:rPr>
        <w:t xml:space="preserve">3 approved by FERC in its February 12, 2010, </w:t>
      </w:r>
      <w:r w:rsidR="004E3B8A" w:rsidRPr="00A73EEB">
        <w:rPr>
          <w:rFonts w:ascii="Arial" w:hAnsi="Arial" w:cs="Arial"/>
          <w:i/>
          <w:sz w:val="16"/>
          <w:szCs w:val="16"/>
        </w:rPr>
        <w:t>Order Accepting ISO New England’s Proposed Installed Capacity Requirement, Hydro Qu</w:t>
      </w:r>
      <w:r w:rsidR="0051440A">
        <w:rPr>
          <w:rFonts w:ascii="Arial" w:hAnsi="Arial" w:cs="Arial"/>
          <w:i/>
          <w:sz w:val="16"/>
          <w:szCs w:val="16"/>
        </w:rPr>
        <w:t>é</w:t>
      </w:r>
      <w:r w:rsidR="004E3B8A" w:rsidRPr="00A73EEB">
        <w:rPr>
          <w:rFonts w:ascii="Arial" w:hAnsi="Arial" w:cs="Arial"/>
          <w:i/>
          <w:sz w:val="16"/>
          <w:szCs w:val="16"/>
        </w:rPr>
        <w:t xml:space="preserve">bec Interconnection Capability Credits, Related Values, and Tariff Changes, </w:t>
      </w:r>
      <w:r w:rsidR="004E3B8A">
        <w:rPr>
          <w:rFonts w:ascii="Arial" w:hAnsi="Arial" w:cs="Arial"/>
          <w:i/>
          <w:sz w:val="16"/>
          <w:szCs w:val="16"/>
        </w:rPr>
        <w:t>S</w:t>
      </w:r>
      <w:r w:rsidR="004E3B8A" w:rsidRPr="00A73EEB">
        <w:rPr>
          <w:rFonts w:ascii="Arial" w:hAnsi="Arial" w:cs="Arial"/>
          <w:i/>
          <w:sz w:val="16"/>
          <w:szCs w:val="16"/>
        </w:rPr>
        <w:t>ubject to Condition</w:t>
      </w:r>
      <w:r w:rsidR="004E3B8A" w:rsidRPr="007F412E">
        <w:rPr>
          <w:rFonts w:ascii="Arial" w:hAnsi="Arial" w:cs="Arial"/>
          <w:sz w:val="16"/>
          <w:szCs w:val="16"/>
        </w:rPr>
        <w:t xml:space="preserve"> </w:t>
      </w:r>
      <w:r w:rsidR="004E3B8A" w:rsidRPr="002F28C5">
        <w:rPr>
          <w:rFonts w:ascii="Arial" w:hAnsi="Arial" w:cs="Arial"/>
          <w:color w:val="000000" w:themeColor="text1"/>
          <w:sz w:val="16"/>
          <w:szCs w:val="16"/>
        </w:rPr>
        <w:t>(</w:t>
      </w:r>
      <w:r w:rsidR="00E904AF" w:rsidRPr="00E904AF">
        <w:rPr>
          <w:rFonts w:ascii="Arial" w:hAnsi="Arial" w:cs="Arial"/>
          <w:color w:val="000000" w:themeColor="text1"/>
          <w:sz w:val="16"/>
          <w:szCs w:val="16"/>
        </w:rPr>
        <w:t>http://www.iso-ne.com/markets/othrmkts_data/fcm/doc/summary_of_icr_values.xls).</w:t>
      </w:r>
      <w:r w:rsidR="00E904AF" w:rsidRPr="00E904AF">
        <w:rPr>
          <w:rFonts w:ascii="Arial" w:hAnsi="Arial" w:cs="Arial"/>
          <w:sz w:val="16"/>
          <w:szCs w:val="16"/>
        </w:rPr>
        <w:t xml:space="preserve"> </w:t>
      </w:r>
    </w:p>
    <w:p w:rsidR="009B289D" w:rsidRDefault="0049300D" w:rsidP="00D70F17">
      <w:pPr>
        <w:keepNext/>
        <w:keepLines/>
        <w:spacing w:after="80" w:line="240" w:lineRule="auto"/>
        <w:ind w:left="720" w:right="187" w:hanging="270"/>
        <w:rPr>
          <w:rFonts w:ascii="Arial" w:hAnsi="Arial" w:cs="Arial"/>
          <w:sz w:val="16"/>
          <w:szCs w:val="16"/>
        </w:rPr>
      </w:pPr>
      <w:r>
        <w:rPr>
          <w:rFonts w:ascii="Arial" w:hAnsi="Arial" w:cs="Arial"/>
          <w:sz w:val="16"/>
          <w:szCs w:val="16"/>
        </w:rPr>
        <w:t>(e</w:t>
      </w:r>
      <w:r w:rsidR="009B289D">
        <w:rPr>
          <w:rFonts w:ascii="Arial" w:hAnsi="Arial" w:cs="Arial"/>
          <w:sz w:val="16"/>
          <w:szCs w:val="16"/>
        </w:rPr>
        <w:t xml:space="preserve">) </w:t>
      </w:r>
      <w:r w:rsidR="00D70F17">
        <w:rPr>
          <w:rFonts w:ascii="Arial" w:hAnsi="Arial" w:cs="Arial"/>
          <w:sz w:val="16"/>
          <w:szCs w:val="16"/>
        </w:rPr>
        <w:tab/>
      </w:r>
      <w:r w:rsidR="00E904AF" w:rsidRPr="00E904AF">
        <w:rPr>
          <w:rFonts w:ascii="Arial" w:hAnsi="Arial" w:cs="Arial"/>
          <w:sz w:val="16"/>
          <w:szCs w:val="16"/>
        </w:rPr>
        <w:t xml:space="preserve">The net </w:t>
      </w:r>
      <w:r w:rsidR="005E789C">
        <w:rPr>
          <w:rFonts w:ascii="Arial" w:hAnsi="Arial" w:cs="Arial"/>
          <w:sz w:val="16"/>
          <w:szCs w:val="16"/>
        </w:rPr>
        <w:t>I</w:t>
      </w:r>
      <w:r w:rsidR="00E904AF" w:rsidRPr="00E904AF">
        <w:rPr>
          <w:rFonts w:ascii="Arial" w:hAnsi="Arial" w:cs="Arial"/>
          <w:sz w:val="16"/>
          <w:szCs w:val="16"/>
        </w:rPr>
        <w:t>CR value f</w:t>
      </w:r>
      <w:r w:rsidR="004E3B8A" w:rsidRPr="007F412E">
        <w:rPr>
          <w:rFonts w:ascii="Arial" w:hAnsi="Arial" w:cs="Arial"/>
          <w:sz w:val="16"/>
          <w:szCs w:val="16"/>
        </w:rPr>
        <w:t>or 2011/2012 reflects the ARA</w:t>
      </w:r>
      <w:r w:rsidR="004E3B8A">
        <w:rPr>
          <w:rFonts w:ascii="Arial" w:hAnsi="Arial" w:cs="Arial"/>
          <w:sz w:val="16"/>
          <w:szCs w:val="16"/>
        </w:rPr>
        <w:t xml:space="preserve"> #</w:t>
      </w:r>
      <w:r w:rsidR="004E3B8A" w:rsidRPr="007F412E">
        <w:rPr>
          <w:rFonts w:ascii="Arial" w:hAnsi="Arial" w:cs="Arial"/>
          <w:sz w:val="16"/>
          <w:szCs w:val="16"/>
        </w:rPr>
        <w:t xml:space="preserve">2 value accepted for filing by FERC in its March 29, 2010, </w:t>
      </w:r>
      <w:r w:rsidR="004E3B8A" w:rsidRPr="00A73EEB">
        <w:rPr>
          <w:rFonts w:ascii="Arial" w:hAnsi="Arial" w:cs="Arial"/>
          <w:i/>
          <w:sz w:val="16"/>
          <w:szCs w:val="16"/>
        </w:rPr>
        <w:t xml:space="preserve">Order </w:t>
      </w:r>
      <w:r w:rsidR="004E3B8A">
        <w:rPr>
          <w:rFonts w:ascii="Arial" w:hAnsi="Arial" w:cs="Arial"/>
          <w:i/>
          <w:sz w:val="16"/>
          <w:szCs w:val="16"/>
        </w:rPr>
        <w:t>A</w:t>
      </w:r>
      <w:r w:rsidR="004E3B8A" w:rsidRPr="00A73EEB">
        <w:rPr>
          <w:rFonts w:ascii="Arial" w:hAnsi="Arial" w:cs="Arial"/>
          <w:i/>
          <w:sz w:val="16"/>
          <w:szCs w:val="16"/>
        </w:rPr>
        <w:t xml:space="preserve">ccepting for </w:t>
      </w:r>
      <w:r w:rsidR="004E3B8A">
        <w:rPr>
          <w:rFonts w:ascii="Arial" w:hAnsi="Arial" w:cs="Arial"/>
          <w:i/>
          <w:sz w:val="16"/>
          <w:szCs w:val="16"/>
        </w:rPr>
        <w:t>F</w:t>
      </w:r>
      <w:r w:rsidR="004E3B8A" w:rsidRPr="00A73EEB">
        <w:rPr>
          <w:rFonts w:ascii="Arial" w:hAnsi="Arial" w:cs="Arial"/>
          <w:i/>
          <w:sz w:val="16"/>
          <w:szCs w:val="16"/>
        </w:rPr>
        <w:t>iling the</w:t>
      </w:r>
      <w:r w:rsidR="004E3B8A" w:rsidRPr="00A73EEB">
        <w:rPr>
          <w:rFonts w:ascii="Arial" w:hAnsi="Arial" w:cs="Arial"/>
          <w:i/>
          <w:color w:val="000000"/>
          <w:sz w:val="16"/>
          <w:szCs w:val="16"/>
        </w:rPr>
        <w:t xml:space="preserve"> Installed Capacity Requirement, Hydro Qu</w:t>
      </w:r>
      <w:r w:rsidR="0051440A">
        <w:rPr>
          <w:rFonts w:ascii="Arial" w:hAnsi="Arial" w:cs="Arial"/>
          <w:i/>
          <w:color w:val="000000"/>
          <w:sz w:val="16"/>
          <w:szCs w:val="16"/>
        </w:rPr>
        <w:t>é</w:t>
      </w:r>
      <w:r w:rsidR="004E3B8A" w:rsidRPr="00A73EEB">
        <w:rPr>
          <w:rFonts w:ascii="Arial" w:hAnsi="Arial" w:cs="Arial"/>
          <w:i/>
          <w:color w:val="000000"/>
          <w:sz w:val="16"/>
          <w:szCs w:val="16"/>
        </w:rPr>
        <w:t xml:space="preserve">bec Interconnection Capability Credits and Related Values for the Second Reconfiguration Auction for the 2011/2012 Capability </w:t>
      </w:r>
      <w:r w:rsidR="004E3B8A" w:rsidRPr="0049300D">
        <w:rPr>
          <w:rFonts w:ascii="Arial" w:hAnsi="Arial" w:cs="Arial"/>
          <w:i/>
          <w:sz w:val="16"/>
          <w:szCs w:val="16"/>
        </w:rPr>
        <w:t>Year</w:t>
      </w:r>
      <w:r w:rsidR="004E3B8A" w:rsidRPr="0049300D">
        <w:rPr>
          <w:sz w:val="16"/>
          <w:szCs w:val="16"/>
        </w:rPr>
        <w:t xml:space="preserve"> </w:t>
      </w:r>
      <w:r w:rsidR="00E904AF" w:rsidRPr="0049300D">
        <w:rPr>
          <w:rFonts w:ascii="Arial" w:hAnsi="Arial" w:cs="Arial"/>
          <w:sz w:val="16"/>
          <w:szCs w:val="16"/>
        </w:rPr>
        <w:t>(</w:t>
      </w:r>
      <w:hyperlink r:id="rId31" w:history="1">
        <w:r w:rsidR="009B289D" w:rsidRPr="0049300D">
          <w:rPr>
            <w:rStyle w:val="Hyperlink"/>
            <w:rFonts w:ascii="Arial" w:hAnsi="Arial" w:cs="Arial"/>
            <w:color w:val="auto"/>
            <w:sz w:val="16"/>
            <w:szCs w:val="16"/>
            <w:u w:val="none"/>
          </w:rPr>
          <w:t>http://www.iso-ne.com/regulatory/ferc/orders/2010/mar/er10-714-000_3-29-10_ltr_order_accept_2011-2012_icr.pdf</w:t>
        </w:r>
      </w:hyperlink>
      <w:r w:rsidR="00E904AF" w:rsidRPr="0049300D">
        <w:rPr>
          <w:rFonts w:ascii="Arial" w:hAnsi="Arial" w:cs="Arial"/>
          <w:sz w:val="16"/>
          <w:szCs w:val="16"/>
        </w:rPr>
        <w:t>).</w:t>
      </w:r>
    </w:p>
    <w:p w:rsidR="009B289D" w:rsidRPr="00135E72" w:rsidRDefault="0049300D" w:rsidP="00D70F17">
      <w:pPr>
        <w:keepNext/>
        <w:keepLines/>
        <w:spacing w:after="80" w:line="240" w:lineRule="auto"/>
        <w:ind w:left="720" w:right="187" w:hanging="270"/>
        <w:rPr>
          <w:rFonts w:ascii="Arial" w:hAnsi="Arial" w:cs="Arial"/>
          <w:sz w:val="16"/>
          <w:szCs w:val="16"/>
        </w:rPr>
      </w:pPr>
      <w:r>
        <w:rPr>
          <w:rFonts w:ascii="Arial" w:hAnsi="Arial" w:cs="Arial"/>
          <w:sz w:val="16"/>
          <w:szCs w:val="16"/>
        </w:rPr>
        <w:t>(f</w:t>
      </w:r>
      <w:r w:rsidR="009B289D">
        <w:rPr>
          <w:rFonts w:ascii="Arial" w:hAnsi="Arial" w:cs="Arial"/>
          <w:sz w:val="16"/>
          <w:szCs w:val="16"/>
        </w:rPr>
        <w:t>)</w:t>
      </w:r>
      <w:r w:rsidR="004E3B8A" w:rsidRPr="007F412E">
        <w:rPr>
          <w:rFonts w:ascii="Arial" w:hAnsi="Arial" w:cs="Arial"/>
          <w:i/>
          <w:sz w:val="16"/>
          <w:szCs w:val="16"/>
        </w:rPr>
        <w:t xml:space="preserve"> </w:t>
      </w:r>
      <w:r w:rsidR="00D70F17">
        <w:rPr>
          <w:rFonts w:ascii="Arial" w:hAnsi="Arial" w:cs="Arial"/>
          <w:i/>
          <w:sz w:val="16"/>
          <w:szCs w:val="16"/>
        </w:rPr>
        <w:tab/>
      </w:r>
      <w:r w:rsidR="004E3B8A" w:rsidRPr="007F412E">
        <w:rPr>
          <w:rFonts w:ascii="Arial" w:hAnsi="Arial" w:cs="Arial"/>
          <w:sz w:val="16"/>
          <w:szCs w:val="16"/>
        </w:rPr>
        <w:t xml:space="preserve">For the 2012/2013 capability year, the net ICR value represents the value approved by FERC in its August 14, 2009, </w:t>
      </w:r>
      <w:r w:rsidR="008E2981">
        <w:rPr>
          <w:rFonts w:ascii="Arial" w:hAnsi="Arial" w:cs="Arial"/>
          <w:sz w:val="16"/>
          <w:szCs w:val="16"/>
        </w:rPr>
        <w:t xml:space="preserve">order regarding the </w:t>
      </w:r>
      <w:r w:rsidR="004E3B8A" w:rsidRPr="007F412E">
        <w:rPr>
          <w:rFonts w:ascii="Arial" w:hAnsi="Arial" w:cs="Arial"/>
          <w:i/>
          <w:sz w:val="16"/>
          <w:szCs w:val="16"/>
        </w:rPr>
        <w:t>Filing of Installed Capacity Requirement, Hydro-Qu</w:t>
      </w:r>
      <w:r w:rsidR="0051440A">
        <w:rPr>
          <w:rFonts w:ascii="Arial" w:hAnsi="Arial" w:cs="Arial"/>
          <w:i/>
          <w:sz w:val="16"/>
          <w:szCs w:val="16"/>
        </w:rPr>
        <w:t>é</w:t>
      </w:r>
      <w:r w:rsidR="004E3B8A" w:rsidRPr="007F412E">
        <w:rPr>
          <w:rFonts w:ascii="Arial" w:hAnsi="Arial" w:cs="Arial"/>
          <w:i/>
          <w:sz w:val="16"/>
          <w:szCs w:val="16"/>
        </w:rPr>
        <w:t xml:space="preserve">bec Interconnection Capability Credits and Related </w:t>
      </w:r>
      <w:r w:rsidR="004E3B8A" w:rsidRPr="00135E72">
        <w:rPr>
          <w:rFonts w:ascii="Arial" w:hAnsi="Arial" w:cs="Arial"/>
          <w:i/>
          <w:sz w:val="16"/>
          <w:szCs w:val="16"/>
        </w:rPr>
        <w:t>Values for the 2012/2013 Capability Year</w:t>
      </w:r>
      <w:r w:rsidR="004E3B8A" w:rsidRPr="00135E72">
        <w:rPr>
          <w:rFonts w:ascii="Arial" w:hAnsi="Arial" w:cs="Arial"/>
          <w:sz w:val="16"/>
          <w:szCs w:val="16"/>
        </w:rPr>
        <w:t xml:space="preserve"> (http://www.iso-ne.com/regulatory/ferc/orders/2009/aug/er09-1415-000_8-14-09_accept%202012-2013%20icr.pdf). </w:t>
      </w:r>
    </w:p>
    <w:p w:rsidR="0027358F" w:rsidRDefault="0049300D" w:rsidP="00D70F17">
      <w:pPr>
        <w:keepNext/>
        <w:keepLines/>
        <w:spacing w:after="80" w:line="240" w:lineRule="auto"/>
        <w:ind w:left="720" w:right="187" w:hanging="270"/>
        <w:rPr>
          <w:rFonts w:ascii="Arial" w:hAnsi="Arial" w:cs="Arial"/>
          <w:sz w:val="16"/>
          <w:szCs w:val="16"/>
        </w:rPr>
      </w:pPr>
      <w:r w:rsidRPr="00135E72">
        <w:rPr>
          <w:rFonts w:ascii="Arial" w:hAnsi="Arial" w:cs="Arial"/>
          <w:sz w:val="16"/>
          <w:szCs w:val="16"/>
        </w:rPr>
        <w:t>(g</w:t>
      </w:r>
      <w:r w:rsidR="009B289D" w:rsidRPr="00135E72">
        <w:rPr>
          <w:rFonts w:ascii="Arial" w:hAnsi="Arial" w:cs="Arial"/>
          <w:sz w:val="16"/>
          <w:szCs w:val="16"/>
        </w:rPr>
        <w:t xml:space="preserve">) </w:t>
      </w:r>
      <w:r w:rsidR="00D70F17">
        <w:rPr>
          <w:rFonts w:ascii="Arial" w:hAnsi="Arial" w:cs="Arial"/>
          <w:sz w:val="16"/>
          <w:szCs w:val="16"/>
        </w:rPr>
        <w:tab/>
      </w:r>
      <w:r w:rsidR="00EF25EB" w:rsidRPr="00135E72">
        <w:rPr>
          <w:rFonts w:ascii="Arial" w:hAnsi="Arial" w:cs="Arial"/>
          <w:sz w:val="16"/>
          <w:szCs w:val="16"/>
        </w:rPr>
        <w:t xml:space="preserve">For 2013/2014 period, the net ICR value represents the value approved by FERC in its June 25, 2010, </w:t>
      </w:r>
      <w:r w:rsidR="008E2981" w:rsidRPr="00135E72">
        <w:rPr>
          <w:rFonts w:ascii="Arial" w:hAnsi="Arial" w:cs="Arial"/>
          <w:sz w:val="16"/>
          <w:szCs w:val="16"/>
        </w:rPr>
        <w:t xml:space="preserve">letter </w:t>
      </w:r>
      <w:r w:rsidR="00EF25EB" w:rsidRPr="00135E72">
        <w:rPr>
          <w:rFonts w:ascii="Arial" w:hAnsi="Arial" w:cs="Arial"/>
          <w:sz w:val="16"/>
          <w:szCs w:val="16"/>
        </w:rPr>
        <w:t xml:space="preserve">order regarding the </w:t>
      </w:r>
      <w:r w:rsidR="00EF25EB" w:rsidRPr="00135E72">
        <w:rPr>
          <w:rFonts w:ascii="Arial" w:hAnsi="Arial" w:cs="Arial"/>
          <w:i/>
          <w:sz w:val="16"/>
          <w:szCs w:val="16"/>
        </w:rPr>
        <w:t>Filing of Installed Capacity Requirement, Hydro Qu</w:t>
      </w:r>
      <w:r w:rsidR="0051440A" w:rsidRPr="00135E72">
        <w:rPr>
          <w:rFonts w:ascii="Arial" w:hAnsi="Arial" w:cs="Arial"/>
          <w:i/>
          <w:sz w:val="16"/>
          <w:szCs w:val="16"/>
        </w:rPr>
        <w:t>é</w:t>
      </w:r>
      <w:r w:rsidR="00EF25EB" w:rsidRPr="00135E72">
        <w:rPr>
          <w:rFonts w:ascii="Arial" w:hAnsi="Arial" w:cs="Arial"/>
          <w:i/>
          <w:sz w:val="16"/>
          <w:szCs w:val="16"/>
        </w:rPr>
        <w:t>bec Interconnection Capability Credits, and Related Values for the 2013/2014 Capability Year</w:t>
      </w:r>
      <w:r w:rsidR="00EF25EB" w:rsidRPr="00135E72">
        <w:rPr>
          <w:rFonts w:ascii="Arial" w:hAnsi="Arial" w:cs="Arial"/>
          <w:sz w:val="16"/>
          <w:szCs w:val="16"/>
        </w:rPr>
        <w:t xml:space="preserve"> (</w:t>
      </w:r>
      <w:hyperlink r:id="rId32" w:history="1">
        <w:r w:rsidR="00EF25EB" w:rsidRPr="00135E72">
          <w:rPr>
            <w:rStyle w:val="Hyperlink"/>
            <w:rFonts w:ascii="Arial" w:hAnsi="Arial" w:cs="Arial"/>
            <w:color w:val="000000" w:themeColor="text1"/>
            <w:sz w:val="16"/>
            <w:szCs w:val="16"/>
            <w:u w:val="none"/>
          </w:rPr>
          <w:t>http://www.iso-ne.com/regulatory/ferc/orders/2010/jun/er10-1182_6-25-10_ltr_ordr_accept_2013-2014_icr.pdf</w:t>
        </w:r>
      </w:hyperlink>
      <w:r w:rsidR="00EF25EB" w:rsidRPr="00135E72">
        <w:rPr>
          <w:rFonts w:ascii="Arial" w:hAnsi="Arial" w:cs="Arial"/>
          <w:color w:val="000000" w:themeColor="text1"/>
          <w:sz w:val="16"/>
          <w:szCs w:val="16"/>
        </w:rPr>
        <w:t>)</w:t>
      </w:r>
      <w:r w:rsidR="00EF25EB" w:rsidRPr="00135E72">
        <w:rPr>
          <w:rFonts w:ascii="Arial" w:hAnsi="Arial" w:cs="Arial"/>
          <w:sz w:val="16"/>
          <w:szCs w:val="16"/>
        </w:rPr>
        <w:t>.</w:t>
      </w:r>
      <w:r w:rsidR="008E2981">
        <w:rPr>
          <w:rFonts w:ascii="Arial" w:hAnsi="Arial" w:cs="Arial"/>
          <w:sz w:val="16"/>
          <w:szCs w:val="16"/>
        </w:rPr>
        <w:t xml:space="preserve"> </w:t>
      </w:r>
    </w:p>
    <w:p w:rsidR="004E3B8A" w:rsidRPr="00BD3DED" w:rsidRDefault="0049300D" w:rsidP="00D70F17">
      <w:pPr>
        <w:keepNext/>
        <w:keepLines/>
        <w:spacing w:line="240" w:lineRule="auto"/>
        <w:ind w:left="720" w:right="187" w:hanging="270"/>
        <w:rPr>
          <w:rFonts w:ascii="Arial" w:hAnsi="Arial" w:cs="Arial"/>
          <w:sz w:val="16"/>
          <w:szCs w:val="16"/>
        </w:rPr>
      </w:pPr>
      <w:r>
        <w:rPr>
          <w:rFonts w:ascii="Arial" w:hAnsi="Arial" w:cs="Arial"/>
          <w:sz w:val="16"/>
          <w:szCs w:val="16"/>
        </w:rPr>
        <w:t xml:space="preserve">(h) </w:t>
      </w:r>
      <w:r w:rsidR="00D70F17">
        <w:rPr>
          <w:rFonts w:ascii="Arial" w:hAnsi="Arial" w:cs="Arial"/>
          <w:sz w:val="16"/>
          <w:szCs w:val="16"/>
        </w:rPr>
        <w:tab/>
      </w:r>
      <w:r w:rsidR="004E3B8A" w:rsidRPr="00D22FBD">
        <w:rPr>
          <w:rFonts w:ascii="Arial" w:hAnsi="Arial" w:cs="Arial"/>
          <w:sz w:val="16"/>
          <w:szCs w:val="16"/>
        </w:rPr>
        <w:t xml:space="preserve">For </w:t>
      </w:r>
      <w:r w:rsidR="004E3B8A">
        <w:rPr>
          <w:rFonts w:ascii="Arial" w:hAnsi="Arial" w:cs="Arial"/>
          <w:sz w:val="16"/>
          <w:szCs w:val="16"/>
        </w:rPr>
        <w:t xml:space="preserve">the </w:t>
      </w:r>
      <w:r w:rsidR="004E3B8A" w:rsidRPr="00D22FBD">
        <w:rPr>
          <w:rFonts w:ascii="Arial" w:hAnsi="Arial" w:cs="Arial"/>
          <w:sz w:val="16"/>
          <w:szCs w:val="16"/>
        </w:rPr>
        <w:t>201</w:t>
      </w:r>
      <w:r w:rsidR="004E3B8A">
        <w:rPr>
          <w:rFonts w:ascii="Arial" w:hAnsi="Arial" w:cs="Arial"/>
          <w:sz w:val="16"/>
          <w:szCs w:val="16"/>
        </w:rPr>
        <w:t xml:space="preserve">4/2015 </w:t>
      </w:r>
      <w:r w:rsidR="004E3B8A" w:rsidRPr="00D22FBD">
        <w:rPr>
          <w:rFonts w:ascii="Arial" w:hAnsi="Arial" w:cs="Arial"/>
          <w:sz w:val="16"/>
          <w:szCs w:val="16"/>
        </w:rPr>
        <w:t>to 201</w:t>
      </w:r>
      <w:r w:rsidR="004E3B8A">
        <w:rPr>
          <w:rFonts w:ascii="Arial" w:hAnsi="Arial" w:cs="Arial"/>
          <w:sz w:val="16"/>
          <w:szCs w:val="16"/>
        </w:rPr>
        <w:t>9/2020 capability years</w:t>
      </w:r>
      <w:r w:rsidR="004E3B8A" w:rsidRPr="00D22FBD">
        <w:rPr>
          <w:rFonts w:ascii="Arial" w:hAnsi="Arial" w:cs="Arial"/>
          <w:sz w:val="16"/>
          <w:szCs w:val="16"/>
        </w:rPr>
        <w:t>, representative net ICR values are presented reflecting the amount of capacity resources needed to meet the resource adequacy planning criterion.</w:t>
      </w:r>
    </w:p>
    <w:p w:rsidR="004E3B8A" w:rsidRDefault="004E3B8A" w:rsidP="004E3B8A">
      <w:r w:rsidRPr="008610C3">
        <w:t xml:space="preserve">The actual amounts of </w:t>
      </w:r>
      <w:r w:rsidRPr="005A7FA9">
        <w:t>capacity to be procured through the FCM process for future years will continue to be determined according to established FCM market rules. The amount of additional capacity and the installation timing to meet the future requirements will depend on future expected system load and resource conditions.</w:t>
      </w:r>
      <w:r>
        <w:t xml:space="preserve"> Any changes in these conditions will be reflected in future RSPs and FCAs. </w:t>
      </w:r>
    </w:p>
    <w:p w:rsidR="004E3B8A" w:rsidRPr="00500523" w:rsidRDefault="00832C7A" w:rsidP="004E3B8A">
      <w:pPr>
        <w:keepNext/>
        <w:keepLines/>
      </w:pPr>
      <w:fldSimple w:instr=" REF _Ref238914127 \h  \* MERGEFORMAT ">
        <w:r w:rsidR="00E5699E" w:rsidRPr="00D4331C">
          <w:t>Table </w:t>
        </w:r>
        <w:r w:rsidR="00E5699E">
          <w:t>4</w:t>
        </w:r>
        <w:r w:rsidR="00E5699E" w:rsidRPr="00D4331C">
          <w:noBreakHyphen/>
        </w:r>
        <w:r w:rsidR="00E5699E">
          <w:t>9</w:t>
        </w:r>
      </w:fldSimple>
      <w:r w:rsidR="004E3B8A">
        <w:rPr>
          <w:szCs w:val="24"/>
          <w:lang w:eastAsia="ar-SA"/>
        </w:rPr>
        <w:t xml:space="preserve"> </w:t>
      </w:r>
      <w:r w:rsidR="004E3B8A" w:rsidRPr="00FE6FBD">
        <w:t>shows</w:t>
      </w:r>
      <w:r w:rsidR="004E3B8A">
        <w:t xml:space="preserve"> the total megawatts of qualified new resources by capacity resource type for the </w:t>
      </w:r>
      <w:r w:rsidR="004E3B8A" w:rsidRPr="00231E36">
        <w:rPr>
          <w:szCs w:val="24"/>
          <w:lang w:eastAsia="ar-SA"/>
        </w:rPr>
        <w:t>201</w:t>
      </w:r>
      <w:r w:rsidR="004E3B8A">
        <w:rPr>
          <w:szCs w:val="24"/>
          <w:lang w:eastAsia="ar-SA"/>
        </w:rPr>
        <w:t>3</w:t>
      </w:r>
      <w:r w:rsidR="004E3B8A" w:rsidRPr="00231E36">
        <w:rPr>
          <w:szCs w:val="24"/>
          <w:lang w:eastAsia="ar-SA"/>
        </w:rPr>
        <w:t>/201</w:t>
      </w:r>
      <w:r w:rsidR="004E3B8A">
        <w:rPr>
          <w:szCs w:val="24"/>
          <w:lang w:eastAsia="ar-SA"/>
        </w:rPr>
        <w:t>4</w:t>
      </w:r>
      <w:r w:rsidR="004E3B8A" w:rsidRPr="00231E36">
        <w:rPr>
          <w:szCs w:val="24"/>
          <w:lang w:eastAsia="ar-SA"/>
        </w:rPr>
        <w:t xml:space="preserve"> </w:t>
      </w:r>
      <w:r w:rsidR="004E3B8A">
        <w:t xml:space="preserve">capacity commitment period, as of May 4, 2010, the date of FERC’s </w:t>
      </w:r>
      <w:r w:rsidR="004E3B8A" w:rsidRPr="00D93D8A">
        <w:rPr>
          <w:i/>
        </w:rPr>
        <w:t xml:space="preserve">Informational Filing for </w:t>
      </w:r>
      <w:r w:rsidR="00D4331C" w:rsidRPr="00D4331C">
        <w:rPr>
          <w:i/>
        </w:rPr>
        <w:t>Qualification in the Forward Capacity Market</w:t>
      </w:r>
      <w:r w:rsidR="00D4331C" w:rsidRPr="00D4331C">
        <w:t>.</w:t>
      </w:r>
      <w:r w:rsidR="001614A6">
        <w:rPr>
          <w:rStyle w:val="FootnoteReference"/>
          <w:sz w:val="22"/>
        </w:rPr>
        <w:footnoteReference w:id="100"/>
      </w:r>
      <w:r w:rsidR="00D4331C" w:rsidRPr="00D4331C">
        <w:t xml:space="preserve"> </w:t>
      </w:r>
    </w:p>
    <w:p w:rsidR="00763576" w:rsidRDefault="00D4331C">
      <w:pPr>
        <w:pStyle w:val="Caption"/>
        <w:ind w:left="0" w:right="0"/>
      </w:pPr>
      <w:bookmarkStart w:id="276" w:name="_Ref238914127"/>
      <w:bookmarkStart w:id="277" w:name="_Toc239157224"/>
      <w:bookmarkStart w:id="278" w:name="_Toc271552410"/>
      <w:r w:rsidRPr="00D4331C">
        <w:t>Table </w:t>
      </w:r>
      <w:fldSimple w:instr=" STYLEREF 1 \s ">
        <w:r w:rsidR="00E5699E">
          <w:rPr>
            <w:noProof/>
          </w:rPr>
          <w:t>4</w:t>
        </w:r>
      </w:fldSimple>
      <w:r w:rsidRPr="00D4331C">
        <w:noBreakHyphen/>
      </w:r>
      <w:fldSimple w:instr=" SEQ Table \* ARABIC \s 1 ">
        <w:r w:rsidR="00E5699E">
          <w:rPr>
            <w:noProof/>
          </w:rPr>
          <w:t>9</w:t>
        </w:r>
      </w:fldSimple>
      <w:bookmarkEnd w:id="276"/>
      <w:r w:rsidRPr="00D4331C">
        <w:br/>
      </w:r>
      <w:r w:rsidRPr="00D4331C">
        <w:rPr>
          <w:rFonts w:cs="Arial"/>
        </w:rPr>
        <w:t>New Capacity Qualified for FCA #</w:t>
      </w:r>
      <w:bookmarkEnd w:id="277"/>
      <w:r w:rsidRPr="00D4331C">
        <w:rPr>
          <w:rFonts w:cs="Arial"/>
        </w:rPr>
        <w:t>4</w:t>
      </w:r>
      <w:bookmarkEnd w:id="278"/>
      <w:r w:rsidRPr="00D4331C">
        <w:rPr>
          <w:rFonts w:cs="Arial"/>
        </w:rPr>
        <w:t xml:space="preserve"> </w:t>
      </w:r>
    </w:p>
    <w:tbl>
      <w:tblPr>
        <w:tblStyle w:val="TableGrid"/>
        <w:tblW w:w="0" w:type="auto"/>
        <w:jc w:val="center"/>
        <w:tblCellMar>
          <w:top w:w="43" w:type="dxa"/>
          <w:left w:w="115" w:type="dxa"/>
          <w:bottom w:w="43" w:type="dxa"/>
          <w:right w:w="115" w:type="dxa"/>
        </w:tblCellMar>
        <w:tblLook w:val="04A0"/>
      </w:tblPr>
      <w:tblGrid>
        <w:gridCol w:w="2343"/>
        <w:gridCol w:w="1530"/>
      </w:tblGrid>
      <w:tr w:rsidR="004E3B8A" w:rsidRPr="00B2316A" w:rsidTr="007A0224">
        <w:trPr>
          <w:cantSplit/>
          <w:jc w:val="center"/>
        </w:trPr>
        <w:tc>
          <w:tcPr>
            <w:tcW w:w="2343" w:type="dxa"/>
            <w:shd w:val="clear" w:color="auto" w:fill="FBCE76" w:themeFill="background2" w:themeFillTint="99"/>
            <w:tcMar>
              <w:top w:w="43" w:type="dxa"/>
              <w:left w:w="115" w:type="dxa"/>
              <w:bottom w:w="43" w:type="dxa"/>
              <w:right w:w="115" w:type="dxa"/>
            </w:tcMar>
            <w:vAlign w:val="center"/>
          </w:tcPr>
          <w:p w:rsidR="004E3B8A" w:rsidRPr="00B2316A" w:rsidRDefault="004E3B8A" w:rsidP="003E5EA3">
            <w:pPr>
              <w:spacing w:after="0"/>
              <w:jc w:val="center"/>
              <w:rPr>
                <w:rFonts w:ascii="Arial" w:hAnsi="Arial" w:cs="Arial"/>
                <w:b/>
                <w:sz w:val="18"/>
                <w:szCs w:val="18"/>
              </w:rPr>
            </w:pPr>
            <w:r w:rsidRPr="00B2316A">
              <w:rPr>
                <w:rFonts w:ascii="Arial" w:hAnsi="Arial" w:cs="Arial"/>
                <w:b/>
                <w:sz w:val="18"/>
                <w:szCs w:val="18"/>
              </w:rPr>
              <w:t>Resource Type</w:t>
            </w:r>
          </w:p>
        </w:tc>
        <w:tc>
          <w:tcPr>
            <w:tcW w:w="1530" w:type="dxa"/>
            <w:shd w:val="clear" w:color="auto" w:fill="FBCE76" w:themeFill="background2" w:themeFillTint="99"/>
            <w:tcMar>
              <w:top w:w="43" w:type="dxa"/>
              <w:left w:w="115" w:type="dxa"/>
              <w:bottom w:w="43" w:type="dxa"/>
              <w:right w:w="115" w:type="dxa"/>
            </w:tcMar>
            <w:vAlign w:val="center"/>
          </w:tcPr>
          <w:p w:rsidR="004E3B8A" w:rsidRPr="00B2316A" w:rsidRDefault="004E3B8A" w:rsidP="003E5EA3">
            <w:pPr>
              <w:spacing w:after="0"/>
              <w:jc w:val="center"/>
              <w:rPr>
                <w:rFonts w:ascii="Arial" w:hAnsi="Arial" w:cs="Arial"/>
                <w:b/>
                <w:sz w:val="18"/>
                <w:szCs w:val="18"/>
              </w:rPr>
            </w:pPr>
            <w:r w:rsidRPr="00B2316A">
              <w:rPr>
                <w:rFonts w:ascii="Arial" w:hAnsi="Arial" w:cs="Arial"/>
                <w:b/>
                <w:sz w:val="18"/>
                <w:szCs w:val="18"/>
              </w:rPr>
              <w:t>MW</w:t>
            </w:r>
            <w:r w:rsidRPr="00B2316A">
              <w:rPr>
                <w:rFonts w:ascii="Arial" w:hAnsi="Arial" w:cs="Arial"/>
                <w:b/>
                <w:sz w:val="18"/>
                <w:szCs w:val="18"/>
                <w:vertAlign w:val="superscript"/>
              </w:rPr>
              <w:t>(a)</w:t>
            </w:r>
          </w:p>
        </w:tc>
      </w:tr>
      <w:tr w:rsidR="004E3B8A" w:rsidRPr="00B2316A" w:rsidTr="007A0224">
        <w:trPr>
          <w:cantSplit/>
          <w:jc w:val="center"/>
        </w:trPr>
        <w:tc>
          <w:tcPr>
            <w:tcW w:w="2343" w:type="dxa"/>
            <w:tcMar>
              <w:top w:w="43" w:type="dxa"/>
              <w:left w:w="115" w:type="dxa"/>
              <w:bottom w:w="43" w:type="dxa"/>
              <w:right w:w="115" w:type="dxa"/>
            </w:tcMar>
            <w:vAlign w:val="center"/>
          </w:tcPr>
          <w:p w:rsidR="004E3B8A" w:rsidRPr="00B2316A" w:rsidRDefault="004E3B8A" w:rsidP="003E5EA3">
            <w:pPr>
              <w:spacing w:after="0"/>
              <w:rPr>
                <w:rFonts w:ascii="Arial" w:hAnsi="Arial" w:cs="Arial"/>
                <w:b/>
                <w:sz w:val="18"/>
                <w:szCs w:val="18"/>
              </w:rPr>
            </w:pPr>
            <w:r w:rsidRPr="00B2316A">
              <w:rPr>
                <w:rFonts w:ascii="Arial" w:hAnsi="Arial" w:cs="Arial"/>
                <w:b/>
                <w:sz w:val="18"/>
                <w:szCs w:val="18"/>
              </w:rPr>
              <w:t>Generation</w:t>
            </w:r>
          </w:p>
        </w:tc>
        <w:tc>
          <w:tcPr>
            <w:tcW w:w="1530" w:type="dxa"/>
            <w:tcMar>
              <w:top w:w="43" w:type="dxa"/>
              <w:left w:w="115" w:type="dxa"/>
              <w:bottom w:w="43" w:type="dxa"/>
              <w:right w:w="288" w:type="dxa"/>
            </w:tcMar>
            <w:vAlign w:val="center"/>
          </w:tcPr>
          <w:p w:rsidR="004E3B8A" w:rsidRPr="00B2316A" w:rsidRDefault="004E3B8A" w:rsidP="003E5EA3">
            <w:pPr>
              <w:spacing w:after="0"/>
              <w:jc w:val="right"/>
              <w:rPr>
                <w:rFonts w:ascii="Arial" w:hAnsi="Arial" w:cs="Arial"/>
                <w:sz w:val="18"/>
                <w:szCs w:val="18"/>
              </w:rPr>
            </w:pPr>
            <w:r w:rsidRPr="00B2316A">
              <w:rPr>
                <w:rFonts w:ascii="Arial" w:hAnsi="Arial" w:cs="Arial"/>
                <w:sz w:val="18"/>
                <w:szCs w:val="18"/>
              </w:rPr>
              <w:t>886</w:t>
            </w:r>
          </w:p>
        </w:tc>
      </w:tr>
      <w:tr w:rsidR="004E3B8A" w:rsidRPr="00B2316A" w:rsidTr="007A0224">
        <w:trPr>
          <w:cantSplit/>
          <w:jc w:val="center"/>
        </w:trPr>
        <w:tc>
          <w:tcPr>
            <w:tcW w:w="2343" w:type="dxa"/>
            <w:shd w:val="clear" w:color="auto" w:fill="FDEED1" w:themeFill="background2" w:themeFillTint="33"/>
            <w:tcMar>
              <w:top w:w="43" w:type="dxa"/>
              <w:left w:w="115" w:type="dxa"/>
              <w:bottom w:w="43" w:type="dxa"/>
              <w:right w:w="115" w:type="dxa"/>
            </w:tcMar>
            <w:vAlign w:val="center"/>
          </w:tcPr>
          <w:p w:rsidR="004E3B8A" w:rsidRPr="00B2316A" w:rsidRDefault="004E3B8A" w:rsidP="003E5EA3">
            <w:pPr>
              <w:spacing w:after="0"/>
              <w:rPr>
                <w:rFonts w:ascii="Arial" w:hAnsi="Arial" w:cs="Arial"/>
                <w:b/>
                <w:sz w:val="18"/>
                <w:szCs w:val="18"/>
              </w:rPr>
            </w:pPr>
            <w:r w:rsidRPr="00B2316A">
              <w:rPr>
                <w:rFonts w:ascii="Arial" w:hAnsi="Arial" w:cs="Arial"/>
                <w:b/>
                <w:sz w:val="18"/>
                <w:szCs w:val="18"/>
              </w:rPr>
              <w:t>Demand Resources</w:t>
            </w:r>
          </w:p>
        </w:tc>
        <w:tc>
          <w:tcPr>
            <w:tcW w:w="1530" w:type="dxa"/>
            <w:shd w:val="clear" w:color="auto" w:fill="FDEED1" w:themeFill="background2" w:themeFillTint="33"/>
            <w:tcMar>
              <w:top w:w="43" w:type="dxa"/>
              <w:left w:w="115" w:type="dxa"/>
              <w:bottom w:w="43" w:type="dxa"/>
              <w:right w:w="288" w:type="dxa"/>
            </w:tcMar>
            <w:vAlign w:val="center"/>
          </w:tcPr>
          <w:p w:rsidR="004E3B8A" w:rsidRPr="00B2316A" w:rsidRDefault="004E3B8A" w:rsidP="003E5EA3">
            <w:pPr>
              <w:spacing w:after="0"/>
              <w:jc w:val="right"/>
              <w:rPr>
                <w:rFonts w:ascii="Arial" w:hAnsi="Arial" w:cs="Arial"/>
                <w:sz w:val="18"/>
                <w:szCs w:val="18"/>
              </w:rPr>
            </w:pPr>
            <w:r w:rsidRPr="00B2316A">
              <w:rPr>
                <w:rFonts w:ascii="Arial" w:hAnsi="Arial" w:cs="Arial"/>
                <w:sz w:val="18"/>
                <w:szCs w:val="18"/>
              </w:rPr>
              <w:t>1,01</w:t>
            </w:r>
            <w:r>
              <w:rPr>
                <w:rFonts w:ascii="Arial" w:hAnsi="Arial" w:cs="Arial"/>
                <w:sz w:val="18"/>
                <w:szCs w:val="18"/>
              </w:rPr>
              <w:t>1</w:t>
            </w:r>
          </w:p>
        </w:tc>
      </w:tr>
      <w:tr w:rsidR="004E3B8A" w:rsidRPr="00B2316A" w:rsidTr="007A0224">
        <w:trPr>
          <w:cantSplit/>
          <w:jc w:val="center"/>
        </w:trPr>
        <w:tc>
          <w:tcPr>
            <w:tcW w:w="2343" w:type="dxa"/>
            <w:tcMar>
              <w:top w:w="43" w:type="dxa"/>
              <w:left w:w="115" w:type="dxa"/>
              <w:bottom w:w="43" w:type="dxa"/>
              <w:right w:w="115" w:type="dxa"/>
            </w:tcMar>
            <w:vAlign w:val="center"/>
          </w:tcPr>
          <w:p w:rsidR="004E3B8A" w:rsidRPr="00B2316A" w:rsidRDefault="004E3B8A" w:rsidP="003E5EA3">
            <w:pPr>
              <w:spacing w:after="0"/>
              <w:rPr>
                <w:rFonts w:ascii="Arial" w:hAnsi="Arial" w:cs="Arial"/>
                <w:b/>
                <w:sz w:val="18"/>
                <w:szCs w:val="18"/>
              </w:rPr>
            </w:pPr>
            <w:r w:rsidRPr="00B2316A">
              <w:rPr>
                <w:rFonts w:ascii="Arial" w:hAnsi="Arial" w:cs="Arial"/>
                <w:b/>
                <w:sz w:val="18"/>
                <w:szCs w:val="18"/>
              </w:rPr>
              <w:t>Imports</w:t>
            </w:r>
          </w:p>
        </w:tc>
        <w:tc>
          <w:tcPr>
            <w:tcW w:w="1530" w:type="dxa"/>
            <w:tcMar>
              <w:top w:w="43" w:type="dxa"/>
              <w:left w:w="115" w:type="dxa"/>
              <w:bottom w:w="43" w:type="dxa"/>
              <w:right w:w="288" w:type="dxa"/>
            </w:tcMar>
            <w:vAlign w:val="center"/>
          </w:tcPr>
          <w:p w:rsidR="004E3B8A" w:rsidRPr="00B2316A" w:rsidRDefault="004E3B8A" w:rsidP="003E5EA3">
            <w:pPr>
              <w:spacing w:after="0"/>
              <w:jc w:val="right"/>
              <w:rPr>
                <w:rFonts w:ascii="Arial" w:hAnsi="Arial" w:cs="Arial"/>
                <w:sz w:val="18"/>
                <w:szCs w:val="18"/>
              </w:rPr>
            </w:pPr>
            <w:r w:rsidRPr="00B2316A">
              <w:rPr>
                <w:rFonts w:ascii="Arial" w:hAnsi="Arial" w:cs="Arial"/>
                <w:sz w:val="18"/>
                <w:szCs w:val="18"/>
              </w:rPr>
              <w:t>1,2</w:t>
            </w:r>
            <w:r>
              <w:rPr>
                <w:rFonts w:ascii="Arial" w:hAnsi="Arial" w:cs="Arial"/>
                <w:sz w:val="18"/>
                <w:szCs w:val="18"/>
              </w:rPr>
              <w:t>4</w:t>
            </w:r>
            <w:r w:rsidRPr="00B2316A">
              <w:rPr>
                <w:rFonts w:ascii="Arial" w:hAnsi="Arial" w:cs="Arial"/>
                <w:sz w:val="18"/>
                <w:szCs w:val="18"/>
              </w:rPr>
              <w:t>4</w:t>
            </w:r>
          </w:p>
        </w:tc>
      </w:tr>
      <w:tr w:rsidR="004E3B8A" w:rsidRPr="00B2316A" w:rsidTr="007A0224">
        <w:trPr>
          <w:cantSplit/>
          <w:jc w:val="center"/>
        </w:trPr>
        <w:tc>
          <w:tcPr>
            <w:tcW w:w="2343" w:type="dxa"/>
            <w:shd w:val="clear" w:color="auto" w:fill="FBCE76" w:themeFill="background2" w:themeFillTint="99"/>
            <w:tcMar>
              <w:top w:w="43" w:type="dxa"/>
              <w:left w:w="115" w:type="dxa"/>
              <w:bottom w:w="43" w:type="dxa"/>
              <w:right w:w="115" w:type="dxa"/>
            </w:tcMar>
            <w:vAlign w:val="center"/>
          </w:tcPr>
          <w:p w:rsidR="004E3B8A" w:rsidRPr="00B2316A" w:rsidRDefault="004E3B8A" w:rsidP="003E5EA3">
            <w:pPr>
              <w:spacing w:after="0"/>
              <w:rPr>
                <w:rFonts w:ascii="Arial" w:hAnsi="Arial" w:cs="Arial"/>
                <w:b/>
                <w:sz w:val="18"/>
                <w:szCs w:val="18"/>
              </w:rPr>
            </w:pPr>
            <w:r w:rsidRPr="00B2316A">
              <w:rPr>
                <w:rFonts w:ascii="Arial" w:hAnsi="Arial" w:cs="Arial"/>
                <w:b/>
                <w:sz w:val="18"/>
                <w:szCs w:val="18"/>
              </w:rPr>
              <w:t>Total</w:t>
            </w:r>
          </w:p>
        </w:tc>
        <w:tc>
          <w:tcPr>
            <w:tcW w:w="1530" w:type="dxa"/>
            <w:shd w:val="clear" w:color="auto" w:fill="FBCE76" w:themeFill="background2" w:themeFillTint="99"/>
            <w:tcMar>
              <w:top w:w="43" w:type="dxa"/>
              <w:left w:w="115" w:type="dxa"/>
              <w:bottom w:w="43" w:type="dxa"/>
              <w:right w:w="288" w:type="dxa"/>
            </w:tcMar>
            <w:vAlign w:val="center"/>
          </w:tcPr>
          <w:p w:rsidR="004E3B8A" w:rsidRPr="00B2316A" w:rsidRDefault="004E3B8A" w:rsidP="00D1355F">
            <w:pPr>
              <w:spacing w:after="0"/>
              <w:jc w:val="right"/>
              <w:rPr>
                <w:rFonts w:ascii="Arial" w:hAnsi="Arial" w:cs="Arial"/>
                <w:sz w:val="18"/>
                <w:szCs w:val="18"/>
              </w:rPr>
            </w:pPr>
            <w:r w:rsidRPr="00451C3E">
              <w:rPr>
                <w:rFonts w:ascii="Arial" w:hAnsi="Arial" w:cs="Arial"/>
                <w:sz w:val="18"/>
                <w:szCs w:val="18"/>
              </w:rPr>
              <w:t>3,14</w:t>
            </w:r>
            <w:r w:rsidR="00D1355F">
              <w:rPr>
                <w:rFonts w:ascii="Arial" w:hAnsi="Arial" w:cs="Arial"/>
                <w:sz w:val="18"/>
                <w:szCs w:val="18"/>
              </w:rPr>
              <w:t>0</w:t>
            </w:r>
          </w:p>
        </w:tc>
      </w:tr>
    </w:tbl>
    <w:p w:rsidR="00020BBB" w:rsidRDefault="003E5EA3" w:rsidP="002A121F">
      <w:pPr>
        <w:tabs>
          <w:tab w:val="left" w:pos="2970"/>
        </w:tabs>
        <w:spacing w:before="80" w:line="240" w:lineRule="auto"/>
        <w:ind w:left="3060" w:right="2700" w:hanging="270"/>
      </w:pPr>
      <w:r>
        <w:rPr>
          <w:rFonts w:ascii="Arial" w:hAnsi="Arial" w:cs="Arial"/>
          <w:sz w:val="16"/>
          <w:szCs w:val="16"/>
        </w:rPr>
        <w:t xml:space="preserve">(a) </w:t>
      </w:r>
      <w:r w:rsidR="00D70F17">
        <w:rPr>
          <w:rFonts w:ascii="Arial" w:hAnsi="Arial" w:cs="Arial"/>
          <w:sz w:val="16"/>
          <w:szCs w:val="16"/>
        </w:rPr>
        <w:tab/>
      </w:r>
      <w:r w:rsidR="004E3B8A" w:rsidRPr="00893805">
        <w:rPr>
          <w:rFonts w:ascii="Arial" w:hAnsi="Arial" w:cs="Arial"/>
          <w:sz w:val="16"/>
          <w:szCs w:val="16"/>
        </w:rPr>
        <w:t>The total includes real-time emergency-generation resources for which qualification packages were submitted. Values are effective as of May 4, 2010.</w:t>
      </w:r>
      <w:r w:rsidR="00D1355F">
        <w:rPr>
          <w:rFonts w:ascii="Arial" w:hAnsi="Arial" w:cs="Arial"/>
          <w:sz w:val="16"/>
          <w:szCs w:val="16"/>
        </w:rPr>
        <w:t xml:space="preserve"> Totals may not add </w:t>
      </w:r>
      <w:r w:rsidR="00D55BAD">
        <w:rPr>
          <w:rFonts w:ascii="Arial" w:hAnsi="Arial" w:cs="Arial"/>
          <w:sz w:val="16"/>
          <w:szCs w:val="16"/>
        </w:rPr>
        <w:t xml:space="preserve">because of </w:t>
      </w:r>
      <w:r w:rsidR="00D1355F">
        <w:rPr>
          <w:rFonts w:ascii="Arial" w:hAnsi="Arial" w:cs="Arial"/>
          <w:sz w:val="16"/>
          <w:szCs w:val="16"/>
        </w:rPr>
        <w:t>rounding.</w:t>
      </w:r>
      <w:r w:rsidR="00BB3D3D">
        <w:rPr>
          <w:rFonts w:ascii="Arial" w:hAnsi="Arial" w:cs="Arial"/>
          <w:sz w:val="16"/>
          <w:szCs w:val="16"/>
        </w:rPr>
        <w:t xml:space="preserve"> </w:t>
      </w:r>
    </w:p>
    <w:p w:rsidR="004E3B8A" w:rsidRDefault="004E3B8A" w:rsidP="009E7CC9">
      <w:pPr>
        <w:rPr>
          <w:lang w:eastAsia="ar-SA"/>
        </w:rPr>
      </w:pPr>
      <w:r>
        <w:rPr>
          <w:lang w:eastAsia="ar-SA"/>
        </w:rPr>
        <w:t xml:space="preserve">Overall, </w:t>
      </w:r>
      <w:r w:rsidR="002A121F">
        <w:rPr>
          <w:lang w:eastAsia="ar-SA"/>
        </w:rPr>
        <w:t xml:space="preserve">the </w:t>
      </w:r>
      <w:r>
        <w:rPr>
          <w:lang w:eastAsia="ar-SA"/>
        </w:rPr>
        <w:t xml:space="preserve">qualification of new resources for participation in FCA #4 has declined compared with previous auctions. The amount of qualified new generating capacity is about half of what it has been in previous FCAs, while the amount of qualified imports has remained about the same and the quantity of qualified demand resources </w:t>
      </w:r>
      <w:r w:rsidRPr="00135E72">
        <w:rPr>
          <w:lang w:eastAsia="ar-SA"/>
        </w:rPr>
        <w:t xml:space="preserve">has nearly doubled from FCA #3. The smaller size of the proposed projects and project disqualifications due to </w:t>
      </w:r>
      <w:r w:rsidR="00EF25EB" w:rsidRPr="00135E72">
        <w:rPr>
          <w:lang w:eastAsia="ar-SA"/>
        </w:rPr>
        <w:t>overlapping impacts</w:t>
      </w:r>
      <w:r w:rsidRPr="00135E72">
        <w:rPr>
          <w:lang w:eastAsia="ar-SA"/>
        </w:rPr>
        <w:t xml:space="preserve"> </w:t>
      </w:r>
      <w:r w:rsidR="003332B7">
        <w:rPr>
          <w:lang w:eastAsia="ar-SA"/>
        </w:rPr>
        <w:t xml:space="preserve">also contributed to </w:t>
      </w:r>
      <w:r w:rsidR="00EF25EB" w:rsidRPr="00135E72">
        <w:rPr>
          <w:lang w:eastAsia="ar-SA"/>
        </w:rPr>
        <w:t xml:space="preserve">decreased </w:t>
      </w:r>
      <w:r w:rsidR="00135E72" w:rsidRPr="00135E72">
        <w:rPr>
          <w:lang w:eastAsia="ar-SA"/>
        </w:rPr>
        <w:t>resource qualifications for FCA</w:t>
      </w:r>
      <w:r w:rsidR="003332B7">
        <w:rPr>
          <w:lang w:eastAsia="ar-SA"/>
        </w:rPr>
        <w:t> </w:t>
      </w:r>
      <w:r w:rsidR="00135E72" w:rsidRPr="00135E72">
        <w:rPr>
          <w:lang w:eastAsia="ar-SA"/>
        </w:rPr>
        <w:t xml:space="preserve">#4. </w:t>
      </w:r>
      <w:r w:rsidRPr="00135E72">
        <w:rPr>
          <w:lang w:eastAsia="ar-SA"/>
        </w:rPr>
        <w:t xml:space="preserve">Despite the decreased interest by new generating resources, interest from new resources </w:t>
      </w:r>
      <w:r w:rsidR="00A614A6">
        <w:rPr>
          <w:lang w:eastAsia="ar-SA"/>
        </w:rPr>
        <w:t xml:space="preserve">overall </w:t>
      </w:r>
      <w:r w:rsidRPr="00135E72">
        <w:rPr>
          <w:lang w:eastAsia="ar-SA"/>
        </w:rPr>
        <w:t>remains strong, as</w:t>
      </w:r>
      <w:r w:rsidRPr="00B45FFD">
        <w:rPr>
          <w:lang w:eastAsia="ar-SA"/>
        </w:rPr>
        <w:t xml:space="preserve"> illustrated in</w:t>
      </w:r>
      <w:r>
        <w:rPr>
          <w:lang w:eastAsia="ar-SA"/>
        </w:rPr>
        <w:t xml:space="preserve"> </w:t>
      </w:r>
      <w:fldSimple w:instr=" REF _Ref262590640 \h  \* MERGEFORMAT ">
        <w:r w:rsidR="00E5699E" w:rsidRPr="00E5699E">
          <w:rPr>
            <w:rFonts w:cs="Times New Roman"/>
          </w:rPr>
          <w:t>Figure</w:t>
        </w:r>
        <w:r w:rsidR="00E5699E" w:rsidRPr="00500523">
          <w:t xml:space="preserve"> </w:t>
        </w:r>
        <w:r w:rsidR="00E5699E">
          <w:rPr>
            <w:noProof/>
          </w:rPr>
          <w:t>4</w:t>
        </w:r>
        <w:r w:rsidR="00E5699E" w:rsidRPr="00500523">
          <w:rPr>
            <w:noProof/>
          </w:rPr>
          <w:noBreakHyphen/>
        </w:r>
        <w:r w:rsidR="00E5699E">
          <w:rPr>
            <w:noProof/>
          </w:rPr>
          <w:t>1</w:t>
        </w:r>
      </w:fldSimple>
      <w:r>
        <w:rPr>
          <w:lang w:eastAsia="ar-SA"/>
        </w:rPr>
        <w:t>.</w:t>
      </w:r>
    </w:p>
    <w:p w:rsidR="0037035B" w:rsidRDefault="0037035B" w:rsidP="0037035B">
      <w:pPr>
        <w:spacing w:after="0" w:line="240" w:lineRule="auto"/>
        <w:jc w:val="center"/>
        <w:rPr>
          <w:lang w:eastAsia="ar-SA"/>
        </w:rPr>
      </w:pPr>
      <w:r w:rsidRPr="0037035B">
        <w:rPr>
          <w:noProof/>
        </w:rPr>
        <w:drawing>
          <wp:inline distT="0" distB="0" distL="0" distR="0">
            <wp:extent cx="4886374" cy="2889389"/>
            <wp:effectExtent l="19050" t="19050" r="28526" b="25261"/>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889505" cy="2891241"/>
                    </a:xfrm>
                    <a:prstGeom prst="rect">
                      <a:avLst/>
                    </a:prstGeom>
                    <a:noFill/>
                    <a:ln w="3175">
                      <a:solidFill>
                        <a:schemeClr val="tx1"/>
                      </a:solidFill>
                      <a:miter lim="800000"/>
                      <a:headEnd/>
                      <a:tailEnd/>
                    </a:ln>
                  </pic:spPr>
                </pic:pic>
              </a:graphicData>
            </a:graphic>
          </wp:inline>
        </w:drawing>
      </w:r>
    </w:p>
    <w:p w:rsidR="00FC0261" w:rsidRPr="00500523" w:rsidRDefault="006309C6" w:rsidP="0056795A">
      <w:pPr>
        <w:pStyle w:val="Caption"/>
        <w:keepNext w:val="0"/>
        <w:keepLines w:val="0"/>
        <w:spacing w:before="120" w:after="360"/>
        <w:ind w:left="806"/>
        <w:jc w:val="left"/>
      </w:pPr>
      <w:bookmarkStart w:id="279" w:name="_Ref262590640"/>
      <w:bookmarkStart w:id="280" w:name="_Toc271552372"/>
      <w:r w:rsidRPr="00500523">
        <w:t xml:space="preserve">Figure </w:t>
      </w:r>
      <w:fldSimple w:instr=" STYLEREF 1 \s ">
        <w:r w:rsidR="00E5699E">
          <w:rPr>
            <w:noProof/>
          </w:rPr>
          <w:t>4</w:t>
        </w:r>
      </w:fldSimple>
      <w:r w:rsidR="00807C8D" w:rsidRPr="00500523">
        <w:noBreakHyphen/>
      </w:r>
      <w:fldSimple w:instr=" SEQ Figure \* ARABIC \s 1 ">
        <w:r w:rsidR="00E5699E">
          <w:rPr>
            <w:noProof/>
          </w:rPr>
          <w:t>1</w:t>
        </w:r>
      </w:fldSimple>
      <w:bookmarkEnd w:id="279"/>
      <w:r w:rsidRPr="00500523">
        <w:t xml:space="preserve">: </w:t>
      </w:r>
      <w:r w:rsidR="00D4331C" w:rsidRPr="00D4331C">
        <w:t>New resource qualification</w:t>
      </w:r>
      <w:r w:rsidR="00500523">
        <w:t>s</w:t>
      </w:r>
      <w:r w:rsidR="00D4331C" w:rsidRPr="00D4331C">
        <w:t xml:space="preserve"> for participation in the FCAs.</w:t>
      </w:r>
      <w:bookmarkEnd w:id="280"/>
    </w:p>
    <w:p w:rsidR="00AB6ADD" w:rsidRDefault="00832C7A" w:rsidP="00AB6ADD">
      <w:fldSimple w:instr=" REF _Ref270351959 \h  \* MERGEFORMAT ">
        <w:r w:rsidR="00E5699E">
          <w:t xml:space="preserve">Table </w:t>
        </w:r>
        <w:r w:rsidR="00E5699E">
          <w:rPr>
            <w:noProof/>
          </w:rPr>
          <w:t>4</w:t>
        </w:r>
        <w:r w:rsidR="00E5699E">
          <w:rPr>
            <w:noProof/>
          </w:rPr>
          <w:noBreakHyphen/>
          <w:t>10</w:t>
        </w:r>
      </w:fldSimple>
      <w:r w:rsidR="00D4331C" w:rsidRPr="00D4331C">
        <w:t xml:space="preserve"> shows</w:t>
      </w:r>
      <w:r w:rsidR="00AB6ADD">
        <w:t xml:space="preserve"> the qualified FCA #4 resources by </w:t>
      </w:r>
      <w:r w:rsidR="00B2406F">
        <w:t>location</w:t>
      </w:r>
      <w:r w:rsidR="00AB6ADD">
        <w:t xml:space="preserve">. </w:t>
      </w:r>
      <w:r w:rsidR="001C4F85">
        <w:t>A</w:t>
      </w:r>
      <w:r w:rsidR="00B2406F">
        <w:t xml:space="preserve"> total of </w:t>
      </w:r>
      <w:r w:rsidR="00AB6ADD">
        <w:t>638 MW of new active demand resources and 37</w:t>
      </w:r>
      <w:r w:rsidR="002537FD">
        <w:t>2</w:t>
      </w:r>
      <w:r w:rsidR="00AB6ADD">
        <w:t xml:space="preserve"> MW of new passive demand resources</w:t>
      </w:r>
      <w:r w:rsidR="001C4F85">
        <w:t xml:space="preserve"> qualified</w:t>
      </w:r>
      <w:r w:rsidR="00AB6ADD">
        <w:t xml:space="preserve">. Participation by natural gas units remains strong at </w:t>
      </w:r>
      <w:r w:rsidR="00B2406F">
        <w:t>83</w:t>
      </w:r>
      <w:r w:rsidR="00AB6ADD">
        <w:t xml:space="preserve">% of the total </w:t>
      </w:r>
      <w:r w:rsidR="00B2406F">
        <w:t xml:space="preserve">of 886 MW of </w:t>
      </w:r>
      <w:r w:rsidR="00AB6ADD">
        <w:t xml:space="preserve">generation resources. </w:t>
      </w:r>
    </w:p>
    <w:p w:rsidR="003F3D84" w:rsidRDefault="00B2406F">
      <w:pPr>
        <w:pStyle w:val="Caption"/>
      </w:pPr>
      <w:bookmarkStart w:id="281" w:name="_Ref270351959"/>
      <w:bookmarkStart w:id="282" w:name="_Toc271552411"/>
      <w:r>
        <w:t xml:space="preserve">Table </w:t>
      </w:r>
      <w:fldSimple w:instr=" STYLEREF 1 \s ">
        <w:r w:rsidR="00E5699E">
          <w:rPr>
            <w:noProof/>
          </w:rPr>
          <w:t>4</w:t>
        </w:r>
      </w:fldSimple>
      <w:r>
        <w:noBreakHyphen/>
      </w:r>
      <w:fldSimple w:instr=" SEQ Table \* ARABIC \s 1 ">
        <w:r w:rsidR="00E5699E">
          <w:rPr>
            <w:noProof/>
          </w:rPr>
          <w:t>10</w:t>
        </w:r>
      </w:fldSimple>
      <w:bookmarkEnd w:id="281"/>
      <w:r>
        <w:br/>
      </w:r>
      <w:r w:rsidR="002537FD">
        <w:t>New G</w:t>
      </w:r>
      <w:r w:rsidR="000B5EDB">
        <w:t>eneration and Demand R</w:t>
      </w:r>
      <w:r w:rsidR="00AB6ADD">
        <w:t xml:space="preserve">esources </w:t>
      </w:r>
      <w:r w:rsidR="002537FD">
        <w:t>that Qualified in FCA #4,</w:t>
      </w:r>
      <w:r w:rsidR="0056795A">
        <w:br/>
      </w:r>
      <w:r w:rsidR="00AB6ADD">
        <w:t xml:space="preserve">by </w:t>
      </w:r>
      <w:r w:rsidR="000B5EDB">
        <w:t>State</w:t>
      </w:r>
      <w:r w:rsidR="002537FD">
        <w:t xml:space="preserve"> (MW)</w:t>
      </w:r>
      <w:bookmarkEnd w:id="282"/>
    </w:p>
    <w:tbl>
      <w:tblPr>
        <w:tblW w:w="62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8" w:type="dxa"/>
          <w:left w:w="115" w:type="dxa"/>
          <w:bottom w:w="58" w:type="dxa"/>
          <w:right w:w="115" w:type="dxa"/>
        </w:tblCellMar>
        <w:tblLook w:val="04A0"/>
      </w:tblPr>
      <w:tblGrid>
        <w:gridCol w:w="836"/>
        <w:gridCol w:w="2723"/>
        <w:gridCol w:w="2658"/>
      </w:tblGrid>
      <w:tr w:rsidR="001F28AA" w:rsidRPr="006F365A" w:rsidTr="001C4F85">
        <w:trPr>
          <w:trHeight w:val="300"/>
          <w:jc w:val="center"/>
        </w:trPr>
        <w:tc>
          <w:tcPr>
            <w:tcW w:w="836" w:type="dxa"/>
            <w:shd w:val="clear" w:color="auto" w:fill="FBCE76" w:themeFill="background2" w:themeFillTint="99"/>
            <w:noWrap/>
            <w:vAlign w:val="center"/>
            <w:hideMark/>
          </w:tcPr>
          <w:p w:rsidR="00F158B9" w:rsidRPr="006F365A" w:rsidRDefault="000B5EDB" w:rsidP="001F28AA">
            <w:pPr>
              <w:spacing w:after="0"/>
              <w:jc w:val="center"/>
              <w:rPr>
                <w:rFonts w:ascii="Arial" w:eastAsia="Times New Roman" w:hAnsi="Arial" w:cs="Arial"/>
                <w:b/>
                <w:bCs/>
                <w:color w:val="000000"/>
                <w:sz w:val="18"/>
                <w:szCs w:val="18"/>
              </w:rPr>
            </w:pPr>
            <w:r w:rsidRPr="006F365A">
              <w:rPr>
                <w:rFonts w:ascii="Arial" w:eastAsia="Times New Roman" w:hAnsi="Arial" w:cs="Arial"/>
                <w:b/>
                <w:bCs/>
                <w:color w:val="000000"/>
                <w:sz w:val="18"/>
                <w:szCs w:val="18"/>
              </w:rPr>
              <w:t>State</w:t>
            </w:r>
          </w:p>
        </w:tc>
        <w:tc>
          <w:tcPr>
            <w:tcW w:w="2723" w:type="dxa"/>
            <w:shd w:val="clear" w:color="auto" w:fill="FBCE76" w:themeFill="background2" w:themeFillTint="99"/>
            <w:noWrap/>
            <w:tcMar>
              <w:right w:w="115" w:type="dxa"/>
            </w:tcMar>
            <w:vAlign w:val="center"/>
            <w:hideMark/>
          </w:tcPr>
          <w:p w:rsidR="00F158B9" w:rsidRPr="006F365A" w:rsidRDefault="002537FD" w:rsidP="001C4F85">
            <w:pPr>
              <w:spacing w:after="0"/>
              <w:jc w:val="center"/>
              <w:rPr>
                <w:rFonts w:ascii="Arial" w:eastAsia="Times New Roman" w:hAnsi="Arial" w:cs="Arial"/>
                <w:b/>
                <w:bCs/>
                <w:color w:val="000000"/>
                <w:sz w:val="18"/>
                <w:szCs w:val="18"/>
              </w:rPr>
            </w:pPr>
            <w:r w:rsidRPr="006F365A">
              <w:rPr>
                <w:rFonts w:ascii="Arial" w:eastAsia="Times New Roman" w:hAnsi="Arial" w:cs="Arial"/>
                <w:b/>
                <w:bCs/>
                <w:color w:val="000000"/>
                <w:sz w:val="18"/>
                <w:szCs w:val="18"/>
              </w:rPr>
              <w:t xml:space="preserve">Sum of </w:t>
            </w:r>
            <w:r w:rsidR="00CE674F" w:rsidRPr="006F365A">
              <w:rPr>
                <w:rFonts w:ascii="Arial" w:eastAsia="Times New Roman" w:hAnsi="Arial" w:cs="Arial"/>
                <w:b/>
                <w:bCs/>
                <w:color w:val="000000"/>
                <w:sz w:val="18"/>
                <w:szCs w:val="18"/>
              </w:rPr>
              <w:t>N</w:t>
            </w:r>
            <w:r w:rsidR="001C4F85">
              <w:rPr>
                <w:rFonts w:ascii="Arial" w:eastAsia="Times New Roman" w:hAnsi="Arial" w:cs="Arial"/>
                <w:b/>
                <w:bCs/>
                <w:color w:val="000000"/>
                <w:sz w:val="18"/>
                <w:szCs w:val="18"/>
              </w:rPr>
              <w:t xml:space="preserve">ew </w:t>
            </w:r>
            <w:r w:rsidR="000B5EDB" w:rsidRPr="006F365A">
              <w:rPr>
                <w:rFonts w:ascii="Arial" w:eastAsia="Times New Roman" w:hAnsi="Arial" w:cs="Arial"/>
                <w:b/>
                <w:bCs/>
                <w:color w:val="000000"/>
                <w:sz w:val="18"/>
                <w:szCs w:val="18"/>
              </w:rPr>
              <w:t>FCA</w:t>
            </w:r>
            <w:r w:rsidRPr="006F365A">
              <w:rPr>
                <w:rFonts w:ascii="Arial" w:eastAsia="Times New Roman" w:hAnsi="Arial" w:cs="Arial"/>
                <w:b/>
                <w:bCs/>
                <w:color w:val="000000"/>
                <w:sz w:val="18"/>
                <w:szCs w:val="18"/>
              </w:rPr>
              <w:t>-</w:t>
            </w:r>
            <w:r w:rsidR="000B5EDB" w:rsidRPr="006F365A">
              <w:rPr>
                <w:rFonts w:ascii="Arial" w:eastAsia="Times New Roman" w:hAnsi="Arial" w:cs="Arial"/>
                <w:b/>
                <w:bCs/>
                <w:color w:val="000000"/>
                <w:sz w:val="18"/>
                <w:szCs w:val="18"/>
              </w:rPr>
              <w:t>Qualified</w:t>
            </w:r>
            <w:r w:rsidR="0059660C">
              <w:rPr>
                <w:rFonts w:ascii="Arial" w:eastAsia="Times New Roman" w:hAnsi="Arial" w:cs="Arial"/>
                <w:b/>
                <w:bCs/>
                <w:color w:val="000000"/>
                <w:sz w:val="18"/>
                <w:szCs w:val="18"/>
              </w:rPr>
              <w:br/>
            </w:r>
            <w:r w:rsidRPr="006F365A">
              <w:rPr>
                <w:rFonts w:ascii="Arial" w:eastAsia="Times New Roman" w:hAnsi="Arial" w:cs="Arial"/>
                <w:b/>
                <w:bCs/>
                <w:color w:val="000000"/>
                <w:sz w:val="18"/>
                <w:szCs w:val="18"/>
              </w:rPr>
              <w:t xml:space="preserve">Generation </w:t>
            </w:r>
            <w:r w:rsidR="000B5EDB" w:rsidRPr="006F365A">
              <w:rPr>
                <w:rFonts w:ascii="Arial" w:eastAsia="Times New Roman" w:hAnsi="Arial" w:cs="Arial"/>
                <w:b/>
                <w:bCs/>
                <w:color w:val="000000"/>
                <w:sz w:val="18"/>
                <w:szCs w:val="18"/>
              </w:rPr>
              <w:t>Capacity</w:t>
            </w:r>
          </w:p>
        </w:tc>
        <w:tc>
          <w:tcPr>
            <w:tcW w:w="2658" w:type="dxa"/>
            <w:shd w:val="clear" w:color="auto" w:fill="FBCE76" w:themeFill="background2" w:themeFillTint="99"/>
            <w:tcMar>
              <w:right w:w="115" w:type="dxa"/>
            </w:tcMar>
            <w:vAlign w:val="center"/>
          </w:tcPr>
          <w:p w:rsidR="00F158B9" w:rsidRPr="006F365A" w:rsidRDefault="002537FD" w:rsidP="001F28AA">
            <w:pPr>
              <w:spacing w:after="0"/>
              <w:jc w:val="center"/>
              <w:rPr>
                <w:rFonts w:ascii="Arial" w:eastAsia="Times New Roman" w:hAnsi="Arial" w:cs="Arial"/>
                <w:b/>
                <w:bCs/>
                <w:color w:val="000000"/>
                <w:sz w:val="18"/>
                <w:szCs w:val="18"/>
              </w:rPr>
            </w:pPr>
            <w:r w:rsidRPr="006F365A">
              <w:rPr>
                <w:rFonts w:ascii="Arial" w:eastAsia="Times New Roman" w:hAnsi="Arial" w:cs="Arial"/>
                <w:b/>
                <w:bCs/>
                <w:color w:val="000000"/>
                <w:sz w:val="18"/>
                <w:szCs w:val="18"/>
              </w:rPr>
              <w:t xml:space="preserve">Sum of </w:t>
            </w:r>
            <w:r w:rsidR="00CE674F" w:rsidRPr="006F365A">
              <w:rPr>
                <w:rFonts w:ascii="Arial" w:eastAsia="Times New Roman" w:hAnsi="Arial" w:cs="Arial"/>
                <w:b/>
                <w:bCs/>
                <w:color w:val="000000"/>
                <w:sz w:val="18"/>
                <w:szCs w:val="18"/>
              </w:rPr>
              <w:t xml:space="preserve">New </w:t>
            </w:r>
            <w:r w:rsidRPr="006F365A">
              <w:rPr>
                <w:rFonts w:ascii="Arial" w:eastAsia="Times New Roman" w:hAnsi="Arial" w:cs="Arial"/>
                <w:b/>
                <w:bCs/>
                <w:color w:val="000000"/>
                <w:sz w:val="18"/>
                <w:szCs w:val="18"/>
              </w:rPr>
              <w:t>FCA-Qualified</w:t>
            </w:r>
            <w:r w:rsidR="0059660C">
              <w:rPr>
                <w:rFonts w:ascii="Arial" w:eastAsia="Times New Roman" w:hAnsi="Arial" w:cs="Arial"/>
                <w:b/>
                <w:bCs/>
                <w:color w:val="000000"/>
                <w:sz w:val="18"/>
                <w:szCs w:val="18"/>
              </w:rPr>
              <w:br/>
            </w:r>
            <w:r w:rsidR="00CE674F" w:rsidRPr="006F365A">
              <w:rPr>
                <w:rFonts w:ascii="Arial" w:eastAsia="Times New Roman" w:hAnsi="Arial" w:cs="Arial"/>
                <w:b/>
                <w:bCs/>
                <w:color w:val="000000"/>
                <w:sz w:val="18"/>
                <w:szCs w:val="18"/>
              </w:rPr>
              <w:t>D</w:t>
            </w:r>
            <w:r w:rsidRPr="006F365A">
              <w:rPr>
                <w:rFonts w:ascii="Arial" w:eastAsia="Times New Roman" w:hAnsi="Arial" w:cs="Arial"/>
                <w:b/>
                <w:bCs/>
                <w:color w:val="000000"/>
                <w:sz w:val="18"/>
                <w:szCs w:val="18"/>
              </w:rPr>
              <w:t>emand-</w:t>
            </w:r>
            <w:r w:rsidR="000B5EDB" w:rsidRPr="006F365A">
              <w:rPr>
                <w:rFonts w:ascii="Arial" w:eastAsia="Times New Roman" w:hAnsi="Arial" w:cs="Arial"/>
                <w:b/>
                <w:bCs/>
                <w:color w:val="000000"/>
                <w:sz w:val="18"/>
                <w:szCs w:val="18"/>
              </w:rPr>
              <w:t>R</w:t>
            </w:r>
            <w:r w:rsidRPr="006F365A">
              <w:rPr>
                <w:rFonts w:ascii="Arial" w:eastAsia="Times New Roman" w:hAnsi="Arial" w:cs="Arial"/>
                <w:b/>
                <w:bCs/>
                <w:color w:val="000000"/>
                <w:sz w:val="18"/>
                <w:szCs w:val="18"/>
              </w:rPr>
              <w:t>esource Capacity</w:t>
            </w:r>
          </w:p>
        </w:tc>
      </w:tr>
      <w:tr w:rsidR="001F28AA" w:rsidRPr="006F365A" w:rsidTr="001C4F85">
        <w:trPr>
          <w:trHeight w:val="300"/>
          <w:jc w:val="center"/>
        </w:trPr>
        <w:tc>
          <w:tcPr>
            <w:tcW w:w="836" w:type="dxa"/>
            <w:shd w:val="clear" w:color="auto" w:fill="auto"/>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CT</w:t>
            </w:r>
          </w:p>
        </w:tc>
        <w:tc>
          <w:tcPr>
            <w:tcW w:w="2723" w:type="dxa"/>
            <w:shd w:val="clear" w:color="auto" w:fill="auto"/>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599.804</w:t>
            </w:r>
          </w:p>
        </w:tc>
        <w:tc>
          <w:tcPr>
            <w:tcW w:w="2658" w:type="dxa"/>
            <w:shd w:val="clear" w:color="auto" w:fill="auto"/>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265.734</w:t>
            </w:r>
          </w:p>
        </w:tc>
      </w:tr>
      <w:tr w:rsidR="001F28AA" w:rsidRPr="006F365A" w:rsidTr="001C4F85">
        <w:trPr>
          <w:trHeight w:val="300"/>
          <w:jc w:val="center"/>
        </w:trPr>
        <w:tc>
          <w:tcPr>
            <w:tcW w:w="836" w:type="dxa"/>
            <w:shd w:val="clear" w:color="auto" w:fill="FDEED1" w:themeFill="background2" w:themeFillTint="33"/>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MA</w:t>
            </w:r>
          </w:p>
        </w:tc>
        <w:tc>
          <w:tcPr>
            <w:tcW w:w="2723" w:type="dxa"/>
            <w:shd w:val="clear" w:color="auto" w:fill="FDEED1" w:themeFill="background2" w:themeFillTint="33"/>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157.491</w:t>
            </w:r>
          </w:p>
        </w:tc>
        <w:tc>
          <w:tcPr>
            <w:tcW w:w="2658" w:type="dxa"/>
            <w:shd w:val="clear" w:color="auto" w:fill="FDEED1" w:themeFill="background2" w:themeFillTint="33"/>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283.385</w:t>
            </w:r>
          </w:p>
        </w:tc>
      </w:tr>
      <w:tr w:rsidR="001F28AA" w:rsidRPr="006F365A" w:rsidTr="001C4F85">
        <w:trPr>
          <w:trHeight w:val="300"/>
          <w:jc w:val="center"/>
        </w:trPr>
        <w:tc>
          <w:tcPr>
            <w:tcW w:w="836" w:type="dxa"/>
            <w:shd w:val="clear" w:color="auto" w:fill="auto"/>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ME</w:t>
            </w:r>
          </w:p>
        </w:tc>
        <w:tc>
          <w:tcPr>
            <w:tcW w:w="2723" w:type="dxa"/>
            <w:shd w:val="clear" w:color="auto" w:fill="auto"/>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24.867</w:t>
            </w:r>
          </w:p>
        </w:tc>
        <w:tc>
          <w:tcPr>
            <w:tcW w:w="2658" w:type="dxa"/>
            <w:shd w:val="clear" w:color="auto" w:fill="auto"/>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281.374</w:t>
            </w:r>
          </w:p>
        </w:tc>
      </w:tr>
      <w:tr w:rsidR="001F28AA" w:rsidRPr="006F365A" w:rsidTr="001C4F85">
        <w:trPr>
          <w:trHeight w:val="300"/>
          <w:jc w:val="center"/>
        </w:trPr>
        <w:tc>
          <w:tcPr>
            <w:tcW w:w="836" w:type="dxa"/>
            <w:shd w:val="clear" w:color="auto" w:fill="FDEED1" w:themeFill="background2" w:themeFillTint="33"/>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NH</w:t>
            </w:r>
          </w:p>
        </w:tc>
        <w:tc>
          <w:tcPr>
            <w:tcW w:w="2723" w:type="dxa"/>
            <w:shd w:val="clear" w:color="auto" w:fill="FDEED1" w:themeFill="background2" w:themeFillTint="33"/>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65.070</w:t>
            </w:r>
          </w:p>
        </w:tc>
        <w:tc>
          <w:tcPr>
            <w:tcW w:w="2658" w:type="dxa"/>
            <w:shd w:val="clear" w:color="auto" w:fill="FDEED1" w:themeFill="background2" w:themeFillTint="33"/>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42.638</w:t>
            </w:r>
          </w:p>
        </w:tc>
      </w:tr>
      <w:tr w:rsidR="001F28AA" w:rsidRPr="006F365A" w:rsidTr="001C4F85">
        <w:trPr>
          <w:trHeight w:val="300"/>
          <w:jc w:val="center"/>
        </w:trPr>
        <w:tc>
          <w:tcPr>
            <w:tcW w:w="836" w:type="dxa"/>
            <w:shd w:val="clear" w:color="auto" w:fill="auto"/>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RI</w:t>
            </w:r>
          </w:p>
        </w:tc>
        <w:tc>
          <w:tcPr>
            <w:tcW w:w="2723" w:type="dxa"/>
            <w:shd w:val="clear" w:color="auto" w:fill="auto"/>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0.000</w:t>
            </w:r>
          </w:p>
        </w:tc>
        <w:tc>
          <w:tcPr>
            <w:tcW w:w="2658" w:type="dxa"/>
            <w:shd w:val="clear" w:color="auto" w:fill="auto"/>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62.117</w:t>
            </w:r>
          </w:p>
        </w:tc>
      </w:tr>
      <w:tr w:rsidR="001F28AA" w:rsidRPr="006F365A" w:rsidTr="001C4F85">
        <w:trPr>
          <w:trHeight w:val="300"/>
          <w:jc w:val="center"/>
        </w:trPr>
        <w:tc>
          <w:tcPr>
            <w:tcW w:w="836" w:type="dxa"/>
            <w:shd w:val="clear" w:color="auto" w:fill="FDEED1" w:themeFill="background2" w:themeFillTint="33"/>
            <w:noWrap/>
            <w:vAlign w:val="bottom"/>
            <w:hideMark/>
          </w:tcPr>
          <w:p w:rsidR="003F3D84" w:rsidRPr="006F365A" w:rsidRDefault="00D4331C" w:rsidP="001F28AA">
            <w:pPr>
              <w:spacing w:after="0"/>
              <w:rPr>
                <w:rFonts w:ascii="Arial" w:eastAsia="Times New Roman" w:hAnsi="Arial" w:cs="Arial"/>
                <w:b/>
                <w:color w:val="000000"/>
                <w:sz w:val="18"/>
                <w:szCs w:val="18"/>
              </w:rPr>
            </w:pPr>
            <w:r w:rsidRPr="006F365A">
              <w:rPr>
                <w:rFonts w:ascii="Arial" w:eastAsia="Times New Roman" w:hAnsi="Arial" w:cs="Arial"/>
                <w:b/>
                <w:color w:val="000000"/>
                <w:sz w:val="18"/>
                <w:szCs w:val="18"/>
              </w:rPr>
              <w:t>VT</w:t>
            </w:r>
          </w:p>
        </w:tc>
        <w:tc>
          <w:tcPr>
            <w:tcW w:w="2723" w:type="dxa"/>
            <w:shd w:val="clear" w:color="auto" w:fill="FDEED1" w:themeFill="background2" w:themeFillTint="33"/>
            <w:noWrap/>
            <w:tcMar>
              <w:left w:w="115" w:type="dxa"/>
              <w:right w:w="1008" w:type="dxa"/>
            </w:tcMar>
            <w:vAlign w:val="center"/>
            <w:hideMark/>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38.800</w:t>
            </w:r>
          </w:p>
        </w:tc>
        <w:tc>
          <w:tcPr>
            <w:tcW w:w="2658" w:type="dxa"/>
            <w:shd w:val="clear" w:color="auto" w:fill="FDEED1" w:themeFill="background2" w:themeFillTint="33"/>
            <w:tcMar>
              <w:left w:w="115" w:type="dxa"/>
              <w:right w:w="1008" w:type="dxa"/>
            </w:tcMar>
            <w:vAlign w:val="center"/>
          </w:tcPr>
          <w:p w:rsidR="003F3D84" w:rsidRPr="006F365A" w:rsidRDefault="00D4331C" w:rsidP="001F28AA">
            <w:pPr>
              <w:spacing w:after="0"/>
              <w:jc w:val="right"/>
              <w:rPr>
                <w:rFonts w:ascii="Arial" w:eastAsia="Times New Roman" w:hAnsi="Arial" w:cs="Arial"/>
                <w:color w:val="000000"/>
                <w:sz w:val="18"/>
                <w:szCs w:val="18"/>
              </w:rPr>
            </w:pPr>
            <w:r w:rsidRPr="006F365A">
              <w:rPr>
                <w:rFonts w:ascii="Arial" w:eastAsia="Times New Roman" w:hAnsi="Arial" w:cs="Arial"/>
                <w:color w:val="000000"/>
                <w:sz w:val="18"/>
                <w:szCs w:val="18"/>
              </w:rPr>
              <w:t>75.450</w:t>
            </w:r>
          </w:p>
        </w:tc>
      </w:tr>
    </w:tbl>
    <w:p w:rsidR="000B5EDB" w:rsidRDefault="000B5EDB" w:rsidP="002537FD">
      <w:pPr>
        <w:pStyle w:val="Caption"/>
        <w:jc w:val="left"/>
      </w:pPr>
    </w:p>
    <w:p w:rsidR="001B3090" w:rsidRDefault="004E3B8A">
      <w:pPr>
        <w:pStyle w:val="Heading2"/>
      </w:pPr>
      <w:bookmarkStart w:id="283" w:name="_Toc239157068"/>
      <w:bookmarkStart w:id="284" w:name="_Toc271632223"/>
      <w:r w:rsidRPr="007D2FBA">
        <w:t>Operable Capacity Analysis</w:t>
      </w:r>
      <w:bookmarkEnd w:id="283"/>
      <w:bookmarkEnd w:id="284"/>
    </w:p>
    <w:p w:rsidR="004E3B8A" w:rsidRDefault="004E3B8A" w:rsidP="004E3B8A">
      <w:pPr>
        <w:keepNext/>
        <w:keepLines/>
      </w:pPr>
      <w:r w:rsidRPr="007D2FBA">
        <w:t xml:space="preserve">Using a deterministic approach, the ISO analyzes the </w:t>
      </w:r>
      <w:r>
        <w:t>systemwide</w:t>
      </w:r>
      <w:r w:rsidRPr="007D2FBA">
        <w:t xml:space="preserve"> operable capacity to estimate the net capacity that will be available under specific scenarios. The analysis identifies </w:t>
      </w:r>
      <w:r w:rsidRPr="007D2FBA">
        <w:rPr>
          <w:i/>
        </w:rPr>
        <w:t>operable capacity margins</w:t>
      </w:r>
      <w:r w:rsidRPr="007D2FBA">
        <w:t xml:space="preserve"> (i.e., the amount of resources that must be operational to meet peak demand plus operating-reserve requirements) </w:t>
      </w:r>
      <w:r w:rsidRPr="000E5185">
        <w:t>under assumed peak-load conditions. The results of these examinations show either a positive or negative operating margin in meeting system operating requirements.</w:t>
      </w:r>
      <w:r w:rsidRPr="007D2FBA">
        <w:t xml:space="preserve"> A negative margin for a specific scenario indicates the extent of possible </w:t>
      </w:r>
      <w:r w:rsidRPr="00C51EB7">
        <w:t xml:space="preserve">mitigation actions </w:t>
      </w:r>
      <w:r>
        <w:t xml:space="preserve">that would be required </w:t>
      </w:r>
      <w:r w:rsidRPr="00C51EB7">
        <w:t>through</w:t>
      </w:r>
      <w:r w:rsidRPr="007D2FBA">
        <w:t xml:space="preserve"> predefined protocols</w:t>
      </w:r>
      <w:r>
        <w:t>,</w:t>
      </w:r>
      <w:r w:rsidRPr="007D2FBA">
        <w:t xml:space="preserve"> as </w:t>
      </w:r>
      <w:r>
        <w:t xml:space="preserve">prescribed </w:t>
      </w:r>
      <w:r w:rsidRPr="00FE6FBD">
        <w:t xml:space="preserve">in ISO Operating </w:t>
      </w:r>
      <w:r w:rsidRPr="004068A2">
        <w:t xml:space="preserve">Procedure No. 4 (OP 4), </w:t>
      </w:r>
      <w:r w:rsidRPr="004068A2">
        <w:rPr>
          <w:i/>
        </w:rPr>
        <w:t>A</w:t>
      </w:r>
      <w:r w:rsidRPr="00FE6FBD">
        <w:rPr>
          <w:i/>
        </w:rPr>
        <w:t>ction during a Capacity Deficiency</w:t>
      </w:r>
      <w:r w:rsidRPr="00FE6FBD">
        <w:t>,</w:t>
      </w:r>
      <w:r w:rsidRPr="00FE6FBD">
        <w:rPr>
          <w:i/>
        </w:rPr>
        <w:t xml:space="preserve"> </w:t>
      </w:r>
      <w:r w:rsidRPr="00FE6FBD">
        <w:t>or Operating Procedure No</w:t>
      </w:r>
      <w:r w:rsidRPr="004068A2">
        <w:t xml:space="preserve">. 7 (OP 7), </w:t>
      </w:r>
      <w:r w:rsidRPr="004068A2">
        <w:rPr>
          <w:i/>
        </w:rPr>
        <w:t>Action</w:t>
      </w:r>
      <w:r w:rsidRPr="00FE6FBD">
        <w:rPr>
          <w:i/>
        </w:rPr>
        <w:t xml:space="preserve"> in an Emergency</w:t>
      </w:r>
      <w:r w:rsidRPr="00FE6FBD">
        <w:t>.</w:t>
      </w:r>
      <w:r w:rsidRPr="007C099B">
        <w:rPr>
          <w:rStyle w:val="FootnoteReference"/>
          <w:sz w:val="22"/>
        </w:rPr>
        <w:footnoteReference w:id="101"/>
      </w:r>
    </w:p>
    <w:p w:rsidR="004E3B8A" w:rsidRPr="006F2BDD" w:rsidRDefault="004E3B8A" w:rsidP="004E3B8A">
      <w:r w:rsidRPr="007D2FBA">
        <w:t>For RSP</w:t>
      </w:r>
      <w:r>
        <w:t>1</w:t>
      </w:r>
      <w:r w:rsidRPr="007D2FBA">
        <w:t xml:space="preserve">0, the ISO conducted a </w:t>
      </w:r>
      <w:r>
        <w:t>systemwide</w:t>
      </w:r>
      <w:r w:rsidRPr="007D2FBA">
        <w:t xml:space="preserve"> operable ca</w:t>
      </w:r>
      <w:r>
        <w:t>pacity analysis for 2010 to 2019, which does not account for RSP subareas</w:t>
      </w:r>
      <w:r w:rsidRPr="007D2FBA">
        <w:t>. This section discusses the methodology used to conduct this analysis and summarizes its results.</w:t>
      </w:r>
    </w:p>
    <w:p w:rsidR="00B462A6" w:rsidRDefault="004E3B8A">
      <w:pPr>
        <w:pStyle w:val="Heading3"/>
      </w:pPr>
      <w:bookmarkStart w:id="285" w:name="_Toc271632224"/>
      <w:r w:rsidRPr="007D2FBA">
        <w:t>Approach</w:t>
      </w:r>
      <w:bookmarkEnd w:id="285"/>
    </w:p>
    <w:p w:rsidR="004E3B8A" w:rsidRDefault="004E3B8A" w:rsidP="004E3B8A">
      <w:r w:rsidRPr="007D2FBA">
        <w:t xml:space="preserve">The operable capacity analysis </w:t>
      </w:r>
      <w:r>
        <w:t xml:space="preserve">is performed with both the </w:t>
      </w:r>
      <w:r w:rsidRPr="007D2FBA">
        <w:t>50/50 and 90/</w:t>
      </w:r>
      <w:r>
        <w:t>10 peak-load forecasts. T</w:t>
      </w:r>
      <w:r w:rsidRPr="007D2FBA">
        <w:t xml:space="preserve">he </w:t>
      </w:r>
      <w:r>
        <w:t>systemwide</w:t>
      </w:r>
      <w:r w:rsidRPr="007D2FBA">
        <w:t xml:space="preserve"> capacity </w:t>
      </w:r>
      <w:r>
        <w:t xml:space="preserve">assumed </w:t>
      </w:r>
      <w:r w:rsidRPr="007D2FBA">
        <w:t xml:space="preserve">is the </w:t>
      </w:r>
      <w:r>
        <w:t xml:space="preserve">actual or the representative net ICR values for the region (described </w:t>
      </w:r>
      <w:r w:rsidRPr="00FE6FBD">
        <w:t xml:space="preserve">in </w:t>
      </w:r>
      <w:r w:rsidR="00832C7A">
        <w:fldChar w:fldCharType="begin"/>
      </w:r>
      <w:r w:rsidR="001722CF">
        <w:instrText xml:space="preserve"> REF _Ref262584696 \h </w:instrText>
      </w:r>
      <w:r w:rsidR="00832C7A">
        <w:fldChar w:fldCharType="separate"/>
      </w:r>
      <w:r w:rsidR="00E5699E" w:rsidRPr="00EF18B4">
        <w:t>Table </w:t>
      </w:r>
      <w:r w:rsidR="00E5699E">
        <w:rPr>
          <w:noProof/>
        </w:rPr>
        <w:t>4</w:t>
      </w:r>
      <w:r w:rsidR="00E5699E">
        <w:noBreakHyphen/>
      </w:r>
      <w:r w:rsidR="00E5699E">
        <w:rPr>
          <w:noProof/>
        </w:rPr>
        <w:t>1</w:t>
      </w:r>
      <w:r w:rsidR="00832C7A">
        <w:fldChar w:fldCharType="end"/>
      </w:r>
      <w:r w:rsidRPr="00FE6FBD">
        <w:t>).</w:t>
      </w:r>
    </w:p>
    <w:p w:rsidR="004E3B8A" w:rsidRPr="006F2BDD" w:rsidRDefault="004E3B8A" w:rsidP="004E3B8A">
      <w:r>
        <w:t>A total of 2,0</w:t>
      </w:r>
      <w:r w:rsidRPr="007D2FBA">
        <w:t>00 MW of operating reserves were a</w:t>
      </w:r>
      <w:r>
        <w:t xml:space="preserve">ssumed </w:t>
      </w:r>
      <w:r w:rsidRPr="007D2FBA">
        <w:t xml:space="preserve">to reflect </w:t>
      </w:r>
      <w:r>
        <w:t xml:space="preserve">the largest loss-of-source </w:t>
      </w:r>
      <w:r w:rsidR="00A325B7">
        <w:t xml:space="preserve">(LOS) </w:t>
      </w:r>
      <w:r>
        <w:t xml:space="preserve">contingency at </w:t>
      </w:r>
      <w:r w:rsidRPr="007D2FBA">
        <w:t>1,400</w:t>
      </w:r>
      <w:r>
        <w:t> </w:t>
      </w:r>
      <w:r w:rsidRPr="007D2FBA">
        <w:t>MW</w:t>
      </w:r>
      <w:r>
        <w:t xml:space="preserve"> plus one-half of a large (1,200 MW) generating unit operating equivalent to 600 MW. </w:t>
      </w:r>
      <w:r w:rsidRPr="007D2FBA">
        <w:t>A total of 2,100 MW of resource outages</w:t>
      </w:r>
      <w:r>
        <w:t xml:space="preserve"> </w:t>
      </w:r>
      <w:r w:rsidRPr="007D2FBA">
        <w:t xml:space="preserve">were assumed on the basis of historical </w:t>
      </w:r>
      <w:r>
        <w:t xml:space="preserve">performance </w:t>
      </w:r>
      <w:r w:rsidRPr="007D2FBA">
        <w:t>observations</w:t>
      </w:r>
      <w:r>
        <w:t xml:space="preserve"> of supply resources</w:t>
      </w:r>
      <w:r w:rsidRPr="007D2FBA">
        <w:t xml:space="preserve">. </w:t>
      </w:r>
      <w:r>
        <w:t>T</w:t>
      </w:r>
      <w:r w:rsidRPr="007D2FBA">
        <w:t xml:space="preserve">he results </w:t>
      </w:r>
      <w:r>
        <w:t xml:space="preserve">are a direct comparison of the operable capacity system requirements with the total capacity assumed available (in this case, the net ICR values). </w:t>
      </w:r>
    </w:p>
    <w:p w:rsidR="00B462A6" w:rsidRDefault="004E3B8A">
      <w:pPr>
        <w:pStyle w:val="Heading3"/>
      </w:pPr>
      <w:bookmarkStart w:id="286" w:name="_Toc271632225"/>
      <w:r>
        <w:t>Results</w:t>
      </w:r>
      <w:bookmarkEnd w:id="286"/>
    </w:p>
    <w:p w:rsidR="009E7CC9" w:rsidRDefault="00832C7A" w:rsidP="004E3B8A">
      <w:pPr>
        <w:spacing w:after="200"/>
      </w:pPr>
      <w:r>
        <w:fldChar w:fldCharType="begin"/>
      </w:r>
      <w:r w:rsidR="008C6AD9">
        <w:instrText xml:space="preserve"> REF _Ref262657868 \h </w:instrText>
      </w:r>
      <w:r>
        <w:fldChar w:fldCharType="separate"/>
      </w:r>
      <w:r w:rsidR="00E5699E" w:rsidRPr="00135E72">
        <w:t xml:space="preserve">Figure </w:t>
      </w:r>
      <w:r w:rsidR="00E5699E">
        <w:rPr>
          <w:noProof/>
        </w:rPr>
        <w:t>4</w:t>
      </w:r>
      <w:r w:rsidR="00E5699E">
        <w:noBreakHyphen/>
      </w:r>
      <w:r w:rsidR="00E5699E">
        <w:rPr>
          <w:noProof/>
        </w:rPr>
        <w:t>2</w:t>
      </w:r>
      <w:r>
        <w:fldChar w:fldCharType="end"/>
      </w:r>
      <w:r w:rsidR="004E3B8A">
        <w:t>,</w:t>
      </w:r>
      <w:r w:rsidR="004E3B8A" w:rsidRPr="00525A8A">
        <w:t xml:space="preserve"> </w:t>
      </w:r>
      <w:fldSimple w:instr=" REF _Ref262590736 \h  \* MERGEFORMAT ">
        <w:r w:rsidR="00E5699E">
          <w:t>Table 4</w:t>
        </w:r>
        <w:r w:rsidR="00E5699E">
          <w:noBreakHyphen/>
          <w:t>11</w:t>
        </w:r>
      </w:fldSimple>
      <w:r w:rsidR="004E3B8A">
        <w:t>,</w:t>
      </w:r>
      <w:r w:rsidR="004E3B8A" w:rsidRPr="00525A8A">
        <w:t xml:space="preserve"> and </w:t>
      </w:r>
      <w:fldSimple w:instr=" REF _Ref262590791 \h  \* MERGEFORMAT ">
        <w:r w:rsidR="00E5699E">
          <w:t>Table 4</w:t>
        </w:r>
        <w:r w:rsidR="00E5699E">
          <w:noBreakHyphen/>
          <w:t>12</w:t>
        </w:r>
      </w:fldSimple>
      <w:r w:rsidR="004E3B8A" w:rsidRPr="00525A8A">
        <w:t xml:space="preserve"> </w:t>
      </w:r>
      <w:r w:rsidR="004E3B8A" w:rsidRPr="00547255">
        <w:t>sho</w:t>
      </w:r>
      <w:r w:rsidR="004E3B8A" w:rsidRPr="00DB2EA6">
        <w:t>w</w:t>
      </w:r>
      <w:r w:rsidR="004E3B8A" w:rsidRPr="005715CA">
        <w:t xml:space="preserve"> the results of the systemwide operable capacity analysis. The results</w:t>
      </w:r>
      <w:r w:rsidR="004E3B8A">
        <w:t xml:space="preserve"> </w:t>
      </w:r>
      <w:r w:rsidR="004E3B8A" w:rsidRPr="005715CA">
        <w:t>show that if the loads associated with the 50/50 forecast were to occur, New England could experience a negative operable cap</w:t>
      </w:r>
      <w:r w:rsidR="004E3B8A">
        <w:t>acity margin of approximately 18</w:t>
      </w:r>
      <w:r w:rsidR="004E3B8A" w:rsidRPr="005715CA">
        <w:t xml:space="preserve">0 MW as early as summer 2010 and would need to rely on OP 4 actions for demand and supply relief. This negative operable capacity margin would </w:t>
      </w:r>
      <w:r w:rsidR="004E3B8A">
        <w:t xml:space="preserve">increase to approximately 550 MW by summer 2013 and then decrease to approximately 10 MW by summer 2019, </w:t>
      </w:r>
      <w:r w:rsidR="004E3B8A" w:rsidRPr="003D154C">
        <w:t xml:space="preserve">assuming </w:t>
      </w:r>
      <w:r w:rsidR="004E3B8A" w:rsidRPr="00647EF6">
        <w:t>the system has no surplus capacity resources above the net ICR</w:t>
      </w:r>
      <w:r w:rsidR="004E3B8A">
        <w:t>.</w:t>
      </w:r>
    </w:p>
    <w:p w:rsidR="00BF5ABD" w:rsidRDefault="00BF5ABD" w:rsidP="00BF5ABD">
      <w:pPr>
        <w:spacing w:after="0" w:line="240" w:lineRule="auto"/>
        <w:jc w:val="center"/>
      </w:pPr>
      <w:r w:rsidRPr="00BF5ABD">
        <w:rPr>
          <w:noProof/>
        </w:rPr>
        <w:drawing>
          <wp:inline distT="0" distB="0" distL="0" distR="0">
            <wp:extent cx="5384186" cy="3192545"/>
            <wp:effectExtent l="19050" t="19050" r="26014" b="26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392859" cy="3197688"/>
                    </a:xfrm>
                    <a:prstGeom prst="rect">
                      <a:avLst/>
                    </a:prstGeom>
                    <a:noFill/>
                    <a:ln w="3175">
                      <a:solidFill>
                        <a:schemeClr val="tx1"/>
                      </a:solidFill>
                      <a:miter lim="800000"/>
                      <a:headEnd/>
                      <a:tailEnd/>
                    </a:ln>
                  </pic:spPr>
                </pic:pic>
              </a:graphicData>
            </a:graphic>
          </wp:inline>
        </w:drawing>
      </w:r>
    </w:p>
    <w:p w:rsidR="00C73E33" w:rsidRPr="00135E72" w:rsidRDefault="004E3B8A" w:rsidP="00EB2FE0">
      <w:pPr>
        <w:pStyle w:val="Caption"/>
        <w:spacing w:before="120" w:after="0"/>
        <w:ind w:left="450" w:right="450"/>
        <w:jc w:val="left"/>
      </w:pPr>
      <w:bookmarkStart w:id="287" w:name="_Ref262657868"/>
      <w:bookmarkStart w:id="288" w:name="_Toc271552373"/>
      <w:r w:rsidRPr="00135E72">
        <w:t xml:space="preserve">Figure </w:t>
      </w:r>
      <w:r w:rsidR="00832C7A">
        <w:fldChar w:fldCharType="begin"/>
      </w:r>
      <w:r w:rsidR="00807C8D">
        <w:instrText xml:space="preserve"> STYLEREF 1 \s </w:instrText>
      </w:r>
      <w:r w:rsidR="00832C7A">
        <w:fldChar w:fldCharType="separate"/>
      </w:r>
      <w:r w:rsidR="00E5699E">
        <w:rPr>
          <w:noProof/>
        </w:rPr>
        <w:t>4</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287"/>
      <w:r w:rsidRPr="00135E72">
        <w:t>: Projected summer operable capacity analysis, 2010 to 2019.</w:t>
      </w:r>
      <w:bookmarkEnd w:id="288"/>
    </w:p>
    <w:p w:rsidR="0027358F" w:rsidRDefault="00EF25EB" w:rsidP="00EB2FE0">
      <w:pPr>
        <w:spacing w:after="0"/>
        <w:ind w:left="450" w:right="450"/>
        <w:rPr>
          <w:rFonts w:ascii="Arial" w:hAnsi="Arial" w:cs="Arial"/>
          <w:sz w:val="16"/>
          <w:szCs w:val="16"/>
        </w:rPr>
      </w:pPr>
      <w:r w:rsidRPr="00135E72">
        <w:rPr>
          <w:rFonts w:ascii="Arial" w:hAnsi="Arial" w:cs="Arial"/>
          <w:b/>
          <w:sz w:val="16"/>
          <w:szCs w:val="16"/>
        </w:rPr>
        <w:t>Note:</w:t>
      </w:r>
      <w:r w:rsidRPr="00135E72">
        <w:rPr>
          <w:rFonts w:ascii="Arial" w:hAnsi="Arial" w:cs="Arial"/>
          <w:sz w:val="16"/>
          <w:szCs w:val="16"/>
        </w:rPr>
        <w:t xml:space="preserve"> Each year indicates the starting year for the respective capacity commitment period.</w:t>
      </w:r>
    </w:p>
    <w:p w:rsidR="009E2DA8" w:rsidRDefault="009E2DA8" w:rsidP="00EB2FE0">
      <w:pPr>
        <w:spacing w:after="0"/>
        <w:ind w:left="450" w:right="450"/>
        <w:rPr>
          <w:rFonts w:ascii="Arial" w:hAnsi="Arial" w:cs="Arial"/>
          <w:sz w:val="16"/>
          <w:szCs w:val="16"/>
        </w:rPr>
      </w:pPr>
    </w:p>
    <w:p w:rsidR="004E3B8A" w:rsidRDefault="004E3B8A" w:rsidP="007A0224">
      <w:pPr>
        <w:pStyle w:val="Caption"/>
        <w:spacing w:line="260" w:lineRule="atLeast"/>
      </w:pPr>
      <w:bookmarkStart w:id="289" w:name="_Ref262590736"/>
      <w:bookmarkStart w:id="290" w:name="_Toc271552412"/>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11</w:t>
      </w:r>
      <w:r w:rsidR="00832C7A">
        <w:fldChar w:fldCharType="end"/>
      </w:r>
      <w:bookmarkEnd w:id="289"/>
      <w:r w:rsidRPr="00621CD2">
        <w:br/>
      </w:r>
      <w:r w:rsidRPr="00A677AC">
        <w:t>Projected New England Operable Capacity Analysis</w:t>
      </w:r>
      <w:r w:rsidR="00F74756">
        <w:br/>
      </w:r>
      <w:r>
        <w:t>for Summer</w:t>
      </w:r>
      <w:r w:rsidR="00434E06">
        <w:t>,</w:t>
      </w:r>
      <w:r>
        <w:t xml:space="preserve"> 2010 </w:t>
      </w:r>
      <w:r>
        <w:rPr>
          <w:rFonts w:cs="Arial"/>
        </w:rPr>
        <w:t xml:space="preserve">to </w:t>
      </w:r>
      <w:r w:rsidRPr="00A677AC">
        <w:t>201</w:t>
      </w:r>
      <w:r>
        <w:t>9</w:t>
      </w:r>
      <w:r w:rsidRPr="00A677AC">
        <w:t>,</w:t>
      </w:r>
      <w:r>
        <w:t xml:space="preserve"> </w:t>
      </w:r>
      <w:r w:rsidRPr="00A677AC">
        <w:t>Assuming</w:t>
      </w:r>
      <w:r>
        <w:t> </w:t>
      </w:r>
      <w:r w:rsidRPr="00A677AC">
        <w:t>50/50 loads (MW)</w:t>
      </w:r>
      <w:bookmarkEnd w:id="290"/>
    </w:p>
    <w:tbl>
      <w:tblPr>
        <w:tblStyle w:val="MediumShading1-Accent12"/>
        <w:tblW w:w="1031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bottom w:w="43" w:type="dxa"/>
          <w:right w:w="72" w:type="dxa"/>
        </w:tblCellMar>
        <w:tblLook w:val="04A0"/>
      </w:tblPr>
      <w:tblGrid>
        <w:gridCol w:w="2188"/>
        <w:gridCol w:w="838"/>
        <w:gridCol w:w="810"/>
        <w:gridCol w:w="810"/>
        <w:gridCol w:w="844"/>
        <w:gridCol w:w="748"/>
        <w:gridCol w:w="782"/>
        <w:gridCol w:w="838"/>
        <w:gridCol w:w="810"/>
        <w:gridCol w:w="810"/>
        <w:gridCol w:w="838"/>
      </w:tblGrid>
      <w:tr w:rsidR="004E3B8A" w:rsidRPr="00A325F6" w:rsidTr="007A0224">
        <w:trPr>
          <w:cnfStyle w:val="100000000000"/>
          <w:trHeight w:val="270"/>
        </w:trPr>
        <w:tc>
          <w:tcPr>
            <w:cnfStyle w:val="001000000100"/>
            <w:tcW w:w="2188" w:type="dxa"/>
            <w:shd w:val="clear" w:color="auto" w:fill="FBCE76" w:themeFill="background2" w:themeFillTint="99"/>
            <w:tcMar>
              <w:left w:w="58" w:type="dxa"/>
              <w:right w:w="58" w:type="dxa"/>
            </w:tcMar>
          </w:tcPr>
          <w:p w:rsidR="00A2264A" w:rsidRDefault="004E3B8A">
            <w:pPr>
              <w:keepNext/>
              <w:keepLines/>
              <w:spacing w:after="0"/>
              <w:jc w:val="center"/>
              <w:rPr>
                <w:rFonts w:ascii="Arial" w:hAnsi="Arial" w:cs="Arial"/>
                <w:b w:val="0"/>
                <w:bCs w:val="0"/>
                <w:color w:val="000000" w:themeColor="text1"/>
                <w:sz w:val="16"/>
                <w:szCs w:val="16"/>
              </w:rPr>
            </w:pPr>
            <w:r w:rsidRPr="00A325F6">
              <w:rPr>
                <w:rFonts w:ascii="Arial" w:hAnsi="Arial" w:cs="Arial"/>
                <w:bCs w:val="0"/>
                <w:color w:val="000000" w:themeColor="text1"/>
                <w:sz w:val="16"/>
                <w:szCs w:val="16"/>
              </w:rPr>
              <w:t>Capacity Situation</w:t>
            </w:r>
            <w:r w:rsidRPr="00A325F6">
              <w:rPr>
                <w:rFonts w:ascii="Arial" w:hAnsi="Arial" w:cs="Arial"/>
                <w:bCs w:val="0"/>
                <w:color w:val="000000" w:themeColor="text1"/>
                <w:sz w:val="16"/>
                <w:szCs w:val="16"/>
              </w:rPr>
              <w:br/>
              <w:t>(Summer MW)</w:t>
            </w:r>
          </w:p>
        </w:tc>
        <w:tc>
          <w:tcPr>
            <w:tcW w:w="838"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2010</w:t>
            </w:r>
          </w:p>
        </w:tc>
        <w:tc>
          <w:tcPr>
            <w:tcW w:w="810"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2011</w:t>
            </w:r>
          </w:p>
        </w:tc>
        <w:tc>
          <w:tcPr>
            <w:tcW w:w="810"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2012</w:t>
            </w:r>
          </w:p>
        </w:tc>
        <w:tc>
          <w:tcPr>
            <w:tcW w:w="844"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2013</w:t>
            </w:r>
          </w:p>
        </w:tc>
        <w:tc>
          <w:tcPr>
            <w:tcW w:w="748"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2014</w:t>
            </w:r>
          </w:p>
        </w:tc>
        <w:tc>
          <w:tcPr>
            <w:tcW w:w="782"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2015</w:t>
            </w:r>
          </w:p>
        </w:tc>
        <w:tc>
          <w:tcPr>
            <w:tcW w:w="838"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2016</w:t>
            </w:r>
          </w:p>
        </w:tc>
        <w:tc>
          <w:tcPr>
            <w:tcW w:w="810"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2017</w:t>
            </w:r>
          </w:p>
        </w:tc>
        <w:tc>
          <w:tcPr>
            <w:tcW w:w="810" w:type="dxa"/>
            <w:shd w:val="clear" w:color="auto" w:fill="FBCE76" w:themeFill="background2" w:themeFillTint="99"/>
            <w:noWrap/>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2018</w:t>
            </w:r>
          </w:p>
        </w:tc>
        <w:tc>
          <w:tcPr>
            <w:tcW w:w="838" w:type="dxa"/>
            <w:shd w:val="clear" w:color="auto" w:fill="FBCE76" w:themeFill="background2" w:themeFillTint="99"/>
            <w:tcMar>
              <w:left w:w="58" w:type="dxa"/>
              <w:right w:w="58" w:type="dxa"/>
            </w:tcMar>
          </w:tcPr>
          <w:p w:rsidR="004E3B8A" w:rsidRPr="00A325F6" w:rsidRDefault="004E3B8A" w:rsidP="000F1573">
            <w:pPr>
              <w:keepNext/>
              <w:keepLines/>
              <w:spacing w:after="0"/>
              <w:cnfStyle w:val="100000000000"/>
              <w:rPr>
                <w:rFonts w:ascii="Arial" w:hAnsi="Arial" w:cs="Arial"/>
                <w:bCs w:val="0"/>
                <w:color w:val="000000" w:themeColor="text1"/>
                <w:sz w:val="16"/>
                <w:szCs w:val="16"/>
              </w:rPr>
            </w:pPr>
            <w:r w:rsidRPr="00A325F6">
              <w:rPr>
                <w:rFonts w:ascii="Arial" w:hAnsi="Arial" w:cs="Arial"/>
                <w:bCs w:val="0"/>
                <w:color w:val="000000" w:themeColor="text1"/>
                <w:sz w:val="16"/>
                <w:szCs w:val="16"/>
              </w:rPr>
              <w:t>2019</w:t>
            </w:r>
          </w:p>
        </w:tc>
      </w:tr>
      <w:tr w:rsidR="004E3B8A" w:rsidRPr="00A325F6" w:rsidTr="00FA5743">
        <w:trPr>
          <w:cnfStyle w:val="000000100000"/>
          <w:trHeight w:val="317"/>
        </w:trPr>
        <w:tc>
          <w:tcPr>
            <w:cnfStyle w:val="001000000000"/>
            <w:tcW w:w="2188" w:type="dxa"/>
            <w:shd w:val="clear" w:color="auto" w:fill="FFFFFF" w:themeFill="background1"/>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Load (50/50 forecast)</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27,190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27,660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28,165</w:t>
            </w:r>
          </w:p>
        </w:tc>
        <w:tc>
          <w:tcPr>
            <w:tcW w:w="844"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28,570</w:t>
            </w:r>
          </w:p>
        </w:tc>
        <w:tc>
          <w:tcPr>
            <w:tcW w:w="74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29,025</w:t>
            </w:r>
          </w:p>
        </w:tc>
        <w:tc>
          <w:tcPr>
            <w:tcW w:w="782"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29,450</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29,785</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30,110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30,430</w:t>
            </w:r>
          </w:p>
        </w:tc>
        <w:tc>
          <w:tcPr>
            <w:tcW w:w="838" w:type="dxa"/>
            <w:shd w:val="clear" w:color="auto" w:fill="FFFFFF" w:themeFill="background1"/>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30,730</w:t>
            </w:r>
          </w:p>
        </w:tc>
      </w:tr>
      <w:tr w:rsidR="004E3B8A" w:rsidRPr="00A325F6" w:rsidTr="00FA5743">
        <w:trPr>
          <w:cnfStyle w:val="000000010000"/>
          <w:trHeight w:val="317"/>
        </w:trPr>
        <w:tc>
          <w:tcPr>
            <w:cnfStyle w:val="001000000000"/>
            <w:tcW w:w="2188" w:type="dxa"/>
            <w:shd w:val="clear" w:color="auto" w:fill="FFFFFF" w:themeFill="background1"/>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Operating reserves</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44"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74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782"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c>
          <w:tcPr>
            <w:tcW w:w="838" w:type="dxa"/>
            <w:shd w:val="clear" w:color="auto" w:fill="FFFFFF" w:themeFill="background1"/>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2,000</w:t>
            </w:r>
          </w:p>
        </w:tc>
      </w:tr>
      <w:tr w:rsidR="004E3B8A" w:rsidRPr="00A325F6" w:rsidTr="00FA5743">
        <w:trPr>
          <w:cnfStyle w:val="000000100000"/>
          <w:trHeight w:val="317"/>
        </w:trPr>
        <w:tc>
          <w:tcPr>
            <w:cnfStyle w:val="001000000000"/>
            <w:tcW w:w="2188" w:type="dxa"/>
            <w:shd w:val="clear" w:color="auto" w:fill="FFFFFF" w:themeFill="background1"/>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Total requirement</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29,190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29,660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30,165</w:t>
            </w:r>
          </w:p>
        </w:tc>
        <w:tc>
          <w:tcPr>
            <w:tcW w:w="844"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30,570</w:t>
            </w:r>
          </w:p>
        </w:tc>
        <w:tc>
          <w:tcPr>
            <w:tcW w:w="74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31,025</w:t>
            </w:r>
          </w:p>
        </w:tc>
        <w:tc>
          <w:tcPr>
            <w:tcW w:w="782"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31,450</w:t>
            </w:r>
          </w:p>
        </w:tc>
        <w:tc>
          <w:tcPr>
            <w:tcW w:w="838"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31,785</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32,110</w:t>
            </w:r>
          </w:p>
        </w:tc>
        <w:tc>
          <w:tcPr>
            <w:tcW w:w="810" w:type="dxa"/>
            <w:shd w:val="clear" w:color="auto" w:fill="FFFFFF" w:themeFill="background1"/>
            <w:noWrap/>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32,430</w:t>
            </w:r>
          </w:p>
        </w:tc>
        <w:tc>
          <w:tcPr>
            <w:tcW w:w="838" w:type="dxa"/>
            <w:shd w:val="clear" w:color="auto" w:fill="FFFFFF" w:themeFill="background1"/>
            <w:tcMar>
              <w:left w:w="0" w:type="dxa"/>
              <w:right w:w="115" w:type="dxa"/>
            </w:tcMar>
          </w:tcPr>
          <w:p w:rsidR="004E3B8A" w:rsidRPr="00AD3A41" w:rsidRDefault="004E3B8A"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32,730</w:t>
            </w:r>
          </w:p>
        </w:tc>
      </w:tr>
      <w:tr w:rsidR="004E3B8A" w:rsidRPr="00A325F6" w:rsidTr="00FA5743">
        <w:trPr>
          <w:cnfStyle w:val="000000010000"/>
          <w:trHeight w:val="317"/>
        </w:trPr>
        <w:tc>
          <w:tcPr>
            <w:cnfStyle w:val="001000000000"/>
            <w:tcW w:w="2188" w:type="dxa"/>
            <w:shd w:val="clear" w:color="auto" w:fill="FDEED1" w:themeFill="background2" w:themeFillTint="33"/>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Capacity</w:t>
            </w:r>
          </w:p>
        </w:tc>
        <w:tc>
          <w:tcPr>
            <w:tcW w:w="83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31,110</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31,741</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31,965</w:t>
            </w:r>
          </w:p>
        </w:tc>
        <w:tc>
          <w:tcPr>
            <w:tcW w:w="844"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32,127</w:t>
            </w:r>
          </w:p>
        </w:tc>
        <w:tc>
          <w:tcPr>
            <w:tcW w:w="74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32,672</w:t>
            </w:r>
          </w:p>
        </w:tc>
        <w:tc>
          <w:tcPr>
            <w:tcW w:w="782"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33,178</w:t>
            </w:r>
          </w:p>
        </w:tc>
        <w:tc>
          <w:tcPr>
            <w:tcW w:w="83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33,604</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34,025</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34,434</w:t>
            </w:r>
          </w:p>
        </w:tc>
        <w:tc>
          <w:tcPr>
            <w:tcW w:w="838" w:type="dxa"/>
            <w:shd w:val="clear" w:color="auto" w:fill="FDEED1" w:themeFill="background2" w:themeFillTint="33"/>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34,818</w:t>
            </w:r>
          </w:p>
        </w:tc>
      </w:tr>
      <w:tr w:rsidR="004E3B8A" w:rsidRPr="00A325F6" w:rsidTr="00CC5EC1">
        <w:trPr>
          <w:cnfStyle w:val="000000100000"/>
          <w:trHeight w:val="317"/>
        </w:trPr>
        <w:tc>
          <w:tcPr>
            <w:cnfStyle w:val="001000000000"/>
            <w:tcW w:w="2188" w:type="dxa"/>
            <w:shd w:val="clear" w:color="auto" w:fill="FDEED1" w:themeFill="background2" w:themeFillTint="33"/>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Assumed unavailable capacity</w:t>
            </w:r>
          </w:p>
        </w:tc>
        <w:tc>
          <w:tcPr>
            <w:tcW w:w="838"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44"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748"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782"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38"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c>
          <w:tcPr>
            <w:tcW w:w="838" w:type="dxa"/>
            <w:shd w:val="clear" w:color="auto" w:fill="FDEED1" w:themeFill="background2" w:themeFillTint="33"/>
            <w:tcMar>
              <w:left w:w="0" w:type="dxa"/>
              <w:right w:w="115" w:type="dxa"/>
            </w:tcMar>
          </w:tcPr>
          <w:p w:rsidR="004E3B8A" w:rsidRPr="00AD3A41" w:rsidRDefault="00A325F6" w:rsidP="00AD3A41">
            <w:pPr>
              <w:keepNext/>
              <w:keepLines/>
              <w:spacing w:after="0"/>
              <w:jc w:val="right"/>
              <w:cnfStyle w:val="000000100000"/>
              <w:rPr>
                <w:rFonts w:ascii="Arial" w:hAnsi="Arial" w:cs="Arial"/>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color w:val="000000" w:themeColor="text1"/>
                <w:sz w:val="16"/>
                <w:szCs w:val="16"/>
              </w:rPr>
              <w:t>2,100</w:t>
            </w:r>
          </w:p>
        </w:tc>
      </w:tr>
      <w:tr w:rsidR="004E3B8A" w:rsidRPr="00A325F6" w:rsidTr="00FA5743">
        <w:trPr>
          <w:cnfStyle w:val="000000010000"/>
          <w:trHeight w:val="317"/>
        </w:trPr>
        <w:tc>
          <w:tcPr>
            <w:cnfStyle w:val="001000000000"/>
            <w:tcW w:w="2188" w:type="dxa"/>
            <w:shd w:val="clear" w:color="auto" w:fill="FDEED1" w:themeFill="background2" w:themeFillTint="33"/>
            <w:noWrap/>
            <w:tcMar>
              <w:left w:w="58" w:type="dxa"/>
              <w:right w:w="58" w:type="dxa"/>
            </w:tcMar>
          </w:tcPr>
          <w:p w:rsidR="004E3B8A" w:rsidRPr="00A325F6" w:rsidRDefault="004E3B8A" w:rsidP="00AD3A41">
            <w:pPr>
              <w:keepNext/>
              <w:keepLines/>
              <w:spacing w:after="0"/>
              <w:rPr>
                <w:rFonts w:ascii="Arial" w:hAnsi="Arial" w:cs="Arial"/>
                <w:bCs w:val="0"/>
                <w:color w:val="000000" w:themeColor="text1"/>
                <w:sz w:val="16"/>
                <w:szCs w:val="16"/>
              </w:rPr>
            </w:pPr>
            <w:r w:rsidRPr="00A325F6">
              <w:rPr>
                <w:rFonts w:ascii="Arial" w:hAnsi="Arial" w:cs="Arial"/>
                <w:bCs w:val="0"/>
                <w:color w:val="000000" w:themeColor="text1"/>
                <w:sz w:val="16"/>
                <w:szCs w:val="16"/>
              </w:rPr>
              <w:t>Total net capacity</w:t>
            </w:r>
            <w:r w:rsidR="00B50FA3" w:rsidRPr="00B50FA3">
              <w:rPr>
                <w:rFonts w:ascii="Arial" w:hAnsi="Arial" w:cs="Arial"/>
                <w:bCs w:val="0"/>
                <w:color w:val="000000" w:themeColor="text1"/>
                <w:sz w:val="16"/>
                <w:szCs w:val="16"/>
                <w:vertAlign w:val="superscript"/>
              </w:rPr>
              <w:t>(a)</w:t>
            </w:r>
          </w:p>
        </w:tc>
        <w:tc>
          <w:tcPr>
            <w:tcW w:w="83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29,010</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29,641</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29,865</w:t>
            </w:r>
          </w:p>
        </w:tc>
        <w:tc>
          <w:tcPr>
            <w:tcW w:w="844"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30,027</w:t>
            </w:r>
          </w:p>
        </w:tc>
        <w:tc>
          <w:tcPr>
            <w:tcW w:w="74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30,572</w:t>
            </w:r>
          </w:p>
        </w:tc>
        <w:tc>
          <w:tcPr>
            <w:tcW w:w="782"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31,078</w:t>
            </w:r>
          </w:p>
        </w:tc>
        <w:tc>
          <w:tcPr>
            <w:tcW w:w="838"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31,504</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31,925</w:t>
            </w:r>
          </w:p>
        </w:tc>
        <w:tc>
          <w:tcPr>
            <w:tcW w:w="810" w:type="dxa"/>
            <w:shd w:val="clear" w:color="auto" w:fill="FDEED1" w:themeFill="background2" w:themeFillTint="33"/>
            <w:noWrap/>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32,334</w:t>
            </w:r>
          </w:p>
        </w:tc>
        <w:tc>
          <w:tcPr>
            <w:tcW w:w="838" w:type="dxa"/>
            <w:shd w:val="clear" w:color="auto" w:fill="FDEED1" w:themeFill="background2" w:themeFillTint="33"/>
            <w:tcMar>
              <w:left w:w="0" w:type="dxa"/>
              <w:right w:w="115" w:type="dxa"/>
            </w:tcMar>
          </w:tcPr>
          <w:p w:rsidR="004E3B8A" w:rsidRPr="00AD3A41" w:rsidRDefault="004E3B8A" w:rsidP="00AD3A41">
            <w:pPr>
              <w:keepNext/>
              <w:keepLines/>
              <w:spacing w:after="0"/>
              <w:jc w:val="right"/>
              <w:cnfStyle w:val="000000010000"/>
              <w:rPr>
                <w:rFonts w:ascii="Arial" w:hAnsi="Arial" w:cs="Arial"/>
                <w:color w:val="000000" w:themeColor="text1"/>
                <w:sz w:val="16"/>
                <w:szCs w:val="16"/>
              </w:rPr>
            </w:pPr>
            <w:r w:rsidRPr="00AD3A41">
              <w:rPr>
                <w:rFonts w:ascii="Arial" w:hAnsi="Arial" w:cs="Arial"/>
                <w:color w:val="000000" w:themeColor="text1"/>
                <w:sz w:val="16"/>
                <w:szCs w:val="16"/>
              </w:rPr>
              <w:t>32,718</w:t>
            </w:r>
          </w:p>
        </w:tc>
      </w:tr>
      <w:tr w:rsidR="004E3B8A" w:rsidRPr="00A325F6" w:rsidTr="00203A48">
        <w:trPr>
          <w:cnfStyle w:val="000000100000"/>
          <w:trHeight w:val="317"/>
        </w:trPr>
        <w:tc>
          <w:tcPr>
            <w:cnfStyle w:val="001000000000"/>
            <w:tcW w:w="2188" w:type="dxa"/>
            <w:shd w:val="clear" w:color="auto" w:fill="FBCE76" w:themeFill="background2" w:themeFillTint="99"/>
            <w:noWrap/>
            <w:tcMar>
              <w:left w:w="58" w:type="dxa"/>
              <w:right w:w="58" w:type="dxa"/>
            </w:tcMar>
          </w:tcPr>
          <w:p w:rsidR="004E3B8A" w:rsidRPr="00A325F6" w:rsidRDefault="001E2CD5" w:rsidP="00AD3A41">
            <w:pPr>
              <w:keepNext/>
              <w:keepLines/>
              <w:spacing w:after="0"/>
              <w:rPr>
                <w:rFonts w:ascii="Arial" w:hAnsi="Arial" w:cs="Arial"/>
                <w:bCs w:val="0"/>
                <w:color w:val="000000" w:themeColor="text1"/>
                <w:sz w:val="16"/>
                <w:szCs w:val="16"/>
              </w:rPr>
            </w:pPr>
            <w:r>
              <w:rPr>
                <w:rFonts w:ascii="Arial" w:hAnsi="Arial" w:cs="Arial"/>
                <w:bCs w:val="0"/>
                <w:color w:val="000000" w:themeColor="text1"/>
                <w:sz w:val="16"/>
                <w:szCs w:val="16"/>
              </w:rPr>
              <w:t xml:space="preserve">Operable capacity </w:t>
            </w:r>
            <w:r w:rsidR="004E3B8A" w:rsidRPr="00A325F6">
              <w:rPr>
                <w:rFonts w:ascii="Arial" w:hAnsi="Arial" w:cs="Arial"/>
                <w:bCs w:val="0"/>
                <w:color w:val="000000" w:themeColor="text1"/>
                <w:sz w:val="16"/>
                <w:szCs w:val="16"/>
              </w:rPr>
              <w:t>margin</w:t>
            </w:r>
            <w:r w:rsidR="004E3B8A" w:rsidRPr="00A325F6">
              <w:rPr>
                <w:rFonts w:ascii="Arial" w:hAnsi="Arial" w:cs="Arial"/>
                <w:bCs w:val="0"/>
                <w:color w:val="000000" w:themeColor="text1"/>
                <w:sz w:val="16"/>
                <w:szCs w:val="16"/>
                <w:vertAlign w:val="superscript"/>
              </w:rPr>
              <w:t>(</w:t>
            </w:r>
            <w:r w:rsidR="00B50FA3">
              <w:rPr>
                <w:rFonts w:ascii="Arial" w:hAnsi="Arial" w:cs="Arial"/>
                <w:bCs w:val="0"/>
                <w:color w:val="000000" w:themeColor="text1"/>
                <w:sz w:val="16"/>
                <w:szCs w:val="16"/>
                <w:vertAlign w:val="superscript"/>
              </w:rPr>
              <w:t>b</w:t>
            </w:r>
            <w:r w:rsidR="004E3B8A" w:rsidRPr="00A325F6">
              <w:rPr>
                <w:rFonts w:ascii="Arial" w:hAnsi="Arial" w:cs="Arial"/>
                <w:bCs w:val="0"/>
                <w:color w:val="000000" w:themeColor="text1"/>
                <w:sz w:val="16"/>
                <w:szCs w:val="16"/>
                <w:vertAlign w:val="superscript"/>
              </w:rPr>
              <w:t>)</w:t>
            </w:r>
          </w:p>
        </w:tc>
        <w:tc>
          <w:tcPr>
            <w:tcW w:w="838"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180</w:t>
            </w:r>
          </w:p>
        </w:tc>
        <w:tc>
          <w:tcPr>
            <w:tcW w:w="810"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19</w:t>
            </w:r>
          </w:p>
        </w:tc>
        <w:tc>
          <w:tcPr>
            <w:tcW w:w="810"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300</w:t>
            </w:r>
          </w:p>
        </w:tc>
        <w:tc>
          <w:tcPr>
            <w:tcW w:w="844"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543</w:t>
            </w:r>
          </w:p>
        </w:tc>
        <w:tc>
          <w:tcPr>
            <w:tcW w:w="748"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453</w:t>
            </w:r>
          </w:p>
        </w:tc>
        <w:tc>
          <w:tcPr>
            <w:tcW w:w="782"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372</w:t>
            </w:r>
          </w:p>
        </w:tc>
        <w:tc>
          <w:tcPr>
            <w:tcW w:w="838"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281</w:t>
            </w:r>
          </w:p>
        </w:tc>
        <w:tc>
          <w:tcPr>
            <w:tcW w:w="810"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185</w:t>
            </w:r>
          </w:p>
        </w:tc>
        <w:tc>
          <w:tcPr>
            <w:tcW w:w="810" w:type="dxa"/>
            <w:shd w:val="clear" w:color="auto" w:fill="FBCE76" w:themeFill="background2" w:themeFillTint="99"/>
            <w:noWrap/>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96</w:t>
            </w:r>
          </w:p>
        </w:tc>
        <w:tc>
          <w:tcPr>
            <w:tcW w:w="838" w:type="dxa"/>
            <w:shd w:val="clear" w:color="auto" w:fill="FBCE76" w:themeFill="background2" w:themeFillTint="99"/>
            <w:tcMar>
              <w:left w:w="0" w:type="dxa"/>
              <w:right w:w="115" w:type="dxa"/>
            </w:tcMar>
          </w:tcPr>
          <w:p w:rsidR="004E3B8A" w:rsidRPr="00AD3A41" w:rsidRDefault="00A325F6" w:rsidP="00AD3A41">
            <w:pPr>
              <w:keepNext/>
              <w:keepLines/>
              <w:spacing w:after="0"/>
              <w:jc w:val="right"/>
              <w:cnfStyle w:val="000000100000"/>
              <w:rPr>
                <w:rFonts w:ascii="Arial" w:hAnsi="Arial" w:cs="Arial"/>
                <w:b/>
                <w:color w:val="000000" w:themeColor="text1"/>
                <w:sz w:val="16"/>
                <w:szCs w:val="16"/>
              </w:rPr>
            </w:pPr>
            <w:r w:rsidRPr="00AD3A41">
              <w:rPr>
                <w:rFonts w:ascii="Arial" w:hAnsi="Arial" w:cs="Arial"/>
                <w:color w:val="000000" w:themeColor="text1"/>
                <w:sz w:val="16"/>
                <w:szCs w:val="16"/>
              </w:rPr>
              <w:t>−</w:t>
            </w:r>
            <w:r w:rsidR="00103A26" w:rsidRPr="00AD3A41">
              <w:rPr>
                <w:rFonts w:ascii="Arial" w:hAnsi="Arial" w:cs="Arial"/>
                <w:b/>
                <w:color w:val="000000" w:themeColor="text1"/>
                <w:sz w:val="16"/>
                <w:szCs w:val="16"/>
              </w:rPr>
              <w:t>12</w:t>
            </w:r>
          </w:p>
        </w:tc>
      </w:tr>
    </w:tbl>
    <w:p w:rsidR="00B50FA3" w:rsidRDefault="004E3B8A" w:rsidP="00AD3A41">
      <w:pPr>
        <w:pStyle w:val="TableNote"/>
        <w:keepLines/>
        <w:spacing w:before="0" w:line="260" w:lineRule="atLeast"/>
        <w:ind w:left="-172" w:right="806" w:hanging="274"/>
      </w:pPr>
      <w:r w:rsidRPr="00B40932">
        <w:t>(a)</w:t>
      </w:r>
      <w:r>
        <w:tab/>
      </w:r>
      <w:r w:rsidR="00B50FA3">
        <w:rPr>
          <w:rFonts w:cs="Arial"/>
          <w:szCs w:val="16"/>
        </w:rPr>
        <w:t>The net capacity values are consistent with</w:t>
      </w:r>
      <w:r w:rsidR="00B50FA3" w:rsidRPr="00B50FA3">
        <w:rPr>
          <w:rFonts w:cs="Arial"/>
          <w:szCs w:val="16"/>
        </w:rPr>
        <w:t xml:space="preserve"> </w:t>
      </w:r>
      <w:fldSimple w:instr=" REF _Ref262584696 \h  \* MERGEFORMAT ">
        <w:r w:rsidR="00E5699E" w:rsidRPr="00E5699E">
          <w:rPr>
            <w:rFonts w:cs="Arial"/>
            <w:szCs w:val="16"/>
          </w:rPr>
          <w:t>Table 4</w:t>
        </w:r>
        <w:r w:rsidR="00E5699E" w:rsidRPr="00E5699E">
          <w:rPr>
            <w:rFonts w:cs="Arial"/>
            <w:szCs w:val="16"/>
          </w:rPr>
          <w:noBreakHyphen/>
          <w:t>1</w:t>
        </w:r>
      </w:fldSimple>
      <w:r w:rsidR="00B50FA3">
        <w:rPr>
          <w:rFonts w:cs="Arial"/>
          <w:szCs w:val="16"/>
        </w:rPr>
        <w:t>.</w:t>
      </w:r>
    </w:p>
    <w:p w:rsidR="004E3B8A" w:rsidRDefault="00B50FA3" w:rsidP="00203A48">
      <w:pPr>
        <w:pStyle w:val="TableNote"/>
        <w:keepNext w:val="0"/>
        <w:spacing w:before="0" w:line="260" w:lineRule="atLeast"/>
        <w:ind w:left="-172" w:right="806" w:hanging="274"/>
      </w:pPr>
      <w:r>
        <w:t xml:space="preserve">(b) </w:t>
      </w:r>
      <w:r w:rsidR="004E3B8A" w:rsidRPr="00B40932">
        <w:t>“Operable capacity margin” equals “total net capacity” minus “total requirement.”</w:t>
      </w:r>
    </w:p>
    <w:p w:rsidR="00434E06" w:rsidRDefault="00434E06" w:rsidP="00203A48">
      <w:pPr>
        <w:pStyle w:val="TableNote"/>
        <w:keepNext w:val="0"/>
        <w:spacing w:before="0" w:line="260" w:lineRule="atLeast"/>
        <w:ind w:left="-172" w:right="806" w:hanging="274"/>
      </w:pPr>
    </w:p>
    <w:p w:rsidR="004E3B8A" w:rsidRDefault="004E3B8A" w:rsidP="00203A48">
      <w:pPr>
        <w:pStyle w:val="Caption"/>
        <w:keepNext w:val="0"/>
        <w:keepLines w:val="0"/>
        <w:rPr>
          <w:rFonts w:cs="Arial"/>
        </w:rPr>
      </w:pPr>
      <w:bookmarkStart w:id="291" w:name="_Ref262590791"/>
      <w:bookmarkStart w:id="292" w:name="_Toc271552413"/>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12</w:t>
      </w:r>
      <w:r w:rsidR="00832C7A">
        <w:fldChar w:fldCharType="end"/>
      </w:r>
      <w:bookmarkEnd w:id="291"/>
      <w:r w:rsidRPr="00621CD2">
        <w:br/>
      </w:r>
      <w:r w:rsidRPr="00A677AC">
        <w:rPr>
          <w:rFonts w:cs="Arial"/>
        </w:rPr>
        <w:t>Projected New England Operable Capacity Analysis</w:t>
      </w:r>
      <w:r w:rsidR="00F74756">
        <w:rPr>
          <w:rFonts w:cs="Arial"/>
        </w:rPr>
        <w:br/>
      </w:r>
      <w:r>
        <w:rPr>
          <w:rFonts w:cs="Arial"/>
        </w:rPr>
        <w:t>for</w:t>
      </w:r>
      <w:r w:rsidR="00F74756">
        <w:rPr>
          <w:rFonts w:cs="Arial"/>
        </w:rPr>
        <w:t xml:space="preserve"> </w:t>
      </w:r>
      <w:r>
        <w:rPr>
          <w:rFonts w:cs="Arial"/>
        </w:rPr>
        <w:t>Summer 2010 to 2019</w:t>
      </w:r>
      <w:r w:rsidRPr="00A677AC">
        <w:rPr>
          <w:rFonts w:cs="Arial"/>
        </w:rPr>
        <w:t>,</w:t>
      </w:r>
      <w:r>
        <w:rPr>
          <w:rFonts w:cs="Arial"/>
        </w:rPr>
        <w:t> </w:t>
      </w:r>
      <w:r w:rsidRPr="00A677AC">
        <w:rPr>
          <w:rFonts w:cs="Arial"/>
        </w:rPr>
        <w:t xml:space="preserve">Assuming 90/10 </w:t>
      </w:r>
      <w:r>
        <w:rPr>
          <w:rFonts w:cs="Arial"/>
        </w:rPr>
        <w:t>L</w:t>
      </w:r>
      <w:r w:rsidRPr="00A677AC">
        <w:rPr>
          <w:rFonts w:cs="Arial"/>
        </w:rPr>
        <w:t>oads (MW)</w:t>
      </w:r>
      <w:bookmarkEnd w:id="292"/>
    </w:p>
    <w:tbl>
      <w:tblPr>
        <w:tblStyle w:val="MediumShading1-Accent12"/>
        <w:tblW w:w="10288" w:type="dxa"/>
        <w:tblInd w:w="2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8" w:type="dxa"/>
          <w:left w:w="0" w:type="dxa"/>
          <w:bottom w:w="58" w:type="dxa"/>
          <w:right w:w="43" w:type="dxa"/>
        </w:tblCellMar>
        <w:tblLook w:val="04A0"/>
      </w:tblPr>
      <w:tblGrid>
        <w:gridCol w:w="2188"/>
        <w:gridCol w:w="810"/>
        <w:gridCol w:w="810"/>
        <w:gridCol w:w="810"/>
        <w:gridCol w:w="844"/>
        <w:gridCol w:w="748"/>
        <w:gridCol w:w="782"/>
        <w:gridCol w:w="838"/>
        <w:gridCol w:w="810"/>
        <w:gridCol w:w="810"/>
        <w:gridCol w:w="838"/>
      </w:tblGrid>
      <w:tr w:rsidR="004E3B8A" w:rsidRPr="00AB6C77" w:rsidTr="00F74756">
        <w:trPr>
          <w:cnfStyle w:val="100000000000"/>
          <w:trHeight w:val="270"/>
        </w:trPr>
        <w:tc>
          <w:tcPr>
            <w:cnfStyle w:val="001000000100"/>
            <w:tcW w:w="2188" w:type="dxa"/>
            <w:shd w:val="clear" w:color="auto" w:fill="FBCE76" w:themeFill="background2" w:themeFillTint="99"/>
          </w:tcPr>
          <w:p w:rsidR="004E3B8A" w:rsidRPr="00AB6C77" w:rsidRDefault="004E3B8A" w:rsidP="00324FD4">
            <w:pPr>
              <w:keepNext/>
              <w:keepLines/>
              <w:spacing w:after="0"/>
              <w:jc w:val="center"/>
              <w:rPr>
                <w:rFonts w:ascii="Arial" w:hAnsi="Arial" w:cs="Arial"/>
                <w:b w:val="0"/>
                <w:bCs w:val="0"/>
                <w:color w:val="000000" w:themeColor="text1"/>
                <w:sz w:val="16"/>
                <w:szCs w:val="16"/>
              </w:rPr>
            </w:pPr>
            <w:r w:rsidRPr="00AB6C77">
              <w:rPr>
                <w:rFonts w:ascii="Arial" w:hAnsi="Arial" w:cs="Arial"/>
                <w:bCs w:val="0"/>
                <w:color w:val="000000" w:themeColor="text1"/>
                <w:sz w:val="16"/>
                <w:szCs w:val="16"/>
              </w:rPr>
              <w:t>Capacity Situation</w:t>
            </w:r>
            <w:r w:rsidRPr="00AB6C77">
              <w:rPr>
                <w:rFonts w:ascii="Arial" w:hAnsi="Arial" w:cs="Arial"/>
                <w:bCs w:val="0"/>
                <w:color w:val="000000" w:themeColor="text1"/>
                <w:sz w:val="16"/>
                <w:szCs w:val="16"/>
              </w:rPr>
              <w:br/>
              <w:t>(Summer MW)</w:t>
            </w:r>
          </w:p>
        </w:tc>
        <w:tc>
          <w:tcPr>
            <w:tcW w:w="810"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2010</w:t>
            </w:r>
          </w:p>
        </w:tc>
        <w:tc>
          <w:tcPr>
            <w:tcW w:w="810"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2011</w:t>
            </w:r>
          </w:p>
        </w:tc>
        <w:tc>
          <w:tcPr>
            <w:tcW w:w="810"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2012</w:t>
            </w:r>
          </w:p>
        </w:tc>
        <w:tc>
          <w:tcPr>
            <w:tcW w:w="844"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2013</w:t>
            </w:r>
          </w:p>
        </w:tc>
        <w:tc>
          <w:tcPr>
            <w:tcW w:w="748"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2014</w:t>
            </w:r>
          </w:p>
        </w:tc>
        <w:tc>
          <w:tcPr>
            <w:tcW w:w="782"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2015</w:t>
            </w:r>
          </w:p>
        </w:tc>
        <w:tc>
          <w:tcPr>
            <w:tcW w:w="838"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2016</w:t>
            </w:r>
          </w:p>
        </w:tc>
        <w:tc>
          <w:tcPr>
            <w:tcW w:w="810"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2017</w:t>
            </w:r>
          </w:p>
        </w:tc>
        <w:tc>
          <w:tcPr>
            <w:tcW w:w="810" w:type="dxa"/>
            <w:shd w:val="clear" w:color="auto" w:fill="FBCE76" w:themeFill="background2" w:themeFillTint="99"/>
            <w:noWrap/>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2018</w:t>
            </w:r>
          </w:p>
        </w:tc>
        <w:tc>
          <w:tcPr>
            <w:tcW w:w="838" w:type="dxa"/>
            <w:shd w:val="clear" w:color="auto" w:fill="FBCE76" w:themeFill="background2" w:themeFillTint="99"/>
          </w:tcPr>
          <w:p w:rsidR="004E3B8A" w:rsidRPr="00AB6C77" w:rsidRDefault="004E3B8A" w:rsidP="00324FD4">
            <w:pPr>
              <w:keepNext/>
              <w:keepLines/>
              <w:spacing w:after="0"/>
              <w:cnfStyle w:val="100000000000"/>
              <w:rPr>
                <w:rFonts w:ascii="Arial" w:hAnsi="Arial" w:cs="Arial"/>
                <w:bCs w:val="0"/>
                <w:color w:val="000000" w:themeColor="text1"/>
                <w:sz w:val="16"/>
                <w:szCs w:val="16"/>
              </w:rPr>
            </w:pPr>
            <w:r w:rsidRPr="00AB6C77">
              <w:rPr>
                <w:rFonts w:ascii="Arial" w:hAnsi="Arial" w:cs="Arial"/>
                <w:bCs w:val="0"/>
                <w:color w:val="000000" w:themeColor="text1"/>
                <w:sz w:val="16"/>
                <w:szCs w:val="16"/>
              </w:rPr>
              <w:t>2019</w:t>
            </w:r>
          </w:p>
        </w:tc>
      </w:tr>
      <w:tr w:rsidR="004E3B8A" w:rsidRPr="00AB6C77" w:rsidTr="00F74756">
        <w:trPr>
          <w:cnfStyle w:val="000000100000"/>
          <w:trHeight w:val="317"/>
        </w:trPr>
        <w:tc>
          <w:tcPr>
            <w:cnfStyle w:val="001000000000"/>
            <w:tcW w:w="2188" w:type="dxa"/>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Load (90/10 forecast)</w:t>
            </w:r>
          </w:p>
        </w:tc>
        <w:tc>
          <w:tcPr>
            <w:tcW w:w="810"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29,310</w:t>
            </w:r>
          </w:p>
        </w:tc>
        <w:tc>
          <w:tcPr>
            <w:tcW w:w="810"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29,835</w:t>
            </w:r>
          </w:p>
        </w:tc>
        <w:tc>
          <w:tcPr>
            <w:tcW w:w="810"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30,390</w:t>
            </w:r>
          </w:p>
        </w:tc>
        <w:tc>
          <w:tcPr>
            <w:tcW w:w="844"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30,840</w:t>
            </w:r>
          </w:p>
        </w:tc>
        <w:tc>
          <w:tcPr>
            <w:tcW w:w="748"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31,340</w:t>
            </w:r>
          </w:p>
        </w:tc>
        <w:tc>
          <w:tcPr>
            <w:tcW w:w="782"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31,810</w:t>
            </w:r>
          </w:p>
        </w:tc>
        <w:tc>
          <w:tcPr>
            <w:tcW w:w="838"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32,180</w:t>
            </w:r>
          </w:p>
        </w:tc>
        <w:tc>
          <w:tcPr>
            <w:tcW w:w="810"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32,545</w:t>
            </w:r>
          </w:p>
        </w:tc>
        <w:tc>
          <w:tcPr>
            <w:tcW w:w="810" w:type="dxa"/>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32,895</w:t>
            </w:r>
          </w:p>
        </w:tc>
        <w:tc>
          <w:tcPr>
            <w:tcW w:w="838" w:type="dxa"/>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33,225</w:t>
            </w:r>
          </w:p>
        </w:tc>
      </w:tr>
      <w:tr w:rsidR="004E3B8A" w:rsidRPr="00AB6C77" w:rsidTr="00F74756">
        <w:trPr>
          <w:cnfStyle w:val="000000010000"/>
          <w:trHeight w:val="317"/>
        </w:trPr>
        <w:tc>
          <w:tcPr>
            <w:cnfStyle w:val="001000000000"/>
            <w:tcW w:w="2188" w:type="dxa"/>
            <w:shd w:val="clear" w:color="auto" w:fill="FFFFFF" w:themeFill="background1"/>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Operating reserves</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44"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748"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782"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38"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c>
          <w:tcPr>
            <w:tcW w:w="838" w:type="dxa"/>
            <w:shd w:val="clear" w:color="auto" w:fill="FFFFFF" w:themeFill="background1"/>
            <w:tcMar>
              <w:left w:w="0" w:type="dxa"/>
              <w:right w:w="115" w:type="dxa"/>
            </w:tcMar>
          </w:tcPr>
          <w:p w:rsidR="004E3B8A" w:rsidRPr="00AB6C77" w:rsidRDefault="004E3B8A" w:rsidP="00A24ADD">
            <w:pPr>
              <w:keepNext/>
              <w:keepLines/>
              <w:tabs>
                <w:tab w:val="decimal" w:pos="636"/>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2,000</w:t>
            </w:r>
          </w:p>
        </w:tc>
      </w:tr>
      <w:tr w:rsidR="004E3B8A" w:rsidRPr="00AB6C77" w:rsidTr="00F74756">
        <w:trPr>
          <w:cnfStyle w:val="000000100000"/>
          <w:trHeight w:val="317"/>
        </w:trPr>
        <w:tc>
          <w:tcPr>
            <w:cnfStyle w:val="001000000000"/>
            <w:tcW w:w="2188" w:type="dxa"/>
            <w:shd w:val="clear" w:color="auto" w:fill="FFFFFF" w:themeFill="background1"/>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Total requirement</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31,310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31,835</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32,390</w:t>
            </w:r>
          </w:p>
        </w:tc>
        <w:tc>
          <w:tcPr>
            <w:tcW w:w="844"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32,840</w:t>
            </w:r>
          </w:p>
        </w:tc>
        <w:tc>
          <w:tcPr>
            <w:tcW w:w="748"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33,340</w:t>
            </w:r>
          </w:p>
        </w:tc>
        <w:tc>
          <w:tcPr>
            <w:tcW w:w="782"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33,810</w:t>
            </w:r>
          </w:p>
        </w:tc>
        <w:tc>
          <w:tcPr>
            <w:tcW w:w="838"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34,180</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34,545</w:t>
            </w:r>
          </w:p>
        </w:tc>
        <w:tc>
          <w:tcPr>
            <w:tcW w:w="810" w:type="dxa"/>
            <w:shd w:val="clear" w:color="auto" w:fill="FFFFFF" w:themeFill="background1"/>
            <w:noWrap/>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34,895</w:t>
            </w:r>
          </w:p>
        </w:tc>
        <w:tc>
          <w:tcPr>
            <w:tcW w:w="838" w:type="dxa"/>
            <w:shd w:val="clear" w:color="auto" w:fill="FFFFFF" w:themeFill="background1"/>
            <w:tcMar>
              <w:left w:w="0" w:type="dxa"/>
              <w:right w:w="115" w:type="dxa"/>
            </w:tcMar>
          </w:tcPr>
          <w:p w:rsidR="004E3B8A" w:rsidRPr="00AB6C77" w:rsidRDefault="004E3B8A"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35,225</w:t>
            </w:r>
          </w:p>
        </w:tc>
      </w:tr>
      <w:tr w:rsidR="004E3B8A" w:rsidRPr="00AB6C77" w:rsidTr="00F74756">
        <w:trPr>
          <w:cnfStyle w:val="000000010000"/>
          <w:trHeight w:val="317"/>
        </w:trPr>
        <w:tc>
          <w:tcPr>
            <w:cnfStyle w:val="001000000000"/>
            <w:tcW w:w="2188" w:type="dxa"/>
            <w:shd w:val="clear" w:color="auto" w:fill="FDEED1" w:themeFill="background2" w:themeFillTint="33"/>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Capacity</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31,110</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31,741</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31,965</w:t>
            </w:r>
          </w:p>
        </w:tc>
        <w:tc>
          <w:tcPr>
            <w:tcW w:w="844"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32,127</w:t>
            </w:r>
          </w:p>
        </w:tc>
        <w:tc>
          <w:tcPr>
            <w:tcW w:w="748"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32,672</w:t>
            </w:r>
          </w:p>
        </w:tc>
        <w:tc>
          <w:tcPr>
            <w:tcW w:w="782"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33,178</w:t>
            </w:r>
          </w:p>
        </w:tc>
        <w:tc>
          <w:tcPr>
            <w:tcW w:w="838"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33,604</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34,025</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34,434</w:t>
            </w:r>
          </w:p>
        </w:tc>
        <w:tc>
          <w:tcPr>
            <w:tcW w:w="838" w:type="dxa"/>
            <w:shd w:val="clear" w:color="auto" w:fill="FDEED1" w:themeFill="background2" w:themeFillTint="33"/>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34,818</w:t>
            </w:r>
          </w:p>
        </w:tc>
      </w:tr>
      <w:tr w:rsidR="004E3B8A" w:rsidRPr="00AB6C77" w:rsidTr="00F74756">
        <w:trPr>
          <w:cnfStyle w:val="000000100000"/>
          <w:trHeight w:val="317"/>
        </w:trPr>
        <w:tc>
          <w:tcPr>
            <w:cnfStyle w:val="001000000000"/>
            <w:tcW w:w="2188" w:type="dxa"/>
            <w:shd w:val="clear" w:color="auto" w:fill="FDEED1" w:themeFill="background2" w:themeFillTint="33"/>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Assumed unavailable capacity</w:t>
            </w:r>
          </w:p>
        </w:tc>
        <w:tc>
          <w:tcPr>
            <w:tcW w:w="810"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44"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748"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782"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38"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10" w:type="dxa"/>
            <w:shd w:val="clear" w:color="auto" w:fill="FDEED1" w:themeFill="background2" w:themeFillTint="33"/>
            <w:noWrap/>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c>
          <w:tcPr>
            <w:tcW w:w="838" w:type="dxa"/>
            <w:shd w:val="clear" w:color="auto" w:fill="FDEED1" w:themeFill="background2" w:themeFillTint="33"/>
            <w:tcMar>
              <w:left w:w="0" w:type="dxa"/>
              <w:right w:w="115" w:type="dxa"/>
            </w:tcMar>
          </w:tcPr>
          <w:p w:rsidR="004E3B8A" w:rsidRPr="00AB6C77" w:rsidRDefault="00027381" w:rsidP="00A24ADD">
            <w:pPr>
              <w:keepNext/>
              <w:keepLines/>
              <w:tabs>
                <w:tab w:val="decimal" w:pos="636"/>
              </w:tabs>
              <w:spacing w:after="0"/>
              <w:jc w:val="right"/>
              <w:cnfStyle w:val="000000100000"/>
              <w:rPr>
                <w:rFonts w:ascii="Arial" w:hAnsi="Arial" w:cs="Arial"/>
                <w:color w:val="000000" w:themeColor="text1"/>
                <w:sz w:val="16"/>
                <w:szCs w:val="16"/>
              </w:rPr>
            </w:pPr>
            <w:r w:rsidRPr="00AB6C77">
              <w:rPr>
                <w:rFonts w:ascii="Arial" w:hAnsi="Arial" w:cs="Arial"/>
                <w:color w:val="000000" w:themeColor="text1"/>
                <w:sz w:val="16"/>
                <w:szCs w:val="16"/>
              </w:rPr>
              <w:t>−</w:t>
            </w:r>
            <w:r w:rsidR="004E3B8A" w:rsidRPr="00AB6C77">
              <w:rPr>
                <w:rFonts w:ascii="Arial" w:hAnsi="Arial" w:cs="Arial"/>
                <w:color w:val="000000" w:themeColor="text1"/>
                <w:sz w:val="16"/>
                <w:szCs w:val="16"/>
              </w:rPr>
              <w:t>2,100</w:t>
            </w:r>
          </w:p>
        </w:tc>
      </w:tr>
      <w:tr w:rsidR="004E3B8A" w:rsidRPr="00AB6C77" w:rsidTr="00F74756">
        <w:trPr>
          <w:cnfStyle w:val="000000010000"/>
          <w:trHeight w:val="317"/>
        </w:trPr>
        <w:tc>
          <w:tcPr>
            <w:cnfStyle w:val="001000000000"/>
            <w:tcW w:w="2188" w:type="dxa"/>
            <w:shd w:val="clear" w:color="auto" w:fill="FDEED1" w:themeFill="background2" w:themeFillTint="33"/>
            <w:noWrap/>
            <w:tcMar>
              <w:left w:w="115" w:type="dxa"/>
              <w:right w:w="0" w:type="dxa"/>
            </w:tcMar>
          </w:tcPr>
          <w:p w:rsidR="004E3B8A" w:rsidRPr="00AB6C77" w:rsidRDefault="004E3B8A" w:rsidP="00324FD4">
            <w:pPr>
              <w:keepNext/>
              <w:keepLines/>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Total net capacity</w:t>
            </w:r>
            <w:r w:rsidR="00B50FA3" w:rsidRPr="00B50FA3">
              <w:rPr>
                <w:rFonts w:ascii="Arial" w:hAnsi="Arial" w:cs="Arial"/>
                <w:bCs w:val="0"/>
                <w:color w:val="000000" w:themeColor="text1"/>
                <w:sz w:val="16"/>
                <w:szCs w:val="16"/>
                <w:vertAlign w:val="superscript"/>
              </w:rPr>
              <w:t>(a)</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29,010</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29,641</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29,865</w:t>
            </w:r>
          </w:p>
        </w:tc>
        <w:tc>
          <w:tcPr>
            <w:tcW w:w="844"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30,027</w:t>
            </w:r>
          </w:p>
        </w:tc>
        <w:tc>
          <w:tcPr>
            <w:tcW w:w="748"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30,572</w:t>
            </w:r>
          </w:p>
        </w:tc>
        <w:tc>
          <w:tcPr>
            <w:tcW w:w="782"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31,078</w:t>
            </w:r>
          </w:p>
        </w:tc>
        <w:tc>
          <w:tcPr>
            <w:tcW w:w="838"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31,504</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31,925</w:t>
            </w:r>
          </w:p>
        </w:tc>
        <w:tc>
          <w:tcPr>
            <w:tcW w:w="810" w:type="dxa"/>
            <w:shd w:val="clear" w:color="auto" w:fill="FDEED1" w:themeFill="background2" w:themeFillTint="33"/>
            <w:noWrap/>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32,334</w:t>
            </w:r>
          </w:p>
        </w:tc>
        <w:tc>
          <w:tcPr>
            <w:tcW w:w="838" w:type="dxa"/>
            <w:shd w:val="clear" w:color="auto" w:fill="FDEED1" w:themeFill="background2" w:themeFillTint="33"/>
            <w:tcMar>
              <w:left w:w="0" w:type="dxa"/>
              <w:right w:w="115" w:type="dxa"/>
            </w:tcMar>
          </w:tcPr>
          <w:p w:rsidR="004E3B8A" w:rsidRPr="00AB6C77" w:rsidRDefault="004E3B8A" w:rsidP="00A24ADD">
            <w:pPr>
              <w:tabs>
                <w:tab w:val="decimal" w:pos="640"/>
              </w:tabs>
              <w:spacing w:after="0"/>
              <w:jc w:val="right"/>
              <w:cnfStyle w:val="000000010000"/>
              <w:rPr>
                <w:rFonts w:ascii="Arial" w:hAnsi="Arial" w:cs="Arial"/>
                <w:color w:val="000000" w:themeColor="text1"/>
                <w:sz w:val="16"/>
                <w:szCs w:val="16"/>
              </w:rPr>
            </w:pPr>
            <w:r w:rsidRPr="00AB6C77">
              <w:rPr>
                <w:rFonts w:ascii="Arial" w:hAnsi="Arial" w:cs="Arial"/>
                <w:color w:val="000000" w:themeColor="text1"/>
                <w:sz w:val="16"/>
                <w:szCs w:val="16"/>
              </w:rPr>
              <w:t>32,718</w:t>
            </w:r>
          </w:p>
        </w:tc>
      </w:tr>
      <w:tr w:rsidR="004E3B8A" w:rsidRPr="00AB6C77" w:rsidTr="00F74756">
        <w:trPr>
          <w:cnfStyle w:val="000000100000"/>
          <w:trHeight w:val="317"/>
        </w:trPr>
        <w:tc>
          <w:tcPr>
            <w:cnfStyle w:val="001000000000"/>
            <w:tcW w:w="2188" w:type="dxa"/>
            <w:shd w:val="clear" w:color="auto" w:fill="FBCE76" w:themeFill="background2" w:themeFillTint="99"/>
            <w:noWrap/>
            <w:tcMar>
              <w:left w:w="115" w:type="dxa"/>
              <w:right w:w="0" w:type="dxa"/>
            </w:tcMar>
          </w:tcPr>
          <w:p w:rsidR="004E3B8A" w:rsidRPr="00AB6C77" w:rsidRDefault="004E3B8A" w:rsidP="00A24ADD">
            <w:pPr>
              <w:spacing w:after="0"/>
              <w:rPr>
                <w:rFonts w:ascii="Arial" w:hAnsi="Arial" w:cs="Arial"/>
                <w:bCs w:val="0"/>
                <w:color w:val="000000" w:themeColor="text1"/>
                <w:sz w:val="16"/>
                <w:szCs w:val="16"/>
              </w:rPr>
            </w:pPr>
            <w:r w:rsidRPr="00AB6C77">
              <w:rPr>
                <w:rFonts w:ascii="Arial" w:hAnsi="Arial" w:cs="Arial"/>
                <w:bCs w:val="0"/>
                <w:color w:val="000000" w:themeColor="text1"/>
                <w:sz w:val="16"/>
                <w:szCs w:val="16"/>
              </w:rPr>
              <w:t>Operable capacity margin</w:t>
            </w:r>
            <w:r w:rsidRPr="00AB6C77">
              <w:rPr>
                <w:rFonts w:ascii="Arial" w:hAnsi="Arial" w:cs="Arial"/>
                <w:bCs w:val="0"/>
                <w:color w:val="000000" w:themeColor="text1"/>
                <w:sz w:val="16"/>
                <w:szCs w:val="16"/>
                <w:vertAlign w:val="superscript"/>
              </w:rPr>
              <w:t>(</w:t>
            </w:r>
            <w:r w:rsidR="00B50FA3">
              <w:rPr>
                <w:rFonts w:ascii="Arial" w:hAnsi="Arial" w:cs="Arial"/>
                <w:bCs w:val="0"/>
                <w:color w:val="000000" w:themeColor="text1"/>
                <w:sz w:val="16"/>
                <w:szCs w:val="16"/>
                <w:vertAlign w:val="superscript"/>
              </w:rPr>
              <w:t>b</w:t>
            </w:r>
            <w:r w:rsidRPr="00AB6C77">
              <w:rPr>
                <w:rFonts w:ascii="Arial" w:hAnsi="Arial" w:cs="Arial"/>
                <w:bCs w:val="0"/>
                <w:color w:val="000000" w:themeColor="text1"/>
                <w:sz w:val="16"/>
                <w:szCs w:val="16"/>
                <w:vertAlign w:val="superscript"/>
              </w:rPr>
              <w:t>)</w:t>
            </w:r>
          </w:p>
        </w:tc>
        <w:tc>
          <w:tcPr>
            <w:tcW w:w="810"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2,300</w:t>
            </w:r>
          </w:p>
        </w:tc>
        <w:tc>
          <w:tcPr>
            <w:tcW w:w="810"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2,194</w:t>
            </w:r>
          </w:p>
        </w:tc>
        <w:tc>
          <w:tcPr>
            <w:tcW w:w="810"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2,525</w:t>
            </w:r>
          </w:p>
        </w:tc>
        <w:tc>
          <w:tcPr>
            <w:tcW w:w="844"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2,813</w:t>
            </w:r>
          </w:p>
        </w:tc>
        <w:tc>
          <w:tcPr>
            <w:tcW w:w="748"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2,768</w:t>
            </w:r>
          </w:p>
        </w:tc>
        <w:tc>
          <w:tcPr>
            <w:tcW w:w="782"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2,732</w:t>
            </w:r>
          </w:p>
        </w:tc>
        <w:tc>
          <w:tcPr>
            <w:tcW w:w="838"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2,676</w:t>
            </w:r>
          </w:p>
        </w:tc>
        <w:tc>
          <w:tcPr>
            <w:tcW w:w="810"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2,620</w:t>
            </w:r>
          </w:p>
        </w:tc>
        <w:tc>
          <w:tcPr>
            <w:tcW w:w="810" w:type="dxa"/>
            <w:shd w:val="clear" w:color="auto" w:fill="FBCE76" w:themeFill="background2" w:themeFillTint="99"/>
            <w:noWrap/>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2,561</w:t>
            </w:r>
          </w:p>
        </w:tc>
        <w:tc>
          <w:tcPr>
            <w:tcW w:w="838" w:type="dxa"/>
            <w:shd w:val="clear" w:color="auto" w:fill="FBCE76" w:themeFill="background2" w:themeFillTint="99"/>
            <w:tcMar>
              <w:left w:w="0" w:type="dxa"/>
              <w:right w:w="115" w:type="dxa"/>
            </w:tcMar>
          </w:tcPr>
          <w:p w:rsidR="004E3B8A" w:rsidRPr="00AB6C77" w:rsidRDefault="00027381" w:rsidP="00A24ADD">
            <w:pPr>
              <w:spacing w:after="0"/>
              <w:jc w:val="right"/>
              <w:cnfStyle w:val="000000100000"/>
              <w:rPr>
                <w:rFonts w:ascii="Arial" w:hAnsi="Arial" w:cs="Arial"/>
                <w:b/>
                <w:color w:val="000000" w:themeColor="text1"/>
                <w:sz w:val="16"/>
                <w:szCs w:val="16"/>
              </w:rPr>
            </w:pPr>
            <w:r w:rsidRPr="00AB6C77">
              <w:rPr>
                <w:rFonts w:ascii="Arial" w:hAnsi="Arial" w:cs="Arial"/>
                <w:color w:val="000000" w:themeColor="text1"/>
                <w:sz w:val="16"/>
                <w:szCs w:val="16"/>
              </w:rPr>
              <w:t>−</w:t>
            </w:r>
            <w:r w:rsidR="00103A26" w:rsidRPr="00AB6C77">
              <w:rPr>
                <w:rFonts w:ascii="Arial" w:hAnsi="Arial" w:cs="Arial"/>
                <w:b/>
                <w:color w:val="000000" w:themeColor="text1"/>
                <w:sz w:val="16"/>
                <w:szCs w:val="16"/>
              </w:rPr>
              <w:t>2,507</w:t>
            </w:r>
          </w:p>
        </w:tc>
      </w:tr>
    </w:tbl>
    <w:p w:rsidR="00B50FA3" w:rsidRDefault="004E3B8A" w:rsidP="00B50FA3">
      <w:pPr>
        <w:pStyle w:val="TableNote"/>
        <w:keepLines/>
        <w:spacing w:before="120" w:after="80"/>
        <w:ind w:left="-172" w:right="806" w:hanging="274"/>
      </w:pPr>
      <w:r w:rsidRPr="00B40932">
        <w:t>(a)</w:t>
      </w:r>
      <w:r>
        <w:tab/>
      </w:r>
      <w:r w:rsidR="00B50FA3">
        <w:rPr>
          <w:rFonts w:cs="Arial"/>
          <w:szCs w:val="16"/>
        </w:rPr>
        <w:t>The net capacity values are consistent with</w:t>
      </w:r>
      <w:r w:rsidR="00B50FA3" w:rsidRPr="00B50FA3">
        <w:rPr>
          <w:rFonts w:cs="Arial"/>
          <w:szCs w:val="16"/>
        </w:rPr>
        <w:t xml:space="preserve"> </w:t>
      </w:r>
      <w:fldSimple w:instr=" REF _Ref262584696 \h  \* MERGEFORMAT ">
        <w:r w:rsidR="00E5699E" w:rsidRPr="00E5699E">
          <w:rPr>
            <w:rFonts w:cs="Arial"/>
            <w:szCs w:val="16"/>
          </w:rPr>
          <w:t>Table 4</w:t>
        </w:r>
        <w:r w:rsidR="00E5699E" w:rsidRPr="00E5699E">
          <w:rPr>
            <w:rFonts w:cs="Arial"/>
            <w:szCs w:val="16"/>
          </w:rPr>
          <w:noBreakHyphen/>
          <w:t>1</w:t>
        </w:r>
      </w:fldSimple>
      <w:r w:rsidR="00B50FA3">
        <w:rPr>
          <w:rFonts w:cs="Arial"/>
          <w:szCs w:val="16"/>
        </w:rPr>
        <w:t>.</w:t>
      </w:r>
    </w:p>
    <w:p w:rsidR="004E3B8A" w:rsidRDefault="00B50FA3" w:rsidP="00D8163E">
      <w:pPr>
        <w:pStyle w:val="TableNote"/>
        <w:keepLines/>
        <w:tabs>
          <w:tab w:val="left" w:pos="-180"/>
        </w:tabs>
        <w:spacing w:before="0" w:after="80"/>
        <w:ind w:left="-187" w:right="806" w:hanging="259"/>
      </w:pPr>
      <w:r>
        <w:t xml:space="preserve">(b)  </w:t>
      </w:r>
      <w:r w:rsidR="004E3B8A" w:rsidRPr="00B40932">
        <w:t>“Operable capacity margin” equals “total net capacity” minus “total requirement.”</w:t>
      </w:r>
    </w:p>
    <w:p w:rsidR="004E3B8A" w:rsidRDefault="004E3B8A" w:rsidP="009A7A6A">
      <w:pPr>
        <w:autoSpaceDE w:val="0"/>
        <w:autoSpaceDN w:val="0"/>
        <w:adjustRightInd w:val="0"/>
        <w:spacing w:after="0"/>
      </w:pPr>
      <w:bookmarkStart w:id="293" w:name="_Toc239157071"/>
    </w:p>
    <w:p w:rsidR="004E3B8A" w:rsidRDefault="004E3B8A" w:rsidP="004E3B8A">
      <w:r w:rsidRPr="005715CA">
        <w:t xml:space="preserve">Similarly, </w:t>
      </w:r>
      <w:r w:rsidR="00832C7A">
        <w:fldChar w:fldCharType="begin"/>
      </w:r>
      <w:r w:rsidR="009A7A6A">
        <w:instrText xml:space="preserve"> REF _Ref262657868 \h </w:instrText>
      </w:r>
      <w:r w:rsidR="00832C7A">
        <w:fldChar w:fldCharType="separate"/>
      </w:r>
      <w:r w:rsidR="00E5699E" w:rsidRPr="00135E72">
        <w:t xml:space="preserve">Figure </w:t>
      </w:r>
      <w:r w:rsidR="00E5699E">
        <w:rPr>
          <w:noProof/>
        </w:rPr>
        <w:t>4</w:t>
      </w:r>
      <w:r w:rsidR="00E5699E">
        <w:noBreakHyphen/>
      </w:r>
      <w:r w:rsidR="00E5699E">
        <w:rPr>
          <w:noProof/>
        </w:rPr>
        <w:t>2</w:t>
      </w:r>
      <w:r w:rsidR="00832C7A">
        <w:fldChar w:fldCharType="end"/>
      </w:r>
      <w:r w:rsidR="009A7A6A">
        <w:t xml:space="preserve"> </w:t>
      </w:r>
      <w:r w:rsidRPr="007E60AB">
        <w:t xml:space="preserve">and </w:t>
      </w:r>
      <w:fldSimple w:instr=" REF _Ref262590791 \h  \* MERGEFORMAT ">
        <w:r w:rsidR="00E5699E">
          <w:t>Table 4</w:t>
        </w:r>
        <w:r w:rsidR="00E5699E">
          <w:noBreakHyphen/>
          <w:t>12</w:t>
        </w:r>
      </w:fldSimple>
      <w:r w:rsidR="001C4259">
        <w:t xml:space="preserve"> </w:t>
      </w:r>
      <w:r w:rsidRPr="007E60AB">
        <w:t>show that</w:t>
      </w:r>
      <w:r w:rsidRPr="005715CA">
        <w:t xml:space="preserve"> New England could experience larger negative operable capacity ma</w:t>
      </w:r>
      <w:r>
        <w:t>rgins of approximately 2,300 MW as early as summer 2010</w:t>
      </w:r>
      <w:r w:rsidRPr="005715CA">
        <w:t xml:space="preserve"> if the 90/10 peak loads </w:t>
      </w:r>
      <w:r>
        <w:t>occurred. Thus, starting in 2010</w:t>
      </w:r>
      <w:r w:rsidRPr="005715CA">
        <w:t>, New England would need to rely on load and capacity relief from OP</w:t>
      </w:r>
      <w:r>
        <w:t> </w:t>
      </w:r>
      <w:r w:rsidRPr="005715CA">
        <w:t xml:space="preserve">4 </w:t>
      </w:r>
      <w:r w:rsidRPr="000E5185">
        <w:t>actions under the projected 90/10 peak loads. Assuming</w:t>
      </w:r>
      <w:r w:rsidRPr="005715CA">
        <w:t xml:space="preserve"> the exact amount of resources needed to meet the once-in-10-years LOLE is purchased in the FCA, this negative operable capacity margin would increase to </w:t>
      </w:r>
      <w:r>
        <w:t>approximately 2,800</w:t>
      </w:r>
      <w:r w:rsidRPr="005715CA">
        <w:t xml:space="preserve"> MW by 201</w:t>
      </w:r>
      <w:r>
        <w:t>3</w:t>
      </w:r>
      <w:r w:rsidRPr="005715CA">
        <w:t xml:space="preserve"> and then decrease to </w:t>
      </w:r>
      <w:r>
        <w:t xml:space="preserve">approximately </w:t>
      </w:r>
      <w:r w:rsidRPr="005715CA">
        <w:t>2,</w:t>
      </w:r>
      <w:r>
        <w:t>50</w:t>
      </w:r>
      <w:r w:rsidRPr="005715CA">
        <w:t>0</w:t>
      </w:r>
      <w:r>
        <w:t> MW by 2019</w:t>
      </w:r>
      <w:r w:rsidRPr="005715CA">
        <w:t>.</w:t>
      </w:r>
      <w:r w:rsidRPr="007C099B">
        <w:rPr>
          <w:rStyle w:val="FootnoteReference"/>
          <w:sz w:val="22"/>
        </w:rPr>
        <w:footnoteReference w:id="102"/>
      </w:r>
    </w:p>
    <w:p w:rsidR="00B462A6" w:rsidRDefault="004E3B8A">
      <w:pPr>
        <w:pStyle w:val="Heading3"/>
      </w:pPr>
      <w:bookmarkStart w:id="294" w:name="_Toc271632226"/>
      <w:r>
        <w:t>Observations</w:t>
      </w:r>
      <w:bookmarkEnd w:id="293"/>
      <w:bookmarkEnd w:id="294"/>
    </w:p>
    <w:p w:rsidR="004E3B8A" w:rsidRDefault="004E3B8A" w:rsidP="004E3B8A">
      <w:r w:rsidRPr="005715CA">
        <w:t>On the basis of representative net ICR values, resource</w:t>
      </w:r>
      <w:r>
        <w:t>s that cleared FCA #3 with supply obligations</w:t>
      </w:r>
      <w:r w:rsidRPr="005715CA">
        <w:t xml:space="preserve"> </w:t>
      </w:r>
      <w:r>
        <w:t>will be sufficient to</w:t>
      </w:r>
      <w:r w:rsidRPr="005715CA">
        <w:t xml:space="preserve"> meet the regional resource adequacy planning criterion </w:t>
      </w:r>
      <w:r>
        <w:t>during the 10-year study period</w:t>
      </w:r>
      <w:r w:rsidRPr="005715CA">
        <w:t xml:space="preserve">, assuming no attrition </w:t>
      </w:r>
      <w:r w:rsidR="0013626C">
        <w:t>of</w:t>
      </w:r>
      <w:r w:rsidRPr="005715CA">
        <w:t xml:space="preserve"> the existing capacity within New England</w:t>
      </w:r>
      <w:r>
        <w:t xml:space="preserve"> and new FCM resources meet their planned in-service dates.</w:t>
      </w:r>
    </w:p>
    <w:p w:rsidR="004E3B8A" w:rsidRDefault="004E3B8A" w:rsidP="004E3B8A">
      <w:r w:rsidRPr="001C324E">
        <w:t>On the basis of the deterministic systemwide operable capacity analysis and assuming</w:t>
      </w:r>
      <w:r>
        <w:t>,</w:t>
      </w:r>
      <w:r w:rsidRPr="001C324E">
        <w:t xml:space="preserve"> under the FCM, the ISO purchases the minimum amount of capacity needed to meet the once-in-10-years LOLE criterion, New England will require approximately </w:t>
      </w:r>
      <w:r>
        <w:t>2,200</w:t>
      </w:r>
      <w:r w:rsidRPr="001C324E">
        <w:t xml:space="preserve"> to </w:t>
      </w:r>
      <w:r>
        <w:t>2,</w:t>
      </w:r>
      <w:r w:rsidR="00B50FA3">
        <w:t>8</w:t>
      </w:r>
      <w:r>
        <w:t>00</w:t>
      </w:r>
      <w:r w:rsidRPr="001C324E">
        <w:t> MW of load and capacity relief from OP 4 actions</w:t>
      </w:r>
      <w:r>
        <w:t xml:space="preserve"> if </w:t>
      </w:r>
      <w:r w:rsidRPr="001C324E">
        <w:t xml:space="preserve">the 90/10 peak </w:t>
      </w:r>
      <w:r>
        <w:t>load occur</w:t>
      </w:r>
      <w:r w:rsidR="00E04725">
        <w:t>red</w:t>
      </w:r>
      <w:r>
        <w:t xml:space="preserve"> </w:t>
      </w:r>
      <w:r w:rsidRPr="001C324E">
        <w:t>during the study period.</w:t>
      </w:r>
      <w:r w:rsidRPr="007C099B">
        <w:rPr>
          <w:rStyle w:val="FootnoteReference"/>
          <w:sz w:val="22"/>
        </w:rPr>
        <w:footnoteReference w:id="103"/>
      </w:r>
      <w:r>
        <w:t xml:space="preserve"> </w:t>
      </w:r>
    </w:p>
    <w:p w:rsidR="001B3090" w:rsidRDefault="004E3B8A">
      <w:pPr>
        <w:pStyle w:val="Heading2"/>
      </w:pPr>
      <w:bookmarkStart w:id="295" w:name="_Ref231185835"/>
      <w:bookmarkStart w:id="296" w:name="_Toc239157072"/>
      <w:bookmarkStart w:id="297" w:name="_Toc271632227"/>
      <w:r w:rsidRPr="00D8263A">
        <w:t>Generating Units in the ISO Generat</w:t>
      </w:r>
      <w:r w:rsidRPr="00D50AAC">
        <w:t>or</w:t>
      </w:r>
      <w:r w:rsidRPr="00D8263A">
        <w:t xml:space="preserve"> Interconnection </w:t>
      </w:r>
      <w:r w:rsidRPr="00E17A73">
        <w:t>Queue</w:t>
      </w:r>
      <w:bookmarkEnd w:id="295"/>
      <w:bookmarkEnd w:id="296"/>
      <w:bookmarkEnd w:id="297"/>
    </w:p>
    <w:p w:rsidR="004E3B8A" w:rsidRDefault="004E3B8A" w:rsidP="003E5EA3">
      <w:pPr>
        <w:spacing w:after="360"/>
      </w:pPr>
      <w:r>
        <w:t xml:space="preserve">The interconnection requests in the ISO’s </w:t>
      </w:r>
      <w:r w:rsidRPr="00D93D8A">
        <w:t>Generator Interconnection</w:t>
      </w:r>
      <w:r>
        <w:t xml:space="preserve"> Queue reflect the region’s interest in building new generation capacity. </w:t>
      </w:r>
      <w:r w:rsidR="00832C7A">
        <w:fldChar w:fldCharType="begin"/>
      </w:r>
      <w:r w:rsidR="009A7A6A">
        <w:instrText xml:space="preserve"> REF _Ref236623017 \h </w:instrText>
      </w:r>
      <w:r w:rsidR="00832C7A">
        <w:fldChar w:fldCharType="separate"/>
      </w:r>
      <w:r w:rsidR="00E5699E" w:rsidRPr="00165D7A">
        <w:t>Figure </w:t>
      </w:r>
      <w:r w:rsidR="00E5699E">
        <w:rPr>
          <w:noProof/>
        </w:rPr>
        <w:t>4</w:t>
      </w:r>
      <w:r w:rsidR="00E5699E">
        <w:noBreakHyphen/>
      </w:r>
      <w:r w:rsidR="00E5699E">
        <w:rPr>
          <w:noProof/>
        </w:rPr>
        <w:t>3</w:t>
      </w:r>
      <w:r w:rsidR="00832C7A">
        <w:fldChar w:fldCharType="end"/>
      </w:r>
      <w:r>
        <w:t xml:space="preserve"> </w:t>
      </w:r>
      <w:r w:rsidRPr="00200BB1">
        <w:t xml:space="preserve">shows the capacity of the </w:t>
      </w:r>
      <w:r>
        <w:t>8</w:t>
      </w:r>
      <w:r w:rsidR="00CA3AFB">
        <w:t>4</w:t>
      </w:r>
      <w:r w:rsidRPr="00200BB1">
        <w:t xml:space="preserve"> active generation-interconnection requests in the queue by RSP subarea</w:t>
      </w:r>
      <w:r>
        <w:t xml:space="preserve"> as of April 1, 2010. The four areas with the m</w:t>
      </w:r>
      <w:r w:rsidRPr="00BD62DD">
        <w:t>ost proposed capacity additions are in the</w:t>
      </w:r>
      <w:r>
        <w:t xml:space="preserve"> SEMA, </w:t>
      </w:r>
      <w:r w:rsidR="00CA3AFB">
        <w:t>WMA</w:t>
      </w:r>
      <w:r>
        <w:t>, CT, and ME s</w:t>
      </w:r>
      <w:r w:rsidRPr="00BD62DD">
        <w:t xml:space="preserve">ubareas. </w:t>
      </w:r>
      <w:r w:rsidRPr="00E17A73">
        <w:t xml:space="preserve">Together, these subareas have about </w:t>
      </w:r>
      <w:r w:rsidR="00CA3AFB">
        <w:t>5,321</w:t>
      </w:r>
      <w:r w:rsidRPr="00E17A73">
        <w:t xml:space="preserve"> MW under development out of a total of </w:t>
      </w:r>
      <w:r>
        <w:t>8</w:t>
      </w:r>
      <w:r w:rsidRPr="00E17A73">
        <w:t>,</w:t>
      </w:r>
      <w:r>
        <w:t>809</w:t>
      </w:r>
      <w:r w:rsidRPr="00E17A73">
        <w:t xml:space="preserve"> MW of active projects for New England. A total of </w:t>
      </w:r>
      <w:r>
        <w:t>2</w:t>
      </w:r>
      <w:r w:rsidRPr="00E17A73">
        <w:t>,</w:t>
      </w:r>
      <w:r>
        <w:t>937 </w:t>
      </w:r>
      <w:r w:rsidRPr="00E17A73">
        <w:t>MW is proposed for the three subareas in Connecticut.</w:t>
      </w:r>
    </w:p>
    <w:p w:rsidR="006A7D26" w:rsidRDefault="006A7D26" w:rsidP="00CA7238">
      <w:pPr>
        <w:keepNext/>
        <w:keepLines/>
        <w:spacing w:after="0" w:line="240" w:lineRule="auto"/>
        <w:jc w:val="center"/>
      </w:pPr>
      <w:r w:rsidRPr="006A7D26">
        <w:rPr>
          <w:noProof/>
        </w:rPr>
        <w:drawing>
          <wp:inline distT="0" distB="0" distL="0" distR="0">
            <wp:extent cx="5970270" cy="2285824"/>
            <wp:effectExtent l="19050" t="19050" r="11430" b="19226"/>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66506" cy="2284383"/>
                    </a:xfrm>
                    <a:prstGeom prst="rect">
                      <a:avLst/>
                    </a:prstGeom>
                    <a:noFill/>
                    <a:ln w="3175">
                      <a:solidFill>
                        <a:schemeClr val="tx1"/>
                      </a:solidFill>
                      <a:miter lim="800000"/>
                      <a:headEnd/>
                      <a:tailEnd/>
                    </a:ln>
                  </pic:spPr>
                </pic:pic>
              </a:graphicData>
            </a:graphic>
          </wp:inline>
        </w:drawing>
      </w:r>
    </w:p>
    <w:p w:rsidR="004E3B8A" w:rsidRPr="00165D7A" w:rsidRDefault="004E3B8A" w:rsidP="00CA7238">
      <w:pPr>
        <w:pStyle w:val="Caption"/>
        <w:tabs>
          <w:tab w:val="left" w:pos="9720"/>
        </w:tabs>
        <w:spacing w:before="120" w:after="80"/>
        <w:ind w:left="0" w:right="-360"/>
        <w:jc w:val="left"/>
      </w:pPr>
      <w:bookmarkStart w:id="298" w:name="_Ref236623017"/>
      <w:bookmarkStart w:id="299" w:name="_Toc239157188"/>
      <w:bookmarkStart w:id="300" w:name="_Toc271552374"/>
      <w:r w:rsidRPr="00165D7A">
        <w:t>Figure </w:t>
      </w:r>
      <w:r w:rsidR="00832C7A">
        <w:fldChar w:fldCharType="begin"/>
      </w:r>
      <w:r w:rsidR="00807C8D">
        <w:instrText xml:space="preserve"> STYLEREF 1 \s </w:instrText>
      </w:r>
      <w:r w:rsidR="00832C7A">
        <w:fldChar w:fldCharType="separate"/>
      </w:r>
      <w:r w:rsidR="00E5699E">
        <w:rPr>
          <w:noProof/>
        </w:rPr>
        <w:t>4</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3</w:t>
      </w:r>
      <w:r w:rsidR="00832C7A">
        <w:fldChar w:fldCharType="end"/>
      </w:r>
      <w:bookmarkEnd w:id="298"/>
      <w:r w:rsidRPr="00165D7A">
        <w:t>: Capacity of generation-interconnection requests by RSP subarea.</w:t>
      </w:r>
      <w:bookmarkEnd w:id="299"/>
      <w:bookmarkEnd w:id="300"/>
      <w:r w:rsidRPr="00165D7A">
        <w:t xml:space="preserve"> </w:t>
      </w:r>
    </w:p>
    <w:p w:rsidR="003E5EA3" w:rsidRDefault="004E3B8A" w:rsidP="000544BD">
      <w:pPr>
        <w:pStyle w:val="TableNote"/>
        <w:keepNext w:val="0"/>
        <w:tabs>
          <w:tab w:val="left" w:pos="9720"/>
        </w:tabs>
        <w:spacing w:before="0"/>
        <w:ind w:right="-360"/>
      </w:pPr>
      <w:r w:rsidRPr="00165D7A">
        <w:rPr>
          <w:b/>
        </w:rPr>
        <w:t>Note</w:t>
      </w:r>
      <w:r w:rsidR="000870B5">
        <w:rPr>
          <w:b/>
        </w:rPr>
        <w:t>s</w:t>
      </w:r>
      <w:r w:rsidRPr="00165D7A">
        <w:rPr>
          <w:b/>
        </w:rPr>
        <w:t>:</w:t>
      </w:r>
      <w:r w:rsidRPr="00165D7A">
        <w:t xml:space="preserve"> All capacities are based on the </w:t>
      </w:r>
      <w:r w:rsidR="00D4331C" w:rsidRPr="00D4331C">
        <w:t>projects in the ISO Generator Interconnection Queue as of April</w:t>
      </w:r>
      <w:r w:rsidRPr="00165D7A">
        <w:t> 1, 20</w:t>
      </w:r>
      <w:r>
        <w:t>1</w:t>
      </w:r>
      <w:r w:rsidRPr="00165D7A">
        <w:t>0, that would interconnect with the ISO system.</w:t>
      </w:r>
      <w:r w:rsidR="000870B5">
        <w:t xml:space="preserve"> </w:t>
      </w:r>
      <w:r w:rsidR="000870B5" w:rsidRPr="001A513E">
        <w:t xml:space="preserve">Projects involving only transmission or </w:t>
      </w:r>
      <w:r w:rsidR="000870B5">
        <w:t xml:space="preserve">that </w:t>
      </w:r>
      <w:r w:rsidR="000870B5" w:rsidRPr="001A513E">
        <w:t>did not increase an existing generator’s capacity were excluded.</w:t>
      </w:r>
      <w:r w:rsidR="000870B5">
        <w:t xml:space="preserve"> Projects with more than one listing in the queue, representing different interconnection configurations, were only counted once.</w:t>
      </w:r>
    </w:p>
    <w:p w:rsidR="00CA7238" w:rsidRDefault="004E3B8A" w:rsidP="00CA7238">
      <w:r w:rsidRPr="00540DE0">
        <w:t xml:space="preserve">A summary of the projects </w:t>
      </w:r>
      <w:r w:rsidRPr="004D4E55">
        <w:t xml:space="preserve">in the queue as of </w:t>
      </w:r>
      <w:r w:rsidR="00821C68" w:rsidRPr="004D4E55">
        <w:t>April 1, 2010</w:t>
      </w:r>
      <w:r w:rsidR="00E04725" w:rsidRPr="004D4E55">
        <w:t>,</w:t>
      </w:r>
      <w:r w:rsidRPr="004D4E55">
        <w:t xml:space="preserve"> is shown in </w:t>
      </w:r>
      <w:fldSimple w:instr=" REF _Ref230869353 \h  \* MERGEFORMAT ">
        <w:r w:rsidR="00E5699E">
          <w:t>Table 4</w:t>
        </w:r>
        <w:r w:rsidR="00E5699E">
          <w:noBreakHyphen/>
          <w:t>13</w:t>
        </w:r>
      </w:fldSimple>
      <w:r w:rsidRPr="004D4E55">
        <w:t>. Since the first publication of the Generator Interconnection Queue in November 1997, 6</w:t>
      </w:r>
      <w:r w:rsidR="000F6CA2" w:rsidRPr="004D4E55">
        <w:t>4</w:t>
      </w:r>
      <w:r w:rsidRPr="004D4E55">
        <w:t> generating projects (12,871</w:t>
      </w:r>
      <w:r w:rsidR="00FA41D3">
        <w:t> </w:t>
      </w:r>
      <w:r w:rsidRPr="004D4E55">
        <w:t>MW) out of 3</w:t>
      </w:r>
      <w:r w:rsidR="000F6CA2" w:rsidRPr="004D4E55">
        <w:t>00</w:t>
      </w:r>
      <w:r w:rsidRPr="004D4E55">
        <w:t xml:space="preserve"> total generator applications (totaling 6</w:t>
      </w:r>
      <w:r w:rsidR="000F6CA2" w:rsidRPr="004D4E55">
        <w:t>7,147</w:t>
      </w:r>
      <w:r w:rsidRPr="004D4E55">
        <w:t xml:space="preserve"> MW) have become commercial.</w:t>
      </w:r>
      <w:r w:rsidRPr="004D4E55">
        <w:rPr>
          <w:rStyle w:val="FootnoteReference"/>
          <w:sz w:val="22"/>
        </w:rPr>
        <w:footnoteReference w:id="104"/>
      </w:r>
      <w:r w:rsidRPr="004D4E55">
        <w:t xml:space="preserve"> Since the queue’s inception, proposed projects totaling approximately 4</w:t>
      </w:r>
      <w:r w:rsidR="000F6CA2" w:rsidRPr="004D4E55">
        <w:t>5</w:t>
      </w:r>
      <w:r w:rsidRPr="004D4E55">
        <w:t>,</w:t>
      </w:r>
      <w:r w:rsidR="000F6CA2" w:rsidRPr="004D4E55">
        <w:t>467</w:t>
      </w:r>
      <w:r w:rsidRPr="004D4E55">
        <w:t> MW have been withdrawn, reflecting a megawatt attrition rate of 68%. The 8</w:t>
      </w:r>
      <w:r w:rsidR="000E34CD" w:rsidRPr="004D4E55">
        <w:t>4</w:t>
      </w:r>
      <w:r w:rsidRPr="004D4E55">
        <w:t xml:space="preserve"> active projects in the queue total 8,809 MW. </w:t>
      </w:r>
      <w:fldSimple w:instr=" REF _Ref235272106 \h  \* MERGEFORMAT ">
        <w:r w:rsidR="00E5699E" w:rsidRPr="009E0B7B">
          <w:t xml:space="preserve">Figure </w:t>
        </w:r>
        <w:r w:rsidR="00E5699E">
          <w:rPr>
            <w:noProof/>
          </w:rPr>
          <w:t>4</w:t>
        </w:r>
        <w:r w:rsidR="00E5699E">
          <w:rPr>
            <w:noProof/>
          </w:rPr>
          <w:noBreakHyphen/>
          <w:t>4</w:t>
        </w:r>
      </w:fldSimple>
      <w:r w:rsidRPr="004D4E55">
        <w:t xml:space="preserve"> shows the resources in the ISO Generator Interconnection Queue, by state and fuel type, as of </w:t>
      </w:r>
      <w:r w:rsidR="00821C68" w:rsidRPr="004D4E55">
        <w:t>April 1, 2010</w:t>
      </w:r>
      <w:r w:rsidRPr="004D4E55">
        <w:t>.</w:t>
      </w:r>
    </w:p>
    <w:p w:rsidR="004E3B8A" w:rsidRDefault="004E3B8A" w:rsidP="004E3B8A">
      <w:pPr>
        <w:pStyle w:val="Caption"/>
      </w:pPr>
      <w:bookmarkStart w:id="301" w:name="_Ref230869353"/>
      <w:bookmarkStart w:id="302" w:name="_Toc239157227"/>
      <w:bookmarkStart w:id="303" w:name="_Toc271552414"/>
      <w:r>
        <w:t>Table </w:t>
      </w:r>
      <w:r w:rsidR="00832C7A">
        <w:fldChar w:fldCharType="begin"/>
      </w:r>
      <w:r w:rsidR="00B2406F">
        <w:instrText xml:space="preserve"> STYLEREF 1 \s </w:instrText>
      </w:r>
      <w:r w:rsidR="00832C7A">
        <w:fldChar w:fldCharType="separate"/>
      </w:r>
      <w:r w:rsidR="00E5699E">
        <w:rPr>
          <w:noProof/>
        </w:rPr>
        <w:t>4</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13</w:t>
      </w:r>
      <w:r w:rsidR="00832C7A">
        <w:fldChar w:fldCharType="end"/>
      </w:r>
      <w:bookmarkEnd w:id="301"/>
      <w:r w:rsidRPr="00621CD2">
        <w:br/>
      </w:r>
      <w:r w:rsidRPr="00540DE0">
        <w:t xml:space="preserve">Summary of Queue Projects as of </w:t>
      </w:r>
      <w:bookmarkEnd w:id="302"/>
      <w:r>
        <w:t>April 1, 2010</w:t>
      </w:r>
      <w:bookmarkEnd w:id="303"/>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right w:w="288" w:type="dxa"/>
        </w:tblCellMar>
        <w:tblLook w:val="04A0"/>
      </w:tblPr>
      <w:tblGrid>
        <w:gridCol w:w="2112"/>
        <w:gridCol w:w="1318"/>
        <w:gridCol w:w="1765"/>
      </w:tblGrid>
      <w:tr w:rsidR="004E3B8A" w:rsidRPr="006C53AD" w:rsidTr="00230AB7">
        <w:trPr>
          <w:cnfStyle w:val="100000000000"/>
          <w:trHeight w:val="432"/>
        </w:trPr>
        <w:tc>
          <w:tcPr>
            <w:cnfStyle w:val="001000000100"/>
            <w:tcW w:w="2112" w:type="dxa"/>
            <w:shd w:val="clear" w:color="auto" w:fill="FBCE76" w:themeFill="background2" w:themeFillTint="99"/>
          </w:tcPr>
          <w:p w:rsidR="006B57F7" w:rsidRDefault="004E3B8A">
            <w:pPr>
              <w:keepNext/>
              <w:keepLines/>
              <w:spacing w:after="0"/>
              <w:jc w:val="center"/>
              <w:rPr>
                <w:rFonts w:ascii="Arial" w:eastAsia="Times New Roman" w:hAnsi="Arial" w:cs="Arial"/>
                <w:b w:val="0"/>
                <w:bCs w:val="0"/>
                <w:iCs/>
                <w:color w:val="000000" w:themeColor="text1"/>
                <w:sz w:val="18"/>
                <w:szCs w:val="18"/>
              </w:rPr>
            </w:pPr>
            <w:r w:rsidRPr="006C53AD">
              <w:rPr>
                <w:rFonts w:ascii="Arial" w:hAnsi="Arial" w:cs="Arial"/>
                <w:color w:val="000000" w:themeColor="text1"/>
                <w:sz w:val="18"/>
                <w:szCs w:val="18"/>
              </w:rPr>
              <w:t>Category of Projects</w:t>
            </w:r>
          </w:p>
        </w:tc>
        <w:tc>
          <w:tcPr>
            <w:tcW w:w="1318" w:type="dxa"/>
            <w:shd w:val="clear" w:color="auto" w:fill="FBCE76" w:themeFill="background2" w:themeFillTint="99"/>
            <w:tcMar>
              <w:left w:w="101" w:type="dxa"/>
              <w:right w:w="115" w:type="dxa"/>
            </w:tcMar>
          </w:tcPr>
          <w:p w:rsidR="006B57F7" w:rsidRDefault="004E3B8A" w:rsidP="002D2B58">
            <w:pPr>
              <w:keepNext/>
              <w:keepLines/>
              <w:spacing w:after="0"/>
              <w:cnfStyle w:val="100000000000"/>
              <w:rPr>
                <w:rFonts w:ascii="Arial" w:eastAsia="Times New Roman" w:hAnsi="Arial" w:cs="Arial"/>
                <w:b w:val="0"/>
                <w:bCs w:val="0"/>
                <w:iCs/>
                <w:color w:val="000000" w:themeColor="text1"/>
                <w:sz w:val="18"/>
                <w:szCs w:val="18"/>
              </w:rPr>
            </w:pPr>
            <w:r w:rsidRPr="006C53AD">
              <w:rPr>
                <w:rFonts w:ascii="Arial" w:hAnsi="Arial" w:cs="Arial"/>
                <w:color w:val="000000" w:themeColor="text1"/>
                <w:sz w:val="18"/>
                <w:szCs w:val="18"/>
              </w:rPr>
              <w:t>Projects</w:t>
            </w:r>
          </w:p>
        </w:tc>
        <w:tc>
          <w:tcPr>
            <w:tcW w:w="1693" w:type="dxa"/>
            <w:shd w:val="clear" w:color="auto" w:fill="FBCE76" w:themeFill="background2" w:themeFillTint="99"/>
            <w:tcMar>
              <w:left w:w="101" w:type="dxa"/>
              <w:right w:w="115" w:type="dxa"/>
            </w:tcMar>
          </w:tcPr>
          <w:p w:rsidR="006B57F7" w:rsidRDefault="004E3B8A" w:rsidP="00230AB7">
            <w:pPr>
              <w:keepNext/>
              <w:keepLines/>
              <w:spacing w:after="0"/>
              <w:cnfStyle w:val="100000000000"/>
              <w:rPr>
                <w:rFonts w:ascii="Arial" w:eastAsia="Times New Roman" w:hAnsi="Arial" w:cs="Arial"/>
                <w:b w:val="0"/>
                <w:bCs w:val="0"/>
                <w:iCs/>
                <w:color w:val="000000" w:themeColor="text1"/>
                <w:sz w:val="18"/>
                <w:szCs w:val="18"/>
              </w:rPr>
            </w:pPr>
            <w:r w:rsidRPr="006C53AD">
              <w:rPr>
                <w:rFonts w:ascii="Arial" w:hAnsi="Arial" w:cs="Arial"/>
                <w:color w:val="000000" w:themeColor="text1"/>
                <w:sz w:val="18"/>
                <w:szCs w:val="18"/>
              </w:rPr>
              <w:t>Total</w:t>
            </w:r>
            <w:r w:rsidR="00230AB7">
              <w:rPr>
                <w:rFonts w:ascii="Arial" w:hAnsi="Arial" w:cs="Arial"/>
                <w:color w:val="000000" w:themeColor="text1"/>
                <w:sz w:val="18"/>
                <w:szCs w:val="18"/>
              </w:rPr>
              <w:t xml:space="preserve"> </w:t>
            </w:r>
            <w:r w:rsidRPr="006C53AD">
              <w:rPr>
                <w:rFonts w:ascii="Arial" w:hAnsi="Arial" w:cs="Arial"/>
                <w:color w:val="000000" w:themeColor="text1"/>
                <w:sz w:val="18"/>
                <w:szCs w:val="18"/>
              </w:rPr>
              <w:t>Capacity (MW)</w:t>
            </w:r>
          </w:p>
        </w:tc>
      </w:tr>
      <w:tr w:rsidR="004E3B8A" w:rsidRPr="006C53AD" w:rsidTr="00230AB7">
        <w:trPr>
          <w:cnfStyle w:val="000000100000"/>
          <w:trHeight w:val="432"/>
        </w:trPr>
        <w:tc>
          <w:tcPr>
            <w:cnfStyle w:val="001000000000"/>
            <w:tcW w:w="2112" w:type="dxa"/>
          </w:tcPr>
          <w:p w:rsidR="00EF64AC" w:rsidRDefault="004E3B8A">
            <w:pPr>
              <w:keepNext/>
              <w:keepLines/>
              <w:spacing w:after="0"/>
              <w:rPr>
                <w:rFonts w:ascii="Arial" w:hAnsi="Arial" w:cs="Arial"/>
                <w:b w:val="0"/>
                <w:bCs w:val="0"/>
                <w:color w:val="000000" w:themeColor="text1"/>
                <w:sz w:val="18"/>
                <w:szCs w:val="18"/>
              </w:rPr>
            </w:pPr>
            <w:r w:rsidRPr="006C53AD">
              <w:rPr>
                <w:rFonts w:ascii="Arial" w:hAnsi="Arial" w:cs="Arial"/>
                <w:color w:val="000000" w:themeColor="text1"/>
                <w:sz w:val="18"/>
                <w:szCs w:val="18"/>
              </w:rPr>
              <w:t>Commercial</w:t>
            </w:r>
          </w:p>
        </w:tc>
        <w:tc>
          <w:tcPr>
            <w:tcW w:w="1318" w:type="dxa"/>
            <w:tcMar>
              <w:right w:w="360" w:type="dxa"/>
            </w:tcMar>
          </w:tcPr>
          <w:p w:rsidR="006B57F7" w:rsidRDefault="004E3B8A">
            <w:pPr>
              <w:keepNext/>
              <w:keepLines/>
              <w:tabs>
                <w:tab w:val="decimal" w:pos="840"/>
              </w:tabs>
              <w:spacing w:after="0"/>
              <w:jc w:val="right"/>
              <w:cnfStyle w:val="000000100000"/>
              <w:rPr>
                <w:rFonts w:ascii="Arial" w:hAnsi="Arial" w:cs="Arial"/>
                <w:color w:val="000000" w:themeColor="text1"/>
                <w:sz w:val="18"/>
                <w:szCs w:val="18"/>
              </w:rPr>
            </w:pPr>
            <w:r w:rsidRPr="00262C05">
              <w:rPr>
                <w:rFonts w:ascii="Arial" w:hAnsi="Arial" w:cs="Arial"/>
                <w:color w:val="000000" w:themeColor="text1"/>
                <w:sz w:val="18"/>
                <w:szCs w:val="18"/>
              </w:rPr>
              <w:t>6</w:t>
            </w:r>
            <w:r w:rsidR="000F6CA2">
              <w:rPr>
                <w:rFonts w:ascii="Arial" w:hAnsi="Arial" w:cs="Arial"/>
                <w:color w:val="000000" w:themeColor="text1"/>
                <w:sz w:val="18"/>
                <w:szCs w:val="18"/>
              </w:rPr>
              <w:t>4</w:t>
            </w:r>
          </w:p>
        </w:tc>
        <w:tc>
          <w:tcPr>
            <w:tcW w:w="1693" w:type="dxa"/>
            <w:tcMar>
              <w:right w:w="360" w:type="dxa"/>
            </w:tcMar>
          </w:tcPr>
          <w:p w:rsidR="006B57F7" w:rsidRDefault="004E3B8A">
            <w:pPr>
              <w:keepNext/>
              <w:keepLines/>
              <w:tabs>
                <w:tab w:val="decimal" w:pos="1346"/>
              </w:tabs>
              <w:spacing w:after="0"/>
              <w:jc w:val="right"/>
              <w:cnfStyle w:val="000000100000"/>
              <w:rPr>
                <w:rFonts w:ascii="Arial" w:hAnsi="Arial" w:cs="Arial"/>
                <w:color w:val="000000" w:themeColor="text1"/>
                <w:sz w:val="18"/>
                <w:szCs w:val="18"/>
              </w:rPr>
            </w:pPr>
            <w:r w:rsidRPr="00262C05">
              <w:rPr>
                <w:rFonts w:ascii="Arial" w:hAnsi="Arial" w:cs="Arial"/>
                <w:color w:val="000000" w:themeColor="text1"/>
                <w:sz w:val="18"/>
                <w:szCs w:val="18"/>
              </w:rPr>
              <w:t>12,871</w:t>
            </w:r>
          </w:p>
        </w:tc>
      </w:tr>
      <w:tr w:rsidR="004E3B8A" w:rsidRPr="006C53AD" w:rsidTr="00230AB7">
        <w:trPr>
          <w:cnfStyle w:val="000000010000"/>
          <w:trHeight w:val="432"/>
        </w:trPr>
        <w:tc>
          <w:tcPr>
            <w:cnfStyle w:val="001000000000"/>
            <w:tcW w:w="2112" w:type="dxa"/>
            <w:shd w:val="clear" w:color="auto" w:fill="FDEED1" w:themeFill="background2" w:themeFillTint="33"/>
          </w:tcPr>
          <w:p w:rsidR="00EF64AC" w:rsidRDefault="004E3B8A">
            <w:pPr>
              <w:keepNext/>
              <w:keepLines/>
              <w:spacing w:after="0"/>
              <w:rPr>
                <w:rFonts w:ascii="Arial" w:hAnsi="Arial" w:cs="Arial"/>
                <w:b w:val="0"/>
                <w:bCs w:val="0"/>
                <w:color w:val="000000" w:themeColor="text1"/>
                <w:sz w:val="18"/>
                <w:szCs w:val="18"/>
              </w:rPr>
            </w:pPr>
            <w:r w:rsidRPr="006C53AD">
              <w:rPr>
                <w:rFonts w:ascii="Arial" w:hAnsi="Arial" w:cs="Arial"/>
                <w:color w:val="000000" w:themeColor="text1"/>
                <w:sz w:val="18"/>
                <w:szCs w:val="18"/>
              </w:rPr>
              <w:t>Active</w:t>
            </w:r>
          </w:p>
        </w:tc>
        <w:tc>
          <w:tcPr>
            <w:tcW w:w="1318" w:type="dxa"/>
            <w:shd w:val="clear" w:color="auto" w:fill="FDEED1" w:themeFill="background2" w:themeFillTint="33"/>
            <w:tcMar>
              <w:right w:w="360" w:type="dxa"/>
            </w:tcMar>
          </w:tcPr>
          <w:p w:rsidR="006B57F7" w:rsidRDefault="004E3B8A">
            <w:pPr>
              <w:keepNext/>
              <w:keepLines/>
              <w:tabs>
                <w:tab w:val="decimal" w:pos="840"/>
              </w:tabs>
              <w:spacing w:after="0"/>
              <w:jc w:val="right"/>
              <w:cnfStyle w:val="000000010000"/>
              <w:rPr>
                <w:rFonts w:ascii="Arial" w:hAnsi="Arial" w:cs="Arial"/>
                <w:color w:val="000000" w:themeColor="text1"/>
                <w:sz w:val="18"/>
                <w:szCs w:val="18"/>
              </w:rPr>
            </w:pPr>
            <w:r w:rsidRPr="00262C05">
              <w:rPr>
                <w:rFonts w:ascii="Arial" w:hAnsi="Arial" w:cs="Arial"/>
                <w:color w:val="000000" w:themeColor="text1"/>
                <w:sz w:val="18"/>
                <w:szCs w:val="18"/>
              </w:rPr>
              <w:t>8</w:t>
            </w:r>
            <w:r w:rsidR="000F6CA2">
              <w:rPr>
                <w:rFonts w:ascii="Arial" w:hAnsi="Arial" w:cs="Arial"/>
                <w:color w:val="000000" w:themeColor="text1"/>
                <w:sz w:val="18"/>
                <w:szCs w:val="18"/>
              </w:rPr>
              <w:t>4</w:t>
            </w:r>
          </w:p>
        </w:tc>
        <w:tc>
          <w:tcPr>
            <w:tcW w:w="1693" w:type="dxa"/>
            <w:shd w:val="clear" w:color="auto" w:fill="FDEED1" w:themeFill="background2" w:themeFillTint="33"/>
            <w:tcMar>
              <w:right w:w="360" w:type="dxa"/>
            </w:tcMar>
          </w:tcPr>
          <w:p w:rsidR="006B57F7" w:rsidRDefault="004E3B8A">
            <w:pPr>
              <w:keepNext/>
              <w:keepLines/>
              <w:tabs>
                <w:tab w:val="decimal" w:pos="1346"/>
              </w:tabs>
              <w:spacing w:after="0"/>
              <w:jc w:val="right"/>
              <w:cnfStyle w:val="000000010000"/>
              <w:rPr>
                <w:rFonts w:ascii="Arial" w:hAnsi="Arial" w:cs="Arial"/>
                <w:color w:val="000000" w:themeColor="text1"/>
                <w:sz w:val="18"/>
                <w:szCs w:val="18"/>
              </w:rPr>
            </w:pPr>
            <w:r w:rsidRPr="00262C05">
              <w:rPr>
                <w:rFonts w:ascii="Arial" w:hAnsi="Arial" w:cs="Arial"/>
                <w:color w:val="000000" w:themeColor="text1"/>
                <w:sz w:val="18"/>
                <w:szCs w:val="18"/>
              </w:rPr>
              <w:t>8,809</w:t>
            </w:r>
          </w:p>
        </w:tc>
      </w:tr>
      <w:tr w:rsidR="004E3B8A" w:rsidRPr="006C53AD" w:rsidTr="00230AB7">
        <w:trPr>
          <w:cnfStyle w:val="000000100000"/>
          <w:trHeight w:val="432"/>
        </w:trPr>
        <w:tc>
          <w:tcPr>
            <w:cnfStyle w:val="001000000000"/>
            <w:tcW w:w="2112" w:type="dxa"/>
          </w:tcPr>
          <w:p w:rsidR="00EF64AC" w:rsidRDefault="004E3B8A">
            <w:pPr>
              <w:keepNext/>
              <w:keepLines/>
              <w:spacing w:after="0"/>
              <w:rPr>
                <w:rFonts w:ascii="Arial" w:hAnsi="Arial" w:cs="Arial"/>
                <w:b w:val="0"/>
                <w:bCs w:val="0"/>
                <w:color w:val="000000" w:themeColor="text1"/>
                <w:sz w:val="18"/>
                <w:szCs w:val="18"/>
              </w:rPr>
            </w:pPr>
            <w:r w:rsidRPr="006C53AD">
              <w:rPr>
                <w:rFonts w:ascii="Arial" w:hAnsi="Arial" w:cs="Arial"/>
                <w:color w:val="000000" w:themeColor="text1"/>
                <w:sz w:val="18"/>
                <w:szCs w:val="18"/>
              </w:rPr>
              <w:t>Withdrawn</w:t>
            </w:r>
          </w:p>
        </w:tc>
        <w:tc>
          <w:tcPr>
            <w:tcW w:w="1318" w:type="dxa"/>
            <w:tcMar>
              <w:right w:w="360" w:type="dxa"/>
            </w:tcMar>
          </w:tcPr>
          <w:p w:rsidR="006B57F7" w:rsidRDefault="004E3B8A">
            <w:pPr>
              <w:keepNext/>
              <w:keepLines/>
              <w:tabs>
                <w:tab w:val="decimal" w:pos="840"/>
              </w:tabs>
              <w:spacing w:after="0"/>
              <w:jc w:val="right"/>
              <w:cnfStyle w:val="000000100000"/>
              <w:rPr>
                <w:rFonts w:ascii="Arial" w:hAnsi="Arial" w:cs="Arial"/>
                <w:color w:val="000000" w:themeColor="text1"/>
                <w:sz w:val="18"/>
                <w:szCs w:val="18"/>
              </w:rPr>
            </w:pPr>
            <w:r w:rsidRPr="00262C05">
              <w:rPr>
                <w:rFonts w:ascii="Arial" w:hAnsi="Arial" w:cs="Arial"/>
                <w:color w:val="000000" w:themeColor="text1"/>
                <w:sz w:val="18"/>
                <w:szCs w:val="18"/>
              </w:rPr>
              <w:t>15</w:t>
            </w:r>
            <w:r w:rsidR="000F6CA2">
              <w:rPr>
                <w:rFonts w:ascii="Arial" w:hAnsi="Arial" w:cs="Arial"/>
                <w:color w:val="000000" w:themeColor="text1"/>
                <w:sz w:val="18"/>
                <w:szCs w:val="18"/>
              </w:rPr>
              <w:t>2</w:t>
            </w:r>
          </w:p>
        </w:tc>
        <w:tc>
          <w:tcPr>
            <w:tcW w:w="1693" w:type="dxa"/>
            <w:tcMar>
              <w:right w:w="360" w:type="dxa"/>
            </w:tcMar>
          </w:tcPr>
          <w:p w:rsidR="006B57F7" w:rsidRDefault="004E3B8A">
            <w:pPr>
              <w:keepNext/>
              <w:keepLines/>
              <w:tabs>
                <w:tab w:val="decimal" w:pos="1346"/>
              </w:tabs>
              <w:spacing w:after="0"/>
              <w:jc w:val="right"/>
              <w:cnfStyle w:val="000000100000"/>
              <w:rPr>
                <w:rFonts w:ascii="Arial" w:hAnsi="Arial" w:cs="Arial"/>
                <w:color w:val="000000" w:themeColor="text1"/>
                <w:sz w:val="18"/>
                <w:szCs w:val="18"/>
              </w:rPr>
            </w:pPr>
            <w:r w:rsidRPr="00262C05">
              <w:rPr>
                <w:rFonts w:ascii="Arial" w:hAnsi="Arial" w:cs="Arial"/>
                <w:color w:val="000000" w:themeColor="text1"/>
                <w:sz w:val="18"/>
                <w:szCs w:val="18"/>
              </w:rPr>
              <w:t>4</w:t>
            </w:r>
            <w:r w:rsidR="000F6CA2">
              <w:rPr>
                <w:rFonts w:ascii="Arial" w:hAnsi="Arial" w:cs="Arial"/>
                <w:color w:val="000000" w:themeColor="text1"/>
                <w:sz w:val="18"/>
                <w:szCs w:val="18"/>
              </w:rPr>
              <w:t>5</w:t>
            </w:r>
            <w:r w:rsidRPr="00262C05">
              <w:rPr>
                <w:rFonts w:ascii="Arial" w:hAnsi="Arial" w:cs="Arial"/>
                <w:color w:val="000000" w:themeColor="text1"/>
                <w:sz w:val="18"/>
                <w:szCs w:val="18"/>
              </w:rPr>
              <w:t>,</w:t>
            </w:r>
            <w:r w:rsidR="000F6CA2">
              <w:rPr>
                <w:rFonts w:ascii="Arial" w:hAnsi="Arial" w:cs="Arial"/>
                <w:color w:val="000000" w:themeColor="text1"/>
                <w:sz w:val="18"/>
                <w:szCs w:val="18"/>
              </w:rPr>
              <w:t>467</w:t>
            </w:r>
          </w:p>
        </w:tc>
      </w:tr>
      <w:tr w:rsidR="004E3B8A" w:rsidRPr="006C53AD" w:rsidTr="00230AB7">
        <w:trPr>
          <w:cnfStyle w:val="000000010000"/>
          <w:trHeight w:val="432"/>
        </w:trPr>
        <w:tc>
          <w:tcPr>
            <w:cnfStyle w:val="001000000000"/>
            <w:tcW w:w="2112" w:type="dxa"/>
            <w:shd w:val="clear" w:color="auto" w:fill="FBCE76" w:themeFill="background2" w:themeFillTint="99"/>
          </w:tcPr>
          <w:p w:rsidR="00EF64AC" w:rsidRDefault="004E3B8A">
            <w:pPr>
              <w:spacing w:after="0"/>
              <w:rPr>
                <w:rFonts w:ascii="Arial" w:hAnsi="Arial" w:cs="Arial"/>
                <w:b w:val="0"/>
                <w:bCs w:val="0"/>
                <w:color w:val="000000" w:themeColor="text1"/>
                <w:sz w:val="18"/>
                <w:szCs w:val="18"/>
              </w:rPr>
            </w:pPr>
            <w:r w:rsidRPr="006C53AD">
              <w:rPr>
                <w:rFonts w:ascii="Arial" w:hAnsi="Arial" w:cs="Arial"/>
                <w:color w:val="000000" w:themeColor="text1"/>
                <w:sz w:val="18"/>
                <w:szCs w:val="18"/>
              </w:rPr>
              <w:t>Total</w:t>
            </w:r>
          </w:p>
        </w:tc>
        <w:tc>
          <w:tcPr>
            <w:tcW w:w="1318" w:type="dxa"/>
            <w:shd w:val="clear" w:color="auto" w:fill="FBCE76" w:themeFill="background2" w:themeFillTint="99"/>
            <w:tcMar>
              <w:right w:w="360" w:type="dxa"/>
            </w:tcMar>
          </w:tcPr>
          <w:p w:rsidR="006B57F7" w:rsidRDefault="00E904AF">
            <w:pPr>
              <w:spacing w:after="0"/>
              <w:jc w:val="right"/>
              <w:cnfStyle w:val="000000010000"/>
              <w:rPr>
                <w:rFonts w:ascii="Arial" w:hAnsi="Arial" w:cs="Arial"/>
                <w:color w:val="000000" w:themeColor="text1"/>
                <w:sz w:val="18"/>
                <w:szCs w:val="18"/>
              </w:rPr>
            </w:pPr>
            <w:r w:rsidRPr="00E904AF">
              <w:rPr>
                <w:rFonts w:ascii="Arial" w:hAnsi="Arial" w:cs="Arial"/>
                <w:color w:val="000000" w:themeColor="text1"/>
                <w:sz w:val="18"/>
                <w:szCs w:val="18"/>
              </w:rPr>
              <w:t>3</w:t>
            </w:r>
            <w:r w:rsidR="000F6CA2">
              <w:rPr>
                <w:rFonts w:ascii="Arial" w:hAnsi="Arial" w:cs="Arial"/>
                <w:color w:val="000000" w:themeColor="text1"/>
                <w:sz w:val="18"/>
                <w:szCs w:val="18"/>
              </w:rPr>
              <w:t>00</w:t>
            </w:r>
          </w:p>
        </w:tc>
        <w:tc>
          <w:tcPr>
            <w:tcW w:w="1693" w:type="dxa"/>
            <w:shd w:val="clear" w:color="auto" w:fill="FBCE76" w:themeFill="background2" w:themeFillTint="99"/>
            <w:tcMar>
              <w:right w:w="360" w:type="dxa"/>
            </w:tcMar>
          </w:tcPr>
          <w:p w:rsidR="006B57F7" w:rsidRDefault="004E3B8A">
            <w:pPr>
              <w:spacing w:after="0"/>
              <w:jc w:val="right"/>
              <w:cnfStyle w:val="000000010000"/>
              <w:rPr>
                <w:rFonts w:ascii="Arial" w:hAnsi="Arial" w:cs="Arial"/>
                <w:color w:val="000000" w:themeColor="text1"/>
                <w:sz w:val="18"/>
                <w:szCs w:val="18"/>
              </w:rPr>
            </w:pPr>
            <w:r w:rsidRPr="006C53AD">
              <w:rPr>
                <w:rFonts w:ascii="Arial" w:hAnsi="Arial" w:cs="Arial"/>
                <w:color w:val="000000" w:themeColor="text1"/>
                <w:sz w:val="18"/>
                <w:szCs w:val="18"/>
              </w:rPr>
              <w:t>6</w:t>
            </w:r>
            <w:r w:rsidR="000F6CA2">
              <w:rPr>
                <w:rFonts w:ascii="Arial" w:hAnsi="Arial" w:cs="Arial"/>
                <w:color w:val="000000" w:themeColor="text1"/>
                <w:sz w:val="18"/>
                <w:szCs w:val="18"/>
              </w:rPr>
              <w:t>7,147</w:t>
            </w:r>
          </w:p>
        </w:tc>
      </w:tr>
    </w:tbl>
    <w:p w:rsidR="004E3B8A" w:rsidRDefault="004E3B8A" w:rsidP="004E3B8A">
      <w:bookmarkStart w:id="304" w:name="_Ref230869634"/>
    </w:p>
    <w:p w:rsidR="009716C7" w:rsidRDefault="009716C7" w:rsidP="009716C7">
      <w:pPr>
        <w:spacing w:after="0" w:line="240" w:lineRule="auto"/>
        <w:jc w:val="center"/>
      </w:pPr>
      <w:r w:rsidRPr="009716C7">
        <w:rPr>
          <w:noProof/>
        </w:rPr>
        <w:drawing>
          <wp:inline distT="0" distB="0" distL="0" distR="0">
            <wp:extent cx="5943600" cy="2617955"/>
            <wp:effectExtent l="19050" t="19050" r="19050" b="1094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2617955"/>
                    </a:xfrm>
                    <a:prstGeom prst="rect">
                      <a:avLst/>
                    </a:prstGeom>
                    <a:noFill/>
                    <a:ln w="3175">
                      <a:solidFill>
                        <a:schemeClr val="tx1"/>
                      </a:solidFill>
                      <a:miter lim="800000"/>
                      <a:headEnd/>
                      <a:tailEnd/>
                    </a:ln>
                  </pic:spPr>
                </pic:pic>
              </a:graphicData>
            </a:graphic>
          </wp:inline>
        </w:drawing>
      </w:r>
    </w:p>
    <w:p w:rsidR="004E3B8A" w:rsidRPr="009E0B7B" w:rsidRDefault="009E0B7B" w:rsidP="001F2F51">
      <w:pPr>
        <w:pStyle w:val="Caption"/>
        <w:spacing w:before="120" w:after="80"/>
        <w:ind w:left="86" w:right="0"/>
        <w:jc w:val="left"/>
      </w:pPr>
      <w:bookmarkStart w:id="305" w:name="_Ref235272106"/>
      <w:bookmarkStart w:id="306" w:name="_Toc239157189"/>
      <w:bookmarkStart w:id="307" w:name="_Toc271552375"/>
      <w:r w:rsidRPr="009E0B7B">
        <w:t xml:space="preserve">Figure </w:t>
      </w:r>
      <w:r w:rsidR="00832C7A">
        <w:fldChar w:fldCharType="begin"/>
      </w:r>
      <w:r w:rsidR="00807C8D">
        <w:instrText xml:space="preserve"> STYLEREF 1 \s </w:instrText>
      </w:r>
      <w:r w:rsidR="00832C7A">
        <w:fldChar w:fldCharType="separate"/>
      </w:r>
      <w:r w:rsidR="00E5699E">
        <w:rPr>
          <w:noProof/>
        </w:rPr>
        <w:t>4</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4</w:t>
      </w:r>
      <w:r w:rsidR="00832C7A">
        <w:fldChar w:fldCharType="end"/>
      </w:r>
      <w:bookmarkEnd w:id="304"/>
      <w:bookmarkEnd w:id="305"/>
      <w:r w:rsidR="004E3B8A" w:rsidRPr="009E0B7B">
        <w:t>: Resources in the ISO Generator Interconnection Queue, by state and fuel type, as of April 1, 2010 </w:t>
      </w:r>
      <w:r w:rsidR="003174D8" w:rsidRPr="009E0B7B">
        <w:t>(MW and %).</w:t>
      </w:r>
      <w:bookmarkEnd w:id="306"/>
      <w:bookmarkEnd w:id="307"/>
      <w:r w:rsidR="004E3B8A" w:rsidRPr="009E0B7B">
        <w:t xml:space="preserve"> </w:t>
      </w:r>
    </w:p>
    <w:p w:rsidR="004E3B8A" w:rsidRPr="00BF2A91" w:rsidRDefault="004E3B8A" w:rsidP="001F2F51">
      <w:pPr>
        <w:spacing w:after="0" w:line="240" w:lineRule="auto"/>
        <w:ind w:left="86"/>
        <w:rPr>
          <w:rFonts w:ascii="Arial" w:hAnsi="Arial" w:cs="Arial"/>
          <w:sz w:val="16"/>
          <w:szCs w:val="16"/>
        </w:rPr>
      </w:pPr>
      <w:r w:rsidRPr="00DA26DA">
        <w:rPr>
          <w:rFonts w:ascii="Arial" w:hAnsi="Arial" w:cs="Arial"/>
          <w:b/>
          <w:sz w:val="16"/>
          <w:szCs w:val="16"/>
        </w:rPr>
        <w:t>Notes:</w:t>
      </w:r>
      <w:r w:rsidRPr="00DA26DA">
        <w:rPr>
          <w:rFonts w:ascii="Arial" w:hAnsi="Arial" w:cs="Arial"/>
          <w:sz w:val="16"/>
          <w:szCs w:val="16"/>
        </w:rPr>
        <w:t xml:space="preserve"> The total for the State of </w:t>
      </w:r>
      <w:r w:rsidRPr="0049300D">
        <w:rPr>
          <w:rFonts w:ascii="Arial" w:hAnsi="Arial" w:cs="Arial"/>
          <w:sz w:val="16"/>
          <w:szCs w:val="16"/>
        </w:rPr>
        <w:t xml:space="preserve">Connecticut </w:t>
      </w:r>
      <w:r w:rsidR="00E904AF" w:rsidRPr="0049300D">
        <w:rPr>
          <w:rFonts w:ascii="Arial" w:hAnsi="Arial" w:cs="Arial"/>
          <w:sz w:val="16"/>
          <w:szCs w:val="16"/>
        </w:rPr>
        <w:t xml:space="preserve">(3,195 MW) </w:t>
      </w:r>
      <w:r w:rsidRPr="0049300D">
        <w:rPr>
          <w:rFonts w:ascii="Arial" w:hAnsi="Arial" w:cs="Arial"/>
          <w:sz w:val="16"/>
          <w:szCs w:val="16"/>
        </w:rPr>
        <w:t>is</w:t>
      </w:r>
      <w:r w:rsidRPr="00DA26DA">
        <w:rPr>
          <w:rFonts w:ascii="Arial" w:hAnsi="Arial" w:cs="Arial"/>
          <w:sz w:val="16"/>
          <w:szCs w:val="16"/>
        </w:rPr>
        <w:t xml:space="preserve"> greater than the total for the subareas, CT, SWCT, and NOR (</w:t>
      </w:r>
      <w:r>
        <w:rPr>
          <w:rFonts w:ascii="Arial" w:hAnsi="Arial" w:cs="Arial"/>
          <w:sz w:val="16"/>
          <w:szCs w:val="16"/>
        </w:rPr>
        <w:t>2</w:t>
      </w:r>
      <w:r w:rsidRPr="00DA26DA">
        <w:rPr>
          <w:rFonts w:ascii="Arial" w:hAnsi="Arial" w:cs="Arial"/>
          <w:sz w:val="16"/>
          <w:szCs w:val="16"/>
        </w:rPr>
        <w:t>,</w:t>
      </w:r>
      <w:r w:rsidR="00022E79">
        <w:rPr>
          <w:rFonts w:ascii="Arial" w:hAnsi="Arial" w:cs="Arial"/>
          <w:sz w:val="16"/>
          <w:szCs w:val="16"/>
        </w:rPr>
        <w:t>937 </w:t>
      </w:r>
      <w:r w:rsidRPr="00DA26DA">
        <w:rPr>
          <w:rFonts w:ascii="Arial" w:hAnsi="Arial" w:cs="Arial"/>
          <w:sz w:val="16"/>
          <w:szCs w:val="16"/>
        </w:rPr>
        <w:t xml:space="preserve">MW; see </w:t>
      </w:r>
      <w:fldSimple w:instr=" REF _Ref236623017 \h  \* MERGEFORMAT ">
        <w:r w:rsidR="00E5699E" w:rsidRPr="00E5699E">
          <w:rPr>
            <w:rFonts w:ascii="Arial" w:hAnsi="Arial" w:cs="Arial"/>
            <w:sz w:val="16"/>
            <w:szCs w:val="16"/>
          </w:rPr>
          <w:t>Figure 4</w:t>
        </w:r>
        <w:r w:rsidR="00E5699E" w:rsidRPr="00E5699E">
          <w:rPr>
            <w:rFonts w:ascii="Arial" w:hAnsi="Arial" w:cs="Arial"/>
            <w:sz w:val="16"/>
            <w:szCs w:val="16"/>
          </w:rPr>
          <w:noBreakHyphen/>
          <w:t>3</w:t>
        </w:r>
      </w:fldSimple>
      <w:r w:rsidRPr="00DA26DA">
        <w:rPr>
          <w:rFonts w:ascii="Arial" w:hAnsi="Arial" w:cs="Arial"/>
          <w:sz w:val="16"/>
          <w:szCs w:val="16"/>
        </w:rPr>
        <w:t>)</w:t>
      </w:r>
      <w:r>
        <w:rPr>
          <w:rFonts w:ascii="Arial" w:hAnsi="Arial" w:cs="Arial"/>
          <w:sz w:val="16"/>
          <w:szCs w:val="16"/>
        </w:rPr>
        <w:t>,</w:t>
      </w:r>
      <w:r w:rsidRPr="00DA26DA">
        <w:rPr>
          <w:rFonts w:ascii="Arial" w:hAnsi="Arial" w:cs="Arial"/>
          <w:sz w:val="16"/>
          <w:szCs w:val="16"/>
        </w:rPr>
        <w:t xml:space="preserve"> because the area of the state is greater than the total area used for the subareas. The “Other Renewables” category includes wood, refuse, landfill gas (LFG), other bio gas, and fuel cells. </w:t>
      </w:r>
      <w:r w:rsidR="00CC3BD9">
        <w:rPr>
          <w:rFonts w:ascii="Arial" w:hAnsi="Arial" w:cs="Arial"/>
          <w:sz w:val="16"/>
          <w:szCs w:val="16"/>
        </w:rPr>
        <w:t xml:space="preserve">A total of </w:t>
      </w:r>
      <w:r w:rsidR="002B7F95">
        <w:rPr>
          <w:rFonts w:ascii="Arial" w:hAnsi="Arial" w:cs="Arial"/>
          <w:sz w:val="16"/>
          <w:szCs w:val="16"/>
        </w:rPr>
        <w:t>38 </w:t>
      </w:r>
      <w:r w:rsidR="00B72076">
        <w:rPr>
          <w:rFonts w:ascii="Arial" w:hAnsi="Arial" w:cs="Arial"/>
          <w:sz w:val="16"/>
          <w:szCs w:val="16"/>
        </w:rPr>
        <w:t xml:space="preserve">MW of hydro is included in the 1,224 MW total of hydro and pumped storage. </w:t>
      </w:r>
      <w:r w:rsidRPr="00DA26DA">
        <w:rPr>
          <w:rFonts w:ascii="Arial" w:hAnsi="Arial" w:cs="Arial"/>
          <w:sz w:val="16"/>
          <w:szCs w:val="16"/>
        </w:rPr>
        <w:t>The totals for all categories reflect all queue projects that would interconnect with the system and not all projects in New England.</w:t>
      </w:r>
    </w:p>
    <w:p w:rsidR="004E3B8A" w:rsidRDefault="004E3B8A" w:rsidP="000D6CDE">
      <w:r>
        <w:t xml:space="preserve">As part of the FCA-qualification process, generators are subject to a </w:t>
      </w:r>
      <w:r w:rsidRPr="008B05F9">
        <w:t>review that evaluates whether transmission upgrades are</w:t>
      </w:r>
      <w:r w:rsidRPr="00917840">
        <w:t xml:space="preserve"> needed to ensure the new generating capacity is incrementally useful within each capacity zone.</w:t>
      </w:r>
      <w:r w:rsidRPr="00A80495">
        <w:t xml:space="preserve"> Previous RSP and FC</w:t>
      </w:r>
      <w:r>
        <w:t>M</w:t>
      </w:r>
      <w:r w:rsidRPr="00A80495">
        <w:t xml:space="preserve"> studies have confirmed that </w:t>
      </w:r>
      <w:r w:rsidRPr="004434C0">
        <w:t xml:space="preserve">interconnecting new resources </w:t>
      </w:r>
      <w:r w:rsidRPr="00A80495">
        <w:t xml:space="preserve">close to </w:t>
      </w:r>
      <w:r>
        <w:t xml:space="preserve">the </w:t>
      </w:r>
      <w:r w:rsidRPr="00A80495">
        <w:t>Connecticut, Boston, and SEMA</w:t>
      </w:r>
      <w:r>
        <w:t xml:space="preserve"> load centers would </w:t>
      </w:r>
      <w:r w:rsidRPr="00A80495">
        <w:t xml:space="preserve">improve the overall reliability </w:t>
      </w:r>
      <w:r w:rsidRPr="00D33B10">
        <w:t>of the system and could potentially defer the need for transmission improvements. However, individual system impact studies are</w:t>
      </w:r>
      <w:r w:rsidRPr="00A80495">
        <w:t xml:space="preserve"> necessary to fully assess the electrical performance of the system and determine reliable interconnections of generation resources.</w:t>
      </w:r>
    </w:p>
    <w:p w:rsidR="001B3090" w:rsidRDefault="004E3B8A">
      <w:pPr>
        <w:pStyle w:val="Heading2"/>
      </w:pPr>
      <w:bookmarkStart w:id="308" w:name="_Toc176245009"/>
      <w:bookmarkStart w:id="309" w:name="_Toc201669938"/>
      <w:bookmarkStart w:id="310" w:name="_Toc207531837"/>
      <w:bookmarkStart w:id="311" w:name="_Toc239157073"/>
      <w:bookmarkStart w:id="312" w:name="_Toc271632228"/>
      <w:r w:rsidRPr="00D8263A">
        <w:t>Summa</w:t>
      </w:r>
      <w:bookmarkEnd w:id="308"/>
      <w:r w:rsidRPr="00D8263A">
        <w:t>ry</w:t>
      </w:r>
      <w:bookmarkEnd w:id="309"/>
      <w:bookmarkEnd w:id="310"/>
      <w:bookmarkEnd w:id="311"/>
      <w:bookmarkEnd w:id="312"/>
    </w:p>
    <w:p w:rsidR="004E3B8A" w:rsidRDefault="00B462A6" w:rsidP="004E3B8A">
      <w:r>
        <w:t>On the b</w:t>
      </w:r>
      <w:r w:rsidR="004E3B8A">
        <w:t>as</w:t>
      </w:r>
      <w:r>
        <w:t xml:space="preserve">is </w:t>
      </w:r>
      <w:r w:rsidR="004E3B8A">
        <w:t>o</w:t>
      </w:r>
      <w:r>
        <w:t>f</w:t>
      </w:r>
      <w:r w:rsidR="004E3B8A">
        <w:t xml:space="preserve"> the results of FCA #3 and assuming no resource retirements, </w:t>
      </w:r>
      <w:r w:rsidR="004E3B8A" w:rsidRPr="00D33E44">
        <w:t>New England will have adequate resources through 201</w:t>
      </w:r>
      <w:r w:rsidR="004E3B8A">
        <w:t>9</w:t>
      </w:r>
      <w:r w:rsidR="004E3B8A" w:rsidRPr="00D33E44">
        <w:t xml:space="preserve">. </w:t>
      </w:r>
      <w:r w:rsidR="004E3B8A">
        <w:t xml:space="preserve">While </w:t>
      </w:r>
      <w:r w:rsidR="001E5A06">
        <w:t>some retirements are likely</w:t>
      </w:r>
      <w:r w:rsidR="004E3B8A">
        <w:t>, the ISO is optimistic that adequate demand and supply resources will be purchased through the FCM auctions and will be installed in time to meet the capacity needs</w:t>
      </w:r>
      <w:r w:rsidR="001E5A06">
        <w:t xml:space="preserve"> established by future ICRs</w:t>
      </w:r>
      <w:r w:rsidR="004E3B8A">
        <w:t>.</w:t>
      </w:r>
    </w:p>
    <w:p w:rsidR="004E3B8A" w:rsidRPr="007E60AB" w:rsidRDefault="004E3B8A" w:rsidP="004E3B8A">
      <w:pPr>
        <w:spacing w:line="240" w:lineRule="auto"/>
      </w:pPr>
      <w:r w:rsidRPr="00647EF6">
        <w:t>By design,</w:t>
      </w:r>
      <w:r w:rsidRPr="00371141">
        <w:t xml:space="preserve"> the </w:t>
      </w:r>
      <w:r>
        <w:t xml:space="preserve">level of the </w:t>
      </w:r>
      <w:r w:rsidRPr="00371141">
        <w:t>ICR</w:t>
      </w:r>
      <w:r>
        <w:t xml:space="preserve"> specified</w:t>
      </w:r>
      <w:r w:rsidRPr="00371141">
        <w:t xml:space="preserve"> for New England could necessitate the use of </w:t>
      </w:r>
      <w:r>
        <w:t xml:space="preserve">specific </w:t>
      </w:r>
      <w:r w:rsidRPr="00371141">
        <w:t>OP 4 actions</w:t>
      </w:r>
      <w:r>
        <w:t xml:space="preserve"> because the load relief provided by these actions is included </w:t>
      </w:r>
      <w:r w:rsidRPr="00B2484B">
        <w:t>as</w:t>
      </w:r>
      <w:r>
        <w:t xml:space="preserve"> resource offsets in the ICR calculation</w:t>
      </w:r>
      <w:r w:rsidRPr="00371141">
        <w:t xml:space="preserve">. The frequency and extent of OP 4 actions would vary based on several factors, including the amount of </w:t>
      </w:r>
      <w:r>
        <w:t xml:space="preserve">the </w:t>
      </w:r>
      <w:r w:rsidRPr="00371141">
        <w:t>net ICR, tie-line benefits, and actual system load. Stu</w:t>
      </w:r>
      <w:r>
        <w:t xml:space="preserve">dy results </w:t>
      </w:r>
      <w:r w:rsidRPr="00371141">
        <w:t xml:space="preserve">show that </w:t>
      </w:r>
      <w:r>
        <w:t xml:space="preserve">the need for load and capacity relief </w:t>
      </w:r>
      <w:r w:rsidR="005E020B">
        <w:t xml:space="preserve">by </w:t>
      </w:r>
      <w:r>
        <w:t>OP 4 actions will range from approximately 2,</w:t>
      </w:r>
      <w:r w:rsidR="00B50FA3">
        <w:t>2</w:t>
      </w:r>
      <w:r>
        <w:t xml:space="preserve">00 to </w:t>
      </w:r>
      <w:r w:rsidR="00B72076">
        <w:t>2,800</w:t>
      </w:r>
      <w:r w:rsidRPr="00371141">
        <w:t xml:space="preserve"> MW during extremely hot and </w:t>
      </w:r>
      <w:r w:rsidRPr="007E60AB">
        <w:t xml:space="preserve">humid </w:t>
      </w:r>
      <w:r w:rsidR="0013626C">
        <w:t xml:space="preserve">summer peak-load </w:t>
      </w:r>
      <w:r w:rsidRPr="007E60AB">
        <w:t xml:space="preserve">conditions. </w:t>
      </w:r>
      <w:r w:rsidRPr="00647EF6">
        <w:t>The</w:t>
      </w:r>
      <w:r w:rsidRPr="007E60AB">
        <w:t xml:space="preserve"> FCM will continue to </w:t>
      </w:r>
      <w:r>
        <w:t xml:space="preserve">provide incentives for </w:t>
      </w:r>
      <w:r w:rsidRPr="007E60AB">
        <w:t>develop</w:t>
      </w:r>
      <w:r>
        <w:t xml:space="preserve">ing </w:t>
      </w:r>
      <w:r w:rsidRPr="007E60AB">
        <w:t xml:space="preserve">resources in the desired </w:t>
      </w:r>
      <w:r w:rsidR="00D4331C" w:rsidRPr="00D4331C">
        <w:t>quantity and needed locations. Because</w:t>
      </w:r>
      <w:r w:rsidRPr="007E60AB">
        <w:t xml:space="preserve"> Forward Capacity Auctions are held more than three years in advance of the delivery period, future resources will be better known in advance, which will facilitate and improve the planning process.</w:t>
      </w:r>
    </w:p>
    <w:p w:rsidR="004E3B8A" w:rsidRDefault="004E3B8A" w:rsidP="004E3B8A">
      <w:r w:rsidRPr="007E60AB">
        <w:t xml:space="preserve">Resources are being planned in needed locations near load centers. </w:t>
      </w:r>
      <w:r>
        <w:t xml:space="preserve">A total </w:t>
      </w:r>
      <w:r w:rsidRPr="00040408">
        <w:t xml:space="preserve">of </w:t>
      </w:r>
      <w:r w:rsidR="00E85293">
        <w:t>1,871</w:t>
      </w:r>
      <w:r w:rsidRPr="00040408">
        <w:t xml:space="preserve"> MW of the new FCM resources procured in FCA #3 are located in Connecticut </w:t>
      </w:r>
      <w:r w:rsidR="00E85293">
        <w:t>and Massachusetts</w:t>
      </w:r>
      <w:r w:rsidRPr="00040408">
        <w:t xml:space="preserve">. Of this total, </w:t>
      </w:r>
      <w:r w:rsidR="00E85293">
        <w:t>1,661</w:t>
      </w:r>
      <w:r w:rsidRPr="00040408">
        <w:t> MW are</w:t>
      </w:r>
      <w:r w:rsidRPr="002B082F">
        <w:t xml:space="preserve"> new generation resources. In the ISO Generator Interconnection Queue, </w:t>
      </w:r>
      <w:r>
        <w:t>2</w:t>
      </w:r>
      <w:r w:rsidRPr="002B082F">
        <w:t>,</w:t>
      </w:r>
      <w:r>
        <w:t>937</w:t>
      </w:r>
      <w:r w:rsidRPr="002B082F">
        <w:t xml:space="preserve"> MW of new resources are proposed for Greater C</w:t>
      </w:r>
      <w:r w:rsidR="0088547D">
        <w:t>onnecticut. In addition, demand-</w:t>
      </w:r>
      <w:r w:rsidRPr="002B082F">
        <w:t>resource programs have been implemented successfully, and future additions of demand resources have been planned as part of the FCM process.</w:t>
      </w:r>
    </w:p>
    <w:p w:rsidR="004E3B8A" w:rsidRDefault="004E3B8A" w:rsidP="00073277">
      <w:pPr>
        <w:sectPr w:rsidR="004E3B8A" w:rsidSect="00015282">
          <w:pgSz w:w="12240" w:h="15840"/>
          <w:pgMar w:top="1350" w:right="1440" w:bottom="1440" w:left="1440" w:header="720" w:footer="720" w:gutter="0"/>
          <w:cols w:space="720"/>
          <w:docGrid w:linePitch="360"/>
        </w:sectPr>
      </w:pPr>
    </w:p>
    <w:p w:rsidR="00FB0D78" w:rsidRPr="005E539A" w:rsidRDefault="00FB0D78" w:rsidP="00DF39BB">
      <w:pPr>
        <w:pStyle w:val="Heading1"/>
      </w:pPr>
      <w:r>
        <w:br/>
      </w:r>
      <w:bookmarkStart w:id="313" w:name="_Toc201669939"/>
      <w:bookmarkStart w:id="314" w:name="_Ref202110477"/>
      <w:bookmarkStart w:id="315" w:name="_Ref202176759"/>
      <w:bookmarkStart w:id="316" w:name="_Ref202252734"/>
      <w:bookmarkStart w:id="317" w:name="_Ref202367538"/>
      <w:bookmarkStart w:id="318" w:name="_Toc207531838"/>
      <w:bookmarkStart w:id="319" w:name="_Ref231186439"/>
      <w:bookmarkStart w:id="320" w:name="_Ref231194402"/>
      <w:bookmarkStart w:id="321" w:name="_Toc239157074"/>
      <w:bookmarkStart w:id="322" w:name="_Ref262118248"/>
      <w:bookmarkStart w:id="323" w:name="_Ref262118276"/>
      <w:bookmarkStart w:id="324" w:name="_Ref230950481"/>
      <w:bookmarkStart w:id="325" w:name="_Ref266557523"/>
      <w:bookmarkStart w:id="326" w:name="_Ref267384581"/>
      <w:bookmarkStart w:id="327" w:name="_Toc271632229"/>
      <w:r w:rsidRPr="005E539A">
        <w:t>Operating Reserves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FB0D78" w:rsidRDefault="00832C7A" w:rsidP="00073277">
      <w:r>
        <w:rPr>
          <w:noProof/>
        </w:rPr>
        <w:pict>
          <v:shape id="_x0000_s1030" type="#_x0000_t202" style="position:absolute;margin-left:2384.55pt;margin-top:57.5pt;width:238.7pt;height:401.65pt;z-index:251704320;mso-wrap-distance-top:7.2pt;mso-wrap-distance-bottom:7.2pt;mso-position-horizontal:right;mso-position-horizontal-relative:margin;mso-position-vertical-relative:margin;mso-width-relative:margin;mso-height-relative:margin" fillcolor="#ebe8e6 [665]" strokecolor="black [3213]" strokeweight=".25pt">
            <v:fill color2="#ebe8e6 [665]"/>
            <v:shadow type="perspective" color="#4e473f [1609]" opacity=".5" offset="1pt" offset2="-3pt"/>
            <v:textbox style="mso-next-textbox:#_x0000_s1030" inset="8.64pt,8.64pt,8.64pt,8.64pt">
              <w:txbxContent>
                <w:p w:rsidR="003C78A4" w:rsidRPr="003E701E" w:rsidRDefault="003C78A4" w:rsidP="003E701E">
                  <w:pPr>
                    <w:pStyle w:val="BodyText1"/>
                  </w:pPr>
                  <w:r w:rsidRPr="003E701E">
                    <w:t xml:space="preserve"> “The RSP shall, among other things</w:t>
                  </w:r>
                  <w:r>
                    <w:t xml:space="preserve">: </w:t>
                  </w:r>
                  <w:r w:rsidRPr="003E701E">
                    <w:t>(i) describe, in a consolidated manner, the assessment of the PTF system needs, the results of such assessments, and the projected improvements;</w:t>
                  </w:r>
                  <w:r>
                    <w:t xml:space="preserve"> </w:t>
                  </w:r>
                  <w:r w:rsidRPr="003E701E">
                    <w:t>(ii) provide the projected annual and peak demands for electric energy for a five- to ten-year horizon, the needs for resources over this period and how such resources are expected to be provided;</w:t>
                  </w:r>
                  <w:r>
                    <w:t xml:space="preserve"> </w:t>
                  </w:r>
                  <w:r w:rsidRPr="003E701E">
                    <w:t xml:space="preserve">(iii) specify the physical characteristics of the physical solutions that can meet the needs defined in the Needs Assessments and include information on market responses that can address them; </w:t>
                  </w:r>
                  <w:r>
                    <w:t xml:space="preserve"> </w:t>
                  </w:r>
                  <w:r w:rsidRPr="003E701E">
                    <w:t>and</w:t>
                  </w:r>
                  <w:r>
                    <w:t xml:space="preserve"> </w:t>
                  </w:r>
                  <w:r w:rsidRPr="003E701E">
                    <w:t>(iv) provide sufficient information to allow Market Participants to assess the quantity, general locations, operating characteristics and required availability criteria of the type of incremental supply or demand-side resources, or merchant transmission projects, that would satisfy the identified needs or that may serve to modify, offset or defer proposed regulated transmission upgrades.” (Attachment K, §</w:t>
                  </w:r>
                  <w:r>
                    <w:t xml:space="preserve"> </w:t>
                  </w:r>
                  <w:r w:rsidRPr="003E701E">
                    <w:t xml:space="preserve">3.1) </w:t>
                  </w:r>
                </w:p>
                <w:p w:rsidR="003C78A4" w:rsidRPr="003E701E" w:rsidRDefault="003C78A4" w:rsidP="003E701E">
                  <w:pPr>
                    <w:pStyle w:val="BodyText1"/>
                  </w:pPr>
                  <w:r w:rsidRPr="003E701E">
                    <w:t>“The RSP shall be designed and implemented to: (ii) identify facilities that are necessary to meet Planning and Reliability Criteria; (iii) avoid the imposition of unreasonable costs upon any Transmission Owner, Transmission Customer or other user of a transmission facility; and (vi) properly coordinate with market responses, including, but not limited to generation, merchant transmission and demand-side responses.” (</w:t>
                  </w:r>
                  <w:r>
                    <w:t xml:space="preserve">Attachment K, </w:t>
                  </w:r>
                  <w:r w:rsidRPr="003E701E">
                    <w:t>§</w:t>
                  </w:r>
                  <w:r>
                    <w:t xml:space="preserve"> </w:t>
                  </w:r>
                  <w:r w:rsidRPr="003E701E">
                    <w:t xml:space="preserve">3.4) </w:t>
                  </w:r>
                </w:p>
                <w:p w:rsidR="003C78A4" w:rsidRPr="003E701E" w:rsidRDefault="003C78A4" w:rsidP="003E701E">
                  <w:pPr>
                    <w:pStyle w:val="BodyText1"/>
                  </w:pPr>
                  <w:r w:rsidRPr="003E701E">
                    <w:t>“A Needs Assessment shall also identify: (ii) situations that significantly affect the reliable and efficient operation of the PTF along with any critical time constraints for addressing the needs of the PTF to facilitate the development of market responses and to initiate the pursuit of regulated transmission solutions.” (Attachment K, §</w:t>
                  </w:r>
                  <w:r>
                    <w:t xml:space="preserve"> </w:t>
                  </w:r>
                  <w:r w:rsidRPr="003E701E">
                    <w:t xml:space="preserve">4.1) </w:t>
                  </w:r>
                </w:p>
                <w:p w:rsidR="003C78A4" w:rsidRPr="003E701E" w:rsidRDefault="003C78A4" w:rsidP="003E701E">
                  <w:pPr>
                    <w:pStyle w:val="BodyText1"/>
                  </w:pPr>
                  <w:r w:rsidRPr="003E701E">
                    <w:t xml:space="preserve"> “The ISO shall reflect proposed market responses in the regional system planning process. Market responses may include, but are not limited to, resources (e.g., demand-side projects and distributed generation) and Merchant Transmission Facilities.”  (Attachment K, §</w:t>
                  </w:r>
                  <w:r>
                    <w:t xml:space="preserve"> </w:t>
                  </w:r>
                  <w:r w:rsidRPr="003E701E">
                    <w:t>4.2)</w:t>
                  </w:r>
                </w:p>
              </w:txbxContent>
            </v:textbox>
            <w10:wrap type="square" anchorx="margin" anchory="margin"/>
          </v:shape>
        </w:pict>
      </w:r>
      <w:r w:rsidR="00FB0D78">
        <w:t xml:space="preserve">In addition to needing a certain level of resources for reliably meeting the region’s actual demand for electricity, as discussed in </w:t>
      </w:r>
      <w:r>
        <w:fldChar w:fldCharType="begin"/>
      </w:r>
      <w:r w:rsidR="00663230">
        <w:instrText xml:space="preserve"> REF _Ref267385154 \r \h </w:instrText>
      </w:r>
      <w:r>
        <w:fldChar w:fldCharType="separate"/>
      </w:r>
      <w:r w:rsidR="00E5699E">
        <w:t>Section 4</w:t>
      </w:r>
      <w:r>
        <w:fldChar w:fldCharType="end"/>
      </w:r>
      <w:r w:rsidR="00FB0D78">
        <w:t>, the system needs a certain amount of resources that can provide operating reserves</w:t>
      </w:r>
      <w:r w:rsidR="00FB0D78" w:rsidRPr="00EC12B1">
        <w:t xml:space="preserve">. The overall mix of resources </w:t>
      </w:r>
      <w:r w:rsidR="00FB0D78">
        <w:t xml:space="preserve">providing operating reserves </w:t>
      </w:r>
      <w:r w:rsidR="00FB0D78" w:rsidRPr="00EC12B1">
        <w:t xml:space="preserve">must be able to </w:t>
      </w:r>
      <w:r w:rsidR="00FB0D78">
        <w:t xml:space="preserve">respond </w:t>
      </w:r>
      <w:r w:rsidR="00FB0D78" w:rsidRPr="00EC12B1">
        <w:t xml:space="preserve">quickly to system contingencies </w:t>
      </w:r>
      <w:r w:rsidR="00FB0D78">
        <w:t xml:space="preserve">stemming from </w:t>
      </w:r>
      <w:r w:rsidR="00FB0D78" w:rsidRPr="00EC12B1">
        <w:t>equipment outages and forecast errors</w:t>
      </w:r>
      <w:r w:rsidR="00FB0D78">
        <w:t xml:space="preserve">. These </w:t>
      </w:r>
      <w:r w:rsidR="00FB0D78" w:rsidRPr="00054662">
        <w:t xml:space="preserve">resources </w:t>
      </w:r>
      <w:r w:rsidR="00FB0D78">
        <w:t xml:space="preserve">also </w:t>
      </w:r>
      <w:r w:rsidR="00FB0D78" w:rsidRPr="00054662">
        <w:t xml:space="preserve">may </w:t>
      </w:r>
      <w:r w:rsidR="00FB0D78">
        <w:t xml:space="preserve">be called on to </w:t>
      </w:r>
      <w:r w:rsidR="00FB0D78" w:rsidRPr="00244FA8">
        <w:t>provide regulation service</w:t>
      </w:r>
      <w:r w:rsidR="00FB0D78" w:rsidRPr="00054662">
        <w:t xml:space="preserve"> for</w:t>
      </w:r>
      <w:r w:rsidR="00FB0D78" w:rsidRPr="00EC12B1">
        <w:t xml:space="preserve"> maintaining operational control</w:t>
      </w:r>
      <w:r w:rsidR="00FB0D78">
        <w:t xml:space="preserve"> or</w:t>
      </w:r>
      <w:r w:rsidR="00FB0D78" w:rsidRPr="00EC12B1">
        <w:t xml:space="preserve"> </w:t>
      </w:r>
      <w:r w:rsidR="00FB0D78">
        <w:t xml:space="preserve">to </w:t>
      </w:r>
      <w:r w:rsidR="00FB0D78" w:rsidRPr="00EC12B1">
        <w:t>serve or reduce peak loads during high-</w:t>
      </w:r>
      <w:r w:rsidR="00FB0D78">
        <w:t xml:space="preserve">demand </w:t>
      </w:r>
      <w:r w:rsidR="00FB0D78" w:rsidRPr="00EE3583">
        <w:t>conditions</w:t>
      </w:r>
      <w:r w:rsidR="00FB0D78" w:rsidRPr="00244FA8">
        <w:t>.</w:t>
      </w:r>
      <w:r w:rsidR="00FB0D78" w:rsidRPr="00EE3583">
        <w:t xml:space="preserve"> A</w:t>
      </w:r>
      <w:r w:rsidR="00FB0D78">
        <w:t xml:space="preserve"> suboptimal mix of </w:t>
      </w:r>
      <w:r w:rsidR="004F76BF">
        <w:t xml:space="preserve">resources with </w:t>
      </w:r>
      <w:r w:rsidR="0013626C">
        <w:t xml:space="preserve">limited amounts of </w:t>
      </w:r>
      <w:r w:rsidR="00FB0D78">
        <w:t>these operating-reserve characteristics could lead to the need for the system to use more costly resources to provide these services. In the worst case, reliability would be degraded.</w:t>
      </w:r>
    </w:p>
    <w:p w:rsidR="00FB0D78" w:rsidRDefault="00FB0D78" w:rsidP="00073277">
      <w:r>
        <w:t xml:space="preserve">Several types of resources in New England have the operating characteristics to provide operating reserves for responding to contingencies, helping to maintain operational control, and </w:t>
      </w:r>
      <w:r w:rsidR="006D7541">
        <w:t xml:space="preserve">for </w:t>
      </w:r>
      <w:r>
        <w:t xml:space="preserve">serving peak demand. The generating units that provide operating reserves can respond to contingencies within 10 or 30 minutes by offering reserve capability either synchronized or not synchronized to the power system. Synchronized (i.e., </w:t>
      </w:r>
      <w:r w:rsidRPr="00721518">
        <w:rPr>
          <w:i/>
        </w:rPr>
        <w:t>spinning</w:t>
      </w:r>
      <w:r>
        <w:t>) reserves are</w:t>
      </w:r>
      <w:r w:rsidRPr="00721518">
        <w:t xml:space="preserve"> on-line reserve</w:t>
      </w:r>
      <w:r>
        <w:t xml:space="preserve">s that can increase output. Nonsynchronized (i.e., </w:t>
      </w:r>
      <w:r w:rsidRPr="00372163">
        <w:rPr>
          <w:i/>
        </w:rPr>
        <w:t>n</w:t>
      </w:r>
      <w:r w:rsidRPr="005B7656">
        <w:rPr>
          <w:i/>
        </w:rPr>
        <w:t>onspinning</w:t>
      </w:r>
      <w:r w:rsidRPr="00665922">
        <w:t>)</w:t>
      </w:r>
      <w:r>
        <w:t xml:space="preserve"> reserves are off-line</w:t>
      </w:r>
      <w:r w:rsidR="007E142C">
        <w:t>,</w:t>
      </w:r>
      <w:r>
        <w:t xml:space="preserve"> “</w:t>
      </w:r>
      <w:r w:rsidR="007E142C">
        <w:t>f</w:t>
      </w:r>
      <w:r>
        <w:t xml:space="preserve">ast-start” resources </w:t>
      </w:r>
      <w:r w:rsidR="006D7541">
        <w:t xml:space="preserve">that </w:t>
      </w:r>
      <w:r>
        <w:t xml:space="preserve">can be electrically synchronized to the system and quickly reach rated capability. </w:t>
      </w:r>
      <w:r w:rsidRPr="001A0F38">
        <w:rPr>
          <w:i/>
        </w:rPr>
        <w:t>Dispatchable asset-related demand</w:t>
      </w:r>
      <w:r w:rsidRPr="001A0F38">
        <w:t xml:space="preserve"> (DARD) (i.e</w:t>
      </w:r>
      <w:r w:rsidR="000E0D95" w:rsidRPr="001A0F38">
        <w:t>.,</w:t>
      </w:r>
      <w:r w:rsidR="000E0D95">
        <w:t> </w:t>
      </w:r>
      <w:r w:rsidRPr="001A0F38">
        <w:t xml:space="preserve">demand that can be interrupted within </w:t>
      </w:r>
      <w:r>
        <w:t xml:space="preserve">10 or </w:t>
      </w:r>
      <w:r w:rsidRPr="001A0F38">
        <w:t>30 minutes in response to a dispatch order)</w:t>
      </w:r>
      <w:r>
        <w:t xml:space="preserve"> also can provide operating </w:t>
      </w:r>
      <w:r w:rsidRPr="00BC52B9">
        <w:t xml:space="preserve">reserves, </w:t>
      </w:r>
      <w:r>
        <w:t>meet</w:t>
      </w:r>
      <w:r w:rsidRPr="00BC52B9">
        <w:t xml:space="preserve"> or reduce peak demand</w:t>
      </w:r>
      <w:r>
        <w:t>, and avert the need to commit more costly resources to supply operating reserves.</w:t>
      </w:r>
    </w:p>
    <w:p w:rsidR="00FB0D78" w:rsidRDefault="00FB0D78" w:rsidP="00073277">
      <w:r>
        <w:t xml:space="preserve">This section discusses the need for operating reserves, both systemwide and in major import areas, and the use of specific types </w:t>
      </w:r>
      <w:r w:rsidRPr="00941F5E">
        <w:t>of fast-</w:t>
      </w:r>
      <w:r>
        <w:t xml:space="preserve">start and demand-response resources to fill these needs. An overview of the locational Forward Reserve </w:t>
      </w:r>
      <w:r w:rsidRPr="007505C8">
        <w:t>Market (FRM) and</w:t>
      </w:r>
      <w:r>
        <w:t xml:space="preserve"> a forecast of representative future operating-reserve requirements for Greater Southwest Connecticut, Greater Connecticut, and BOSTON are provided. This section also describes a pilot program evaluating the use of demand-response resources to provide operating </w:t>
      </w:r>
      <w:r w:rsidRPr="000E5C22">
        <w:t>reserves</w:t>
      </w:r>
      <w:bookmarkStart w:id="328" w:name="_Toc176245011"/>
      <w:r w:rsidRPr="000E5C22">
        <w:t>.</w:t>
      </w:r>
      <w:r w:rsidR="00700531">
        <w:t xml:space="preserve"> </w:t>
      </w:r>
      <w:r w:rsidR="00EF25EB" w:rsidRPr="00EF25EB">
        <w:t>Attachment K requires</w:t>
      </w:r>
      <w:r w:rsidR="009052CA">
        <w:t xml:space="preserve"> the</w:t>
      </w:r>
      <w:r>
        <w:t xml:space="preserve"> RSP to specify the physical characteristics of solutions that can meet system needs, </w:t>
      </w:r>
      <w:r w:rsidR="009904E0">
        <w:t xml:space="preserve">which </w:t>
      </w:r>
      <w:r>
        <w:t>includ</w:t>
      </w:r>
      <w:r w:rsidR="009904E0">
        <w:t xml:space="preserve">e </w:t>
      </w:r>
      <w:r w:rsidR="004F76BF">
        <w:t xml:space="preserve">the </w:t>
      </w:r>
      <w:r>
        <w:t>general locations, operating characteristics, and type of supply-side or demand-side resources.</w:t>
      </w:r>
      <w:r w:rsidR="0013626C">
        <w:t xml:space="preserve"> </w:t>
      </w:r>
    </w:p>
    <w:p w:rsidR="001B3090" w:rsidRDefault="00FB0D78">
      <w:pPr>
        <w:pStyle w:val="Heading2"/>
      </w:pPr>
      <w:bookmarkStart w:id="329" w:name="_Toc201669940"/>
      <w:bookmarkStart w:id="330" w:name="_Toc207531839"/>
      <w:bookmarkStart w:id="331" w:name="_Toc239157075"/>
      <w:bookmarkStart w:id="332" w:name="_Toc271632230"/>
      <w:r w:rsidRPr="00CC0BC1">
        <w:t>Requirements for Operating Reserv</w:t>
      </w:r>
      <w:bookmarkEnd w:id="328"/>
      <w:r w:rsidRPr="00CC0BC1">
        <w:t>es</w:t>
      </w:r>
      <w:bookmarkEnd w:id="329"/>
      <w:bookmarkEnd w:id="330"/>
      <w:bookmarkEnd w:id="331"/>
      <w:bookmarkEnd w:id="332"/>
    </w:p>
    <w:p w:rsidR="00FB0D78" w:rsidRPr="00CF1485" w:rsidRDefault="00FB0D78" w:rsidP="00073277">
      <w:r w:rsidRPr="00CF1485">
        <w:t>During daily operation</w:t>
      </w:r>
      <w:r>
        <w:t>s</w:t>
      </w:r>
      <w:r w:rsidRPr="00CF1485">
        <w:t>, the ISO determines operating-reserve requirements for the system as a whole</w:t>
      </w:r>
      <w:r>
        <w:t xml:space="preserve"> </w:t>
      </w:r>
      <w:r w:rsidRPr="0009007E">
        <w:t>as well as for</w:t>
      </w:r>
      <w:r w:rsidRPr="00CF1485">
        <w:t xml:space="preserve"> major transmission</w:t>
      </w:r>
      <w:r>
        <w:t xml:space="preserve"> import</w:t>
      </w:r>
      <w:r w:rsidRPr="00CF1485">
        <w:t xml:space="preserve">-constrained areas. The </w:t>
      </w:r>
      <w:r>
        <w:t xml:space="preserve">requirement for </w:t>
      </w:r>
      <w:r w:rsidRPr="00CF1485">
        <w:t>systemwide operating</w:t>
      </w:r>
      <w:r>
        <w:t xml:space="preserve"> </w:t>
      </w:r>
      <w:r w:rsidRPr="00CF1485">
        <w:t>reserves is based on the two largest loss-of-source contingencies within New England</w:t>
      </w:r>
      <w:r>
        <w:t xml:space="preserve">, which </w:t>
      </w:r>
      <w:r w:rsidRPr="00CF1485">
        <w:t>typically consist of some combination of the two largest</w:t>
      </w:r>
      <w:r>
        <w:t xml:space="preserve"> on-line</w:t>
      </w:r>
      <w:r w:rsidRPr="00CF1485">
        <w:t xml:space="preserve"> generating units or imports on the Phase II interconnection with Qu</w:t>
      </w:r>
      <w:r>
        <w:t>é</w:t>
      </w:r>
      <w:r w:rsidRPr="00CF1485">
        <w:t xml:space="preserve">bec. The operating reserves required within subareas of the system depend on many factors, including the economic dispatch of generation systemwide, the projected peak load of the </w:t>
      </w:r>
      <w:r>
        <w:t>sub</w:t>
      </w:r>
      <w:r w:rsidRPr="00CF1485">
        <w:t xml:space="preserve">area, the most critical contingency in the </w:t>
      </w:r>
      <w:r>
        <w:t>sub</w:t>
      </w:r>
      <w:r w:rsidRPr="00CF1485">
        <w:t xml:space="preserve">area, possible resource outages, and expected </w:t>
      </w:r>
      <w:r w:rsidRPr="002D1FB8">
        <w:t>transmission-related</w:t>
      </w:r>
      <w:r w:rsidRPr="005A0F75">
        <w:t xml:space="preserve"> import</w:t>
      </w:r>
      <w:r w:rsidRPr="00CF1485">
        <w:t xml:space="preserve"> limitations. </w:t>
      </w:r>
      <w:r>
        <w:t>ISO operations personnel analyze and determine how</w:t>
      </w:r>
      <w:r w:rsidRPr="00CF1485">
        <w:t xml:space="preserve"> the generating resources within the load pockets </w:t>
      </w:r>
      <w:r>
        <w:t xml:space="preserve">must be </w:t>
      </w:r>
      <w:r w:rsidRPr="00CF1485">
        <w:t xml:space="preserve">committed </w:t>
      </w:r>
      <w:r>
        <w:t xml:space="preserve">to </w:t>
      </w:r>
      <w:r w:rsidRPr="00CF1485">
        <w:t xml:space="preserve">meet the following day’s operational requirements </w:t>
      </w:r>
      <w:r>
        <w:t>and</w:t>
      </w:r>
      <w:r w:rsidRPr="00CF1485">
        <w:t xml:space="preserve"> withstand possible contingencies</w:t>
      </w:r>
      <w:r w:rsidRPr="00FB14B3">
        <w:t xml:space="preserve">. The locational </w:t>
      </w:r>
      <w:r>
        <w:t xml:space="preserve">Forward Reserve Market </w:t>
      </w:r>
      <w:r w:rsidRPr="007505C8">
        <w:t>is in place to</w:t>
      </w:r>
      <w:r w:rsidRPr="00FB14B3">
        <w:t xml:space="preserve"> procure these required operating reserves</w:t>
      </w:r>
      <w:bookmarkStart w:id="333" w:name="_Ref173553460"/>
      <w:bookmarkStart w:id="334" w:name="_Toc176245012"/>
      <w:r w:rsidRPr="00FB14B3">
        <w:t>.</w:t>
      </w:r>
    </w:p>
    <w:p w:rsidR="00B462A6" w:rsidRDefault="00FB0D78">
      <w:pPr>
        <w:pStyle w:val="Heading3"/>
      </w:pPr>
      <w:bookmarkStart w:id="335" w:name="_Toc201669941"/>
      <w:bookmarkStart w:id="336" w:name="_Toc207531840"/>
      <w:bookmarkStart w:id="337" w:name="_Toc239157076"/>
      <w:bookmarkStart w:id="338" w:name="_Toc271632231"/>
      <w:r w:rsidRPr="000867AD">
        <w:t>Systemwide Operating-Reserve Requiremen</w:t>
      </w:r>
      <w:bookmarkEnd w:id="333"/>
      <w:bookmarkEnd w:id="334"/>
      <w:r w:rsidRPr="000867AD">
        <w:t>ts</w:t>
      </w:r>
      <w:bookmarkEnd w:id="335"/>
      <w:bookmarkEnd w:id="336"/>
      <w:bookmarkEnd w:id="337"/>
      <w:bookmarkEnd w:id="338"/>
    </w:p>
    <w:p w:rsidR="00FB0D78" w:rsidRDefault="00FB0D78" w:rsidP="00073277">
      <w:r w:rsidRPr="00601CFB">
        <w:t>A c</w:t>
      </w:r>
      <w:r>
        <w:t xml:space="preserve">ertain amount of the power system’s resources must be available to provide operating reserves to assist in </w:t>
      </w:r>
      <w:r w:rsidRPr="00C15C57">
        <w:t>addressing systemwide contingencies</w:t>
      </w:r>
      <w:r>
        <w:t>, as follows:</w:t>
      </w:r>
    </w:p>
    <w:p w:rsidR="00FB0D78" w:rsidRDefault="00FB0D78" w:rsidP="00073277">
      <w:pPr>
        <w:pStyle w:val="Bullet-Solid"/>
      </w:pPr>
      <w:r>
        <w:t xml:space="preserve">Loss of generating equipment within the </w:t>
      </w:r>
      <w:r w:rsidR="000E0D95">
        <w:t xml:space="preserve">ISO </w:t>
      </w:r>
      <w:r>
        <w:t xml:space="preserve">New </w:t>
      </w:r>
      <w:r w:rsidRPr="002129AB">
        <w:t>England Balancing Authority</w:t>
      </w:r>
      <w:r w:rsidRPr="009E50DE">
        <w:t xml:space="preserve"> Area or</w:t>
      </w:r>
      <w:r>
        <w:t xml:space="preserve"> within any other NPCC </w:t>
      </w:r>
      <w:r w:rsidR="003E2435">
        <w:t>b</w:t>
      </w:r>
      <w:r>
        <w:t xml:space="preserve">alancing </w:t>
      </w:r>
      <w:r w:rsidR="003E2435">
        <w:t>a</w:t>
      </w:r>
      <w:r>
        <w:t>uthority area</w:t>
      </w:r>
    </w:p>
    <w:p w:rsidR="00FB0D78" w:rsidRDefault="00FB0D78" w:rsidP="00073277">
      <w:pPr>
        <w:pStyle w:val="Bullet-Solid"/>
      </w:pPr>
      <w:r>
        <w:t xml:space="preserve">Loss of transmission equipment within or between NPCC </w:t>
      </w:r>
      <w:r w:rsidR="003E2435">
        <w:t>b</w:t>
      </w:r>
      <w:r>
        <w:t xml:space="preserve">alancing </w:t>
      </w:r>
      <w:r w:rsidR="003E2435">
        <w:t>a</w:t>
      </w:r>
      <w:r>
        <w:t xml:space="preserve">uthority areas, which might reduce the capability to transfer energy within New England or between the New </w:t>
      </w:r>
      <w:r w:rsidRPr="009E50DE">
        <w:t xml:space="preserve">England </w:t>
      </w:r>
      <w:r w:rsidR="003E2435">
        <w:t>b</w:t>
      </w:r>
      <w:r>
        <w:t xml:space="preserve">alancing </w:t>
      </w:r>
      <w:r w:rsidR="003E2435">
        <w:t>a</w:t>
      </w:r>
      <w:r>
        <w:t>uthority</w:t>
      </w:r>
      <w:r w:rsidRPr="009E50DE">
        <w:t xml:space="preserve"> </w:t>
      </w:r>
      <w:r w:rsidR="003E2435">
        <w:t>a</w:t>
      </w:r>
      <w:r w:rsidRPr="009E50DE">
        <w:t>rea</w:t>
      </w:r>
      <w:r>
        <w:t xml:space="preserve"> and any other area</w:t>
      </w:r>
    </w:p>
    <w:p w:rsidR="00FB0D78" w:rsidRDefault="00FB0D78" w:rsidP="00073277">
      <w:r>
        <w:t xml:space="preserve">The ISO’s operating-reserve requirements, as established in </w:t>
      </w:r>
      <w:r w:rsidRPr="006E289F">
        <w:t xml:space="preserve">Operating Procedure No. 8, </w:t>
      </w:r>
      <w:r w:rsidRPr="006E289F">
        <w:rPr>
          <w:i/>
          <w:iCs/>
        </w:rPr>
        <w:t>Operating</w:t>
      </w:r>
      <w:r>
        <w:rPr>
          <w:i/>
          <w:iCs/>
        </w:rPr>
        <w:t xml:space="preserve"> Reserve and Regulation</w:t>
      </w:r>
      <w:r>
        <w:t xml:space="preserve"> (OP 8), protect the system from the impacts associated with a loss of generating or transmission equipment within </w:t>
      </w:r>
      <w:smartTag w:uri="urn:schemas-microsoft-com:office:smarttags" w:element="place">
        <w:r>
          <w:t>New England</w:t>
        </w:r>
      </w:smartTag>
      <w:r>
        <w:t>.</w:t>
      </w:r>
      <w:r w:rsidRPr="00A84B47">
        <w:rPr>
          <w:vertAlign w:val="superscript"/>
        </w:rPr>
        <w:footnoteReference w:id="105"/>
      </w:r>
      <w:r>
        <w:t xml:space="preserve"> </w:t>
      </w:r>
      <w:r w:rsidRPr="00B16EA2">
        <w:t xml:space="preserve">According to OP 8, the ISO must maintain a sufficient amount of reserves </w:t>
      </w:r>
      <w:r>
        <w:t xml:space="preserve">during normal </w:t>
      </w:r>
      <w:r w:rsidRPr="007E142C">
        <w:t xml:space="preserve">conditions in the </w:t>
      </w:r>
      <w:r w:rsidR="00BB3F32" w:rsidRPr="007E142C">
        <w:t xml:space="preserve">ISO </w:t>
      </w:r>
      <w:r w:rsidRPr="007E142C">
        <w:t>New England Balancing Authority Area to be able to replace within 10 minutes the first-contingency loss (N-1)</w:t>
      </w:r>
      <w:r w:rsidR="007E142C">
        <w:t xml:space="preserve"> (see Section</w:t>
      </w:r>
      <w:r w:rsidRPr="007E142C">
        <w:t xml:space="preserve"> </w:t>
      </w:r>
      <w:r w:rsidR="00832C7A">
        <w:fldChar w:fldCharType="begin"/>
      </w:r>
      <w:r w:rsidR="007E142C">
        <w:instrText xml:space="preserve"> REF _Ref234811928 \r \h </w:instrText>
      </w:r>
      <w:r w:rsidR="00832C7A">
        <w:fldChar w:fldCharType="separate"/>
      </w:r>
      <w:r w:rsidR="00E5699E">
        <w:t>2.3</w:t>
      </w:r>
      <w:r w:rsidR="00832C7A">
        <w:fldChar w:fldCharType="end"/>
      </w:r>
      <w:r w:rsidR="004939AC">
        <w:t>)</w:t>
      </w:r>
      <w:r w:rsidRPr="007E142C">
        <w:t xml:space="preserve">. Typically, the maximum first-contingency loss is between 1,300 and 1,700 MW. In addition, OP 8 requires the ISO to maintain a sufficient amount of reserves to be able to replace within </w:t>
      </w:r>
      <w:r w:rsidR="00BB3F32" w:rsidRPr="007E142C">
        <w:t>30 </w:t>
      </w:r>
      <w:r w:rsidRPr="007E142C">
        <w:t>minutes at least 50% of the second-contingency loss (N-1-1). Typically, 50% of the maximum second-contingency loss is between 600 and 750 MW.</w:t>
      </w:r>
    </w:p>
    <w:p w:rsidR="00FB0D78" w:rsidRDefault="00FB0D78" w:rsidP="00073277">
      <w:r w:rsidRPr="00752187">
        <w:t xml:space="preserve">In accordance </w:t>
      </w:r>
      <w:r w:rsidRPr="002E359C">
        <w:t>with NERC and NPCC criteria</w:t>
      </w:r>
      <w:r w:rsidRPr="00752187">
        <w:t xml:space="preserve"> </w:t>
      </w:r>
      <w:r w:rsidRPr="009F3C18">
        <w:t>for power</w:t>
      </w:r>
      <w:r w:rsidRPr="00752187">
        <w:t xml:space="preserve"> system operation, ISO Operating Procedure No</w:t>
      </w:r>
      <w:r w:rsidR="004939AC" w:rsidRPr="00752187">
        <w:t>.</w:t>
      </w:r>
      <w:r w:rsidR="004939AC">
        <w:t> </w:t>
      </w:r>
      <w:r w:rsidRPr="00752187">
        <w:t>19</w:t>
      </w:r>
      <w:r>
        <w:t xml:space="preserve"> </w:t>
      </w:r>
      <w:r w:rsidRPr="00752187">
        <w:t xml:space="preserve">(OP 19), </w:t>
      </w:r>
      <w:r w:rsidRPr="001E43ED">
        <w:rPr>
          <w:i/>
        </w:rPr>
        <w:t>Transmission Operations</w:t>
      </w:r>
      <w:r w:rsidRPr="00752187">
        <w:t>, requires the system to operate such that when any power system element is lost</w:t>
      </w:r>
      <w:r w:rsidR="004939AC">
        <w:t xml:space="preserve"> (N-1)</w:t>
      </w:r>
      <w:r w:rsidRPr="00752187">
        <w:t>, power flows remain within applicable emergency limits of the remaining power system elements.</w:t>
      </w:r>
      <w:r w:rsidRPr="001E43ED">
        <w:rPr>
          <w:vertAlign w:val="superscript"/>
        </w:rPr>
        <w:footnoteReference w:id="106"/>
      </w:r>
      <w:r w:rsidRPr="00752187">
        <w:t xml:space="preserve"> This N-1 limit may be a thermal, voltage, or stability limit of the transmission system. OP 19 further stipulates that within 30 minutes of the loss of the first-contingency element, the system must be able to return to a normal state </w:t>
      </w:r>
      <w:r>
        <w:t xml:space="preserve">that can </w:t>
      </w:r>
      <w:r w:rsidRPr="00752187">
        <w:t>withstand a second contingency. To implement these requirements, OP 8 requires operating reserve</w:t>
      </w:r>
      <w:r>
        <w:t>s</w:t>
      </w:r>
      <w:r w:rsidRPr="00752187">
        <w:t xml:space="preserve"> </w:t>
      </w:r>
      <w:r>
        <w:t>to</w:t>
      </w:r>
      <w:r w:rsidRPr="00752187">
        <w:t xml:space="preserve"> </w:t>
      </w:r>
      <w:r>
        <w:t xml:space="preserve">be distributed </w:t>
      </w:r>
      <w:r w:rsidRPr="002B3D9C">
        <w:t>throughout the system</w:t>
      </w:r>
      <w:r>
        <w:t xml:space="preserve">. This ensures that the ISO can use them fully for any criteria </w:t>
      </w:r>
      <w:r w:rsidRPr="00752187">
        <w:t xml:space="preserve">contingency without exceeding transmission system limitations and </w:t>
      </w:r>
      <w:r>
        <w:t xml:space="preserve">that the operation of the </w:t>
      </w:r>
      <w:r w:rsidRPr="00700417">
        <w:t xml:space="preserve">system </w:t>
      </w:r>
      <w:r>
        <w:t xml:space="preserve">remains </w:t>
      </w:r>
      <w:r w:rsidRPr="00752187">
        <w:t xml:space="preserve">in accordance with NERC, NPCC, and ISO New England </w:t>
      </w:r>
      <w:r>
        <w:t>criteria and guidelines</w:t>
      </w:r>
      <w:r w:rsidRPr="00752187">
        <w:t>.</w:t>
      </w:r>
      <w:bookmarkStart w:id="339" w:name="_Toc176245013"/>
    </w:p>
    <w:p w:rsidR="00B462A6" w:rsidRDefault="00FB0D78">
      <w:pPr>
        <w:pStyle w:val="Heading3"/>
      </w:pPr>
      <w:bookmarkStart w:id="340" w:name="_Toc201669942"/>
      <w:bookmarkStart w:id="341" w:name="_Toc207531841"/>
      <w:bookmarkStart w:id="342" w:name="_Ref231187587"/>
      <w:bookmarkStart w:id="343" w:name="_Toc239157077"/>
      <w:bookmarkStart w:id="344" w:name="_Toc271632232"/>
      <w:r w:rsidRPr="000867AD">
        <w:t>Forward Reserve Market Requirements</w:t>
      </w:r>
      <w:r>
        <w:t xml:space="preserve"> </w:t>
      </w:r>
      <w:r w:rsidRPr="000867AD">
        <w:t>for Major Import Are</w:t>
      </w:r>
      <w:bookmarkEnd w:id="339"/>
      <w:r w:rsidRPr="000867AD">
        <w:t>as</w:t>
      </w:r>
      <w:bookmarkEnd w:id="340"/>
      <w:bookmarkEnd w:id="341"/>
      <w:bookmarkEnd w:id="342"/>
      <w:bookmarkEnd w:id="343"/>
      <w:bookmarkEnd w:id="344"/>
    </w:p>
    <w:p w:rsidR="00FB0D78" w:rsidRDefault="00FB0D78" w:rsidP="00073277">
      <w:r w:rsidRPr="00CF1485">
        <w:t xml:space="preserve">To maintain </w:t>
      </w:r>
      <w:r>
        <w:t>system</w:t>
      </w:r>
      <w:r w:rsidRPr="00CF1485">
        <w:t xml:space="preserve"> reliability, OP 8 mandates the ISO to maintain certain reserve levels within subareas that rely on resources located outside the area. The amount and type of operating reserves a subarea needs depend on the system’s reliability constraints and the characteristics of the generating units within the subarea.</w:t>
      </w:r>
      <w:r>
        <w:t xml:space="preserve"> Subarea </w:t>
      </w:r>
      <w:r w:rsidRPr="00CF1485">
        <w:t xml:space="preserve">reserve requirements </w:t>
      </w:r>
      <w:r>
        <w:t xml:space="preserve">also </w:t>
      </w:r>
      <w:r w:rsidRPr="00CF1485">
        <w:t>vary as a function of system conditions related to load levels, unit commitment and dispatch, system topology, and special operational considerations.</w:t>
      </w:r>
      <w:r>
        <w:t xml:space="preserve"> </w:t>
      </w:r>
      <w:r w:rsidRPr="00623FFB">
        <w:t>If maximizing the use of transmission import capability to meet demand is more economical, the subarea will require more local operating reserves to protect for the N-1-1 contingency. If using import capability to meet demand is less economical, generation located outside the subarea could be used to provide operating reserves, thus reducing operating-reserve support needed within the subarea.</w:t>
      </w:r>
    </w:p>
    <w:p w:rsidR="00FB0D78" w:rsidRDefault="00832C7A" w:rsidP="00073277">
      <w:fldSimple w:instr=" REF _Ref200420109 \h  \* MERGEFORMAT ">
        <w:r w:rsidR="00E5699E">
          <w:t>Table 5</w:t>
        </w:r>
        <w:r w:rsidR="00E5699E">
          <w:noBreakHyphen/>
          <w:t>1</w:t>
        </w:r>
      </w:fldSimple>
      <w:r w:rsidR="00FB0D78">
        <w:t xml:space="preserve"> </w:t>
      </w:r>
      <w:r w:rsidR="00FB0D78" w:rsidRPr="002E7513">
        <w:t>shows</w:t>
      </w:r>
      <w:r w:rsidR="00FB0D78">
        <w:t xml:space="preserve"> representative future operating-reserve requirements for Greater Southwest Connecticut, Greater Connecticut, and BOSTON. These estimated requirements </w:t>
      </w:r>
      <w:r w:rsidR="00FB0D78" w:rsidRPr="0072265B">
        <w:t xml:space="preserve">are based on the </w:t>
      </w:r>
      <w:r w:rsidR="00FB0D78">
        <w:t xml:space="preserve">same </w:t>
      </w:r>
      <w:r w:rsidR="00FB0D78" w:rsidRPr="0072265B">
        <w:t xml:space="preserve">methodology </w:t>
      </w:r>
      <w:r w:rsidR="00FB0D78">
        <w:t xml:space="preserve">used to </w:t>
      </w:r>
      <w:r w:rsidR="00FB0D78" w:rsidRPr="0072265B">
        <w:t>calculat</w:t>
      </w:r>
      <w:r w:rsidR="00FB0D78">
        <w:t>e</w:t>
      </w:r>
      <w:r w:rsidR="00FB0D78" w:rsidRPr="0072265B">
        <w:t xml:space="preserve"> the requirements for the loca</w:t>
      </w:r>
      <w:r w:rsidR="00FB0D78">
        <w:t xml:space="preserve">tional FRM. The estimates account for representative future system conditions for load, generation </w:t>
      </w:r>
      <w:r w:rsidR="00FB0D78" w:rsidRPr="00EA1502">
        <w:t>availability, N-1 and</w:t>
      </w:r>
      <w:r w:rsidR="00FB0D78">
        <w:t xml:space="preserve"> N-1-1 transfer limits, and the largest generation and transmission contingencies in each subarea. The representative values show a range to reflect the load and resource uncertainties associated with future system conditions. Actual market requirements are calculated immediately before each locational FRM procurement period and are based on historical data that reflect actual system conditions. The table also shows the existing amount of fast-start capability located in each subarea </w:t>
      </w:r>
      <w:r w:rsidR="00722D63">
        <w:t xml:space="preserve">as a result of </w:t>
      </w:r>
      <w:r w:rsidR="00FB0D78" w:rsidRPr="002D55A6">
        <w:t xml:space="preserve">the fast-start resource offers into the </w:t>
      </w:r>
      <w:r w:rsidR="00FB0D78">
        <w:t xml:space="preserve">past </w:t>
      </w:r>
      <w:r w:rsidR="00FB0D78" w:rsidRPr="002D55A6">
        <w:t>F</w:t>
      </w:r>
      <w:r w:rsidR="00FB0D78">
        <w:t xml:space="preserve">RM </w:t>
      </w:r>
      <w:r w:rsidR="00FB0D78" w:rsidRPr="002D55A6">
        <w:t>auctions.</w:t>
      </w:r>
    </w:p>
    <w:p w:rsidR="00FB0D78" w:rsidRDefault="00FB0D78" w:rsidP="00925F72">
      <w:pPr>
        <w:pStyle w:val="Caption"/>
      </w:pPr>
      <w:bookmarkStart w:id="345" w:name="_Ref173302087"/>
      <w:bookmarkStart w:id="346" w:name="_Ref200420109"/>
      <w:bookmarkStart w:id="347" w:name="_Toc200440157"/>
      <w:bookmarkStart w:id="348" w:name="_Toc207531979"/>
      <w:bookmarkStart w:id="349" w:name="_Toc239157228"/>
      <w:bookmarkStart w:id="350" w:name="_Toc271552415"/>
      <w:bookmarkStart w:id="351" w:name="_Toc176244944"/>
      <w:r>
        <w:t>Table </w:t>
      </w:r>
      <w:r w:rsidR="00832C7A">
        <w:fldChar w:fldCharType="begin"/>
      </w:r>
      <w:r w:rsidR="00B2406F">
        <w:instrText xml:space="preserve"> STYLEREF 1 \s </w:instrText>
      </w:r>
      <w:r w:rsidR="00832C7A">
        <w:fldChar w:fldCharType="separate"/>
      </w:r>
      <w:r w:rsidR="00E5699E">
        <w:rPr>
          <w:noProof/>
        </w:rPr>
        <w:t>5</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345"/>
      <w:bookmarkEnd w:id="346"/>
      <w:r>
        <w:t xml:space="preserve"> </w:t>
      </w:r>
      <w:r w:rsidRPr="005F3C21">
        <w:br/>
        <w:t>Representative Future Operating-Reserve Requirements</w:t>
      </w:r>
      <w:r>
        <w:br/>
      </w:r>
      <w:r w:rsidRPr="005F3C21">
        <w:t xml:space="preserve">in Major New England Import Areas </w:t>
      </w:r>
      <w:r>
        <w:t>(</w:t>
      </w:r>
      <w:r w:rsidRPr="005F3C21">
        <w:t>MW)</w:t>
      </w:r>
      <w:bookmarkEnd w:id="347"/>
      <w:bookmarkEnd w:id="348"/>
      <w:bookmarkEnd w:id="349"/>
      <w:bookmarkEnd w:id="350"/>
    </w:p>
    <w:tbl>
      <w:tblPr>
        <w:tblStyle w:val="MediumShading1-Accent12"/>
        <w:tblW w:w="931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bottom w:w="43" w:type="dxa"/>
        </w:tblCellMar>
        <w:tblLook w:val="0000"/>
      </w:tblPr>
      <w:tblGrid>
        <w:gridCol w:w="2657"/>
        <w:gridCol w:w="1170"/>
        <w:gridCol w:w="1886"/>
        <w:gridCol w:w="1812"/>
        <w:gridCol w:w="1792"/>
      </w:tblGrid>
      <w:tr w:rsidR="00FB0D78" w:rsidRPr="00925F72" w:rsidTr="00F476EB">
        <w:trPr>
          <w:cnfStyle w:val="000000100000"/>
        </w:trPr>
        <w:tc>
          <w:tcPr>
            <w:cnfStyle w:val="000010000000"/>
            <w:tcW w:w="2657" w:type="dxa"/>
            <w:vMerge w:val="restart"/>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r w:rsidRPr="00925F72">
              <w:rPr>
                <w:rFonts w:ascii="Arial" w:hAnsi="Arial" w:cs="Arial"/>
                <w:b/>
                <w:sz w:val="18"/>
                <w:szCs w:val="18"/>
              </w:rPr>
              <w:t>Area/Improvement</w:t>
            </w:r>
          </w:p>
        </w:tc>
        <w:tc>
          <w:tcPr>
            <w:cnfStyle w:val="000001000000"/>
            <w:tcW w:w="1170" w:type="dxa"/>
            <w:vMerge w:val="restart"/>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r w:rsidRPr="00925F72">
              <w:rPr>
                <w:rFonts w:ascii="Arial" w:hAnsi="Arial" w:cs="Arial"/>
                <w:b/>
                <w:sz w:val="18"/>
                <w:szCs w:val="18"/>
              </w:rPr>
              <w:t>Market Period</w:t>
            </w:r>
            <w:r w:rsidRPr="00925F72">
              <w:rPr>
                <w:rFonts w:ascii="Arial" w:hAnsi="Arial" w:cs="Arial"/>
                <w:b/>
                <w:sz w:val="18"/>
                <w:szCs w:val="18"/>
                <w:vertAlign w:val="superscript"/>
              </w:rPr>
              <w:t>(a)</w:t>
            </w:r>
          </w:p>
        </w:tc>
        <w:tc>
          <w:tcPr>
            <w:cnfStyle w:val="000010000000"/>
            <w:tcW w:w="1886" w:type="dxa"/>
            <w:vMerge w:val="restart"/>
            <w:shd w:val="clear" w:color="auto" w:fill="FBCE76" w:themeFill="background2" w:themeFillTint="99"/>
            <w:tcMar>
              <w:top w:w="43" w:type="dxa"/>
              <w:bottom w:w="43" w:type="dxa"/>
            </w:tcMar>
          </w:tcPr>
          <w:p w:rsidR="00FB0D78" w:rsidRPr="00925F72" w:rsidRDefault="00FB0D78" w:rsidP="006F6941">
            <w:pPr>
              <w:keepNext/>
              <w:keepLines/>
              <w:spacing w:after="0" w:line="240" w:lineRule="auto"/>
              <w:rPr>
                <w:rFonts w:ascii="Arial" w:hAnsi="Arial" w:cs="Arial"/>
                <w:b/>
                <w:sz w:val="18"/>
                <w:szCs w:val="18"/>
              </w:rPr>
            </w:pPr>
            <w:r w:rsidRPr="00925F72">
              <w:rPr>
                <w:rFonts w:ascii="Arial" w:hAnsi="Arial" w:cs="Arial"/>
                <w:b/>
                <w:sz w:val="18"/>
                <w:szCs w:val="18"/>
              </w:rPr>
              <w:t xml:space="preserve">Range of Fast-Start Resources Offered into the </w:t>
            </w:r>
            <w:r w:rsidR="006F6941">
              <w:rPr>
                <w:rFonts w:ascii="Arial" w:hAnsi="Arial" w:cs="Arial"/>
                <w:b/>
                <w:sz w:val="18"/>
                <w:szCs w:val="18"/>
              </w:rPr>
              <w:t>P</w:t>
            </w:r>
            <w:r w:rsidRPr="00925F72">
              <w:rPr>
                <w:rFonts w:ascii="Arial" w:hAnsi="Arial" w:cs="Arial"/>
                <w:b/>
                <w:sz w:val="18"/>
                <w:szCs w:val="18"/>
              </w:rPr>
              <w:t>ast Forward Reserve Auctions (MW)</w:t>
            </w:r>
            <w:r w:rsidRPr="00925F72">
              <w:rPr>
                <w:rFonts w:ascii="Arial" w:hAnsi="Arial" w:cs="Arial"/>
                <w:b/>
                <w:sz w:val="18"/>
                <w:szCs w:val="18"/>
                <w:vertAlign w:val="superscript"/>
              </w:rPr>
              <w:t>(b)</w:t>
            </w:r>
          </w:p>
        </w:tc>
        <w:tc>
          <w:tcPr>
            <w:cnfStyle w:val="000001000000"/>
            <w:tcW w:w="3604" w:type="dxa"/>
            <w:gridSpan w:val="2"/>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r w:rsidRPr="00925F72">
              <w:rPr>
                <w:rFonts w:ascii="Arial" w:hAnsi="Arial" w:cs="Arial"/>
                <w:b/>
                <w:sz w:val="18"/>
                <w:szCs w:val="18"/>
              </w:rPr>
              <w:t>Representative Future</w:t>
            </w:r>
            <w:r w:rsidRPr="00925F72">
              <w:rPr>
                <w:rFonts w:ascii="Arial" w:hAnsi="Arial" w:cs="Arial"/>
                <w:b/>
                <w:sz w:val="18"/>
                <w:szCs w:val="18"/>
              </w:rPr>
              <w:br/>
              <w:t>Locational Forward Reserve Market Requirements (MW)</w:t>
            </w:r>
          </w:p>
        </w:tc>
      </w:tr>
      <w:tr w:rsidR="00FB0D78" w:rsidRPr="00925F72" w:rsidTr="00F476EB">
        <w:trPr>
          <w:cnfStyle w:val="000000010000"/>
        </w:trPr>
        <w:tc>
          <w:tcPr>
            <w:cnfStyle w:val="000010000000"/>
            <w:tcW w:w="2657" w:type="dxa"/>
            <w:vMerge/>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p>
        </w:tc>
        <w:tc>
          <w:tcPr>
            <w:cnfStyle w:val="000001000000"/>
            <w:tcW w:w="1170" w:type="dxa"/>
            <w:vMerge/>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p>
        </w:tc>
        <w:tc>
          <w:tcPr>
            <w:cnfStyle w:val="000010000000"/>
            <w:tcW w:w="1886" w:type="dxa"/>
            <w:vMerge/>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p>
        </w:tc>
        <w:tc>
          <w:tcPr>
            <w:cnfStyle w:val="000001000000"/>
            <w:tcW w:w="1812" w:type="dxa"/>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r w:rsidRPr="00925F72">
              <w:rPr>
                <w:rFonts w:ascii="Arial" w:hAnsi="Arial" w:cs="Arial"/>
                <w:b/>
                <w:sz w:val="18"/>
                <w:szCs w:val="18"/>
              </w:rPr>
              <w:t xml:space="preserve">Summer </w:t>
            </w:r>
            <w:r w:rsidRPr="00925F72">
              <w:rPr>
                <w:rFonts w:ascii="Arial" w:hAnsi="Arial" w:cs="Arial"/>
                <w:b/>
                <w:sz w:val="18"/>
                <w:szCs w:val="18"/>
              </w:rPr>
              <w:br/>
              <w:t>(Jun to Sep)</w:t>
            </w:r>
            <w:r w:rsidRPr="00925F72">
              <w:rPr>
                <w:rFonts w:ascii="Arial" w:hAnsi="Arial" w:cs="Arial"/>
                <w:b/>
                <w:sz w:val="18"/>
                <w:szCs w:val="18"/>
                <w:vertAlign w:val="superscript"/>
              </w:rPr>
              <w:t>(c)</w:t>
            </w:r>
          </w:p>
        </w:tc>
        <w:tc>
          <w:tcPr>
            <w:cnfStyle w:val="000010000000"/>
            <w:tcW w:w="1792" w:type="dxa"/>
            <w:shd w:val="clear" w:color="auto" w:fill="FBCE76" w:themeFill="background2" w:themeFillTint="99"/>
            <w:tcMar>
              <w:top w:w="43" w:type="dxa"/>
              <w:bottom w:w="43" w:type="dxa"/>
            </w:tcMar>
          </w:tcPr>
          <w:p w:rsidR="00FB0D78" w:rsidRPr="00925F72" w:rsidRDefault="00FB0D78" w:rsidP="00925F72">
            <w:pPr>
              <w:keepNext/>
              <w:keepLines/>
              <w:spacing w:after="0" w:line="240" w:lineRule="auto"/>
              <w:rPr>
                <w:rFonts w:ascii="Arial" w:hAnsi="Arial" w:cs="Arial"/>
                <w:b/>
                <w:sz w:val="18"/>
                <w:szCs w:val="18"/>
              </w:rPr>
            </w:pPr>
            <w:r w:rsidRPr="00925F72">
              <w:rPr>
                <w:rFonts w:ascii="Arial" w:hAnsi="Arial" w:cs="Arial"/>
                <w:b/>
                <w:sz w:val="18"/>
                <w:szCs w:val="18"/>
              </w:rPr>
              <w:t>Winter</w:t>
            </w:r>
            <w:r w:rsidRPr="00925F72">
              <w:rPr>
                <w:rFonts w:ascii="Arial" w:hAnsi="Arial" w:cs="Arial"/>
                <w:b/>
                <w:sz w:val="18"/>
                <w:szCs w:val="18"/>
              </w:rPr>
              <w:br/>
              <w:t>(Oct to May)</w:t>
            </w:r>
            <w:r w:rsidRPr="00925F72">
              <w:rPr>
                <w:rFonts w:ascii="Arial" w:hAnsi="Arial" w:cs="Arial"/>
                <w:b/>
                <w:sz w:val="18"/>
                <w:szCs w:val="18"/>
                <w:vertAlign w:val="superscript"/>
              </w:rPr>
              <w:t>(c)</w:t>
            </w:r>
          </w:p>
        </w:tc>
      </w:tr>
      <w:tr w:rsidR="00FB0D78" w:rsidRPr="00925F72" w:rsidTr="00F476EB">
        <w:trPr>
          <w:cnfStyle w:val="000000100000"/>
        </w:trPr>
        <w:tc>
          <w:tcPr>
            <w:cnfStyle w:val="000010000000"/>
            <w:tcW w:w="2657" w:type="dxa"/>
            <w:vMerge w:val="restart"/>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vertAlign w:val="superscript"/>
              </w:rPr>
            </w:pPr>
            <w:r w:rsidRPr="00925F72">
              <w:rPr>
                <w:rFonts w:ascii="Arial" w:hAnsi="Arial" w:cs="Arial"/>
                <w:b/>
                <w:sz w:val="18"/>
                <w:szCs w:val="18"/>
              </w:rPr>
              <w:t>Greater Southwest</w:t>
            </w:r>
          </w:p>
          <w:p w:rsidR="00FB0D78" w:rsidRPr="00925F72" w:rsidRDefault="00FB0D78" w:rsidP="00F476EB">
            <w:pPr>
              <w:keepNext/>
              <w:keepLines/>
              <w:spacing w:after="0" w:line="240" w:lineRule="auto"/>
              <w:jc w:val="left"/>
              <w:rPr>
                <w:rFonts w:ascii="Arial" w:hAnsi="Arial" w:cs="Arial"/>
                <w:b/>
                <w:sz w:val="18"/>
                <w:szCs w:val="18"/>
              </w:rPr>
            </w:pPr>
            <w:r w:rsidRPr="00925F72">
              <w:rPr>
                <w:rFonts w:ascii="Arial" w:hAnsi="Arial" w:cs="Arial"/>
                <w:b/>
                <w:sz w:val="18"/>
                <w:szCs w:val="18"/>
              </w:rPr>
              <w:t>Connecticut</w:t>
            </w:r>
            <w:r w:rsidRPr="00925F72">
              <w:rPr>
                <w:rFonts w:ascii="Arial" w:hAnsi="Arial" w:cs="Arial"/>
                <w:b/>
                <w:sz w:val="18"/>
                <w:szCs w:val="18"/>
                <w:vertAlign w:val="superscript"/>
              </w:rPr>
              <w:t>(d)</w:t>
            </w: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2010</w:t>
            </w:r>
          </w:p>
        </w:tc>
        <w:tc>
          <w:tcPr>
            <w:cnfStyle w:val="000010000000"/>
            <w:tcW w:w="1886" w:type="dxa"/>
            <w:vMerge w:val="restart"/>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301</w:t>
            </w:r>
            <w:r w:rsidR="006F6941">
              <w:rPr>
                <w:rFonts w:ascii="Arial" w:hAnsi="Arial" w:cs="Arial"/>
                <w:sz w:val="18"/>
                <w:szCs w:val="18"/>
              </w:rPr>
              <w:t>–</w:t>
            </w:r>
            <w:r w:rsidRPr="00925F72">
              <w:rPr>
                <w:rFonts w:ascii="Arial" w:hAnsi="Arial" w:cs="Arial"/>
                <w:sz w:val="18"/>
                <w:szCs w:val="18"/>
              </w:rPr>
              <w:t>505</w:t>
            </w: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r w:rsidRPr="00925F72">
              <w:rPr>
                <w:rFonts w:ascii="Arial" w:hAnsi="Arial" w:cs="Arial"/>
                <w:sz w:val="18"/>
                <w:szCs w:val="18"/>
                <w:vertAlign w:val="superscript"/>
              </w:rPr>
              <w:t>(e)</w:t>
            </w:r>
          </w:p>
        </w:tc>
        <w:tc>
          <w:tcPr>
            <w:cnfStyle w:val="000010000000"/>
            <w:tcW w:w="1792" w:type="dxa"/>
            <w:tcMar>
              <w:top w:w="43" w:type="dxa"/>
              <w:bottom w:w="43" w:type="dxa"/>
            </w:tcMar>
          </w:tcPr>
          <w:p w:rsidR="00FB0D78" w:rsidRPr="00925F72" w:rsidRDefault="000A4845" w:rsidP="00925F72">
            <w:pPr>
              <w:keepNext/>
              <w:keepLines/>
              <w:spacing w:after="0" w:line="240" w:lineRule="auto"/>
              <w:rPr>
                <w:rFonts w:ascii="Arial" w:eastAsia="Arial" w:hAnsi="Arial" w:cs="Arial"/>
                <w:sz w:val="18"/>
                <w:szCs w:val="18"/>
              </w:rPr>
            </w:pPr>
            <w:r w:rsidRPr="00925F72">
              <w:rPr>
                <w:rFonts w:ascii="Arial" w:hAnsi="Arial" w:cs="Arial"/>
                <w:sz w:val="18"/>
                <w:szCs w:val="18"/>
              </w:rPr>
              <w:t>0</w:t>
            </w:r>
            <w:r w:rsidRPr="00925F72">
              <w:rPr>
                <w:rFonts w:ascii="Arial" w:hAnsi="Arial" w:cs="Arial"/>
                <w:sz w:val="18"/>
                <w:szCs w:val="18"/>
                <w:vertAlign w:val="superscript"/>
              </w:rPr>
              <w:t>(e)</w:t>
            </w:r>
          </w:p>
        </w:tc>
      </w:tr>
      <w:tr w:rsidR="00FB0D78" w:rsidRPr="00925F72" w:rsidTr="00F476EB">
        <w:trPr>
          <w:cnfStyle w:val="000000010000"/>
        </w:trPr>
        <w:tc>
          <w:tcPr>
            <w:cnfStyle w:val="000010000000"/>
            <w:tcW w:w="2657" w:type="dxa"/>
            <w:vMerge/>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2011</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 xml:space="preserve">0 </w:t>
            </w:r>
          </w:p>
        </w:tc>
        <w:tc>
          <w:tcPr>
            <w:cnfStyle w:val="000010000000"/>
            <w:tcW w:w="179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100000"/>
        </w:trPr>
        <w:tc>
          <w:tcPr>
            <w:cnfStyle w:val="000010000000"/>
            <w:tcW w:w="2657" w:type="dxa"/>
            <w:vMerge/>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2012</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 xml:space="preserve">0 </w:t>
            </w:r>
          </w:p>
        </w:tc>
        <w:tc>
          <w:tcPr>
            <w:cnfStyle w:val="000010000000"/>
            <w:tcW w:w="179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010000"/>
        </w:trPr>
        <w:tc>
          <w:tcPr>
            <w:cnfStyle w:val="000010000000"/>
            <w:tcW w:w="2657" w:type="dxa"/>
            <w:vMerge/>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2013</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 xml:space="preserve">0 </w:t>
            </w:r>
          </w:p>
        </w:tc>
        <w:tc>
          <w:tcPr>
            <w:cnfStyle w:val="000010000000"/>
            <w:tcW w:w="179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100000"/>
        </w:trPr>
        <w:tc>
          <w:tcPr>
            <w:cnfStyle w:val="000010000000"/>
            <w:tcW w:w="2657" w:type="dxa"/>
            <w:vMerge/>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2014</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 xml:space="preserve">0 </w:t>
            </w:r>
          </w:p>
        </w:tc>
        <w:tc>
          <w:tcPr>
            <w:cnfStyle w:val="000010000000"/>
            <w:tcW w:w="179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010000"/>
        </w:trPr>
        <w:tc>
          <w:tcPr>
            <w:cnfStyle w:val="000010000000"/>
            <w:tcW w:w="2657" w:type="dxa"/>
            <w:vMerge w:val="restart"/>
            <w:shd w:val="clear" w:color="auto" w:fill="FDEED1" w:themeFill="background2" w:themeFillTint="33"/>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r w:rsidRPr="00925F72">
              <w:rPr>
                <w:rFonts w:ascii="Arial" w:hAnsi="Arial" w:cs="Arial"/>
                <w:b/>
                <w:sz w:val="18"/>
                <w:szCs w:val="18"/>
              </w:rPr>
              <w:t>Greater Connecticut</w:t>
            </w:r>
            <w:r w:rsidRPr="00925F72">
              <w:rPr>
                <w:rFonts w:ascii="Arial" w:hAnsi="Arial" w:cs="Arial"/>
                <w:b/>
                <w:sz w:val="18"/>
                <w:szCs w:val="18"/>
                <w:vertAlign w:val="superscript"/>
              </w:rPr>
              <w:t>(f, g)</w:t>
            </w: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2010</w:t>
            </w:r>
          </w:p>
        </w:tc>
        <w:tc>
          <w:tcPr>
            <w:cnfStyle w:val="000010000000"/>
            <w:tcW w:w="1886" w:type="dxa"/>
            <w:vMerge w:val="restart"/>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sidDel="004027FC">
              <w:rPr>
                <w:rFonts w:ascii="Arial" w:hAnsi="Arial" w:cs="Arial"/>
                <w:sz w:val="18"/>
                <w:szCs w:val="18"/>
                <w:vertAlign w:val="superscript"/>
              </w:rPr>
              <w:t xml:space="preserve"> </w:t>
            </w:r>
          </w:p>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659</w:t>
            </w:r>
            <w:r w:rsidR="006F6941">
              <w:rPr>
                <w:rFonts w:ascii="Arial" w:hAnsi="Arial" w:cs="Arial"/>
                <w:sz w:val="18"/>
                <w:szCs w:val="18"/>
              </w:rPr>
              <w:t>–</w:t>
            </w:r>
            <w:r w:rsidRPr="00925F72">
              <w:rPr>
                <w:rFonts w:ascii="Arial" w:hAnsi="Arial" w:cs="Arial"/>
                <w:sz w:val="18"/>
                <w:szCs w:val="18"/>
              </w:rPr>
              <w:t>1</w:t>
            </w:r>
            <w:r w:rsidR="006F6941">
              <w:rPr>
                <w:rFonts w:ascii="Arial" w:hAnsi="Arial" w:cs="Arial"/>
                <w:sz w:val="18"/>
                <w:szCs w:val="18"/>
              </w:rPr>
              <w:t>,</w:t>
            </w:r>
            <w:r w:rsidRPr="00925F72">
              <w:rPr>
                <w:rFonts w:ascii="Arial" w:hAnsi="Arial" w:cs="Arial"/>
                <w:sz w:val="18"/>
                <w:szCs w:val="18"/>
              </w:rPr>
              <w:t>262</w:t>
            </w:r>
            <w:r w:rsidRPr="00925F72">
              <w:rPr>
                <w:rFonts w:ascii="Arial" w:hAnsi="Arial" w:cs="Arial"/>
                <w:sz w:val="18"/>
                <w:szCs w:val="18"/>
                <w:vertAlign w:val="superscript"/>
              </w:rPr>
              <w:t>(h)</w:t>
            </w:r>
          </w:p>
        </w:tc>
        <w:tc>
          <w:tcPr>
            <w:cnfStyle w:val="000001000000"/>
            <w:tcW w:w="181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1,225</w:t>
            </w:r>
            <w:r w:rsidRPr="00925F72">
              <w:rPr>
                <w:rFonts w:ascii="Arial" w:hAnsi="Arial" w:cs="Arial"/>
                <w:sz w:val="18"/>
                <w:szCs w:val="18"/>
                <w:vertAlign w:val="superscript"/>
              </w:rPr>
              <w:t>(e)</w:t>
            </w:r>
          </w:p>
        </w:tc>
        <w:tc>
          <w:tcPr>
            <w:cnfStyle w:val="000010000000"/>
            <w:tcW w:w="1792" w:type="dxa"/>
            <w:shd w:val="clear" w:color="auto" w:fill="FDEED1" w:themeFill="background2" w:themeFillTint="33"/>
            <w:tcMar>
              <w:top w:w="43" w:type="dxa"/>
              <w:bottom w:w="43" w:type="dxa"/>
            </w:tcMar>
          </w:tcPr>
          <w:p w:rsidR="00F158B9" w:rsidRDefault="00D4331C">
            <w:pPr>
              <w:keepNext/>
              <w:keepLines/>
              <w:spacing w:after="0" w:line="240" w:lineRule="auto"/>
              <w:rPr>
                <w:rFonts w:ascii="Arial" w:eastAsia="Arial" w:hAnsi="Arial" w:cs="Arial"/>
                <w:sz w:val="18"/>
                <w:szCs w:val="18"/>
              </w:rPr>
            </w:pPr>
            <w:r w:rsidRPr="00D4331C">
              <w:rPr>
                <w:rFonts w:ascii="Arial" w:hAnsi="Arial" w:cs="Arial"/>
                <w:sz w:val="18"/>
                <w:szCs w:val="18"/>
              </w:rPr>
              <w:t>925</w:t>
            </w:r>
            <w:r w:rsidR="00FB5C0D">
              <w:rPr>
                <w:rFonts w:ascii="Arial" w:hAnsi="Arial" w:cs="Arial"/>
                <w:sz w:val="18"/>
                <w:szCs w:val="18"/>
                <w:vertAlign w:val="superscript"/>
              </w:rPr>
              <w:t>(e)</w:t>
            </w:r>
          </w:p>
        </w:tc>
      </w:tr>
      <w:tr w:rsidR="00FB0D78" w:rsidRPr="00925F72" w:rsidTr="00F476EB">
        <w:trPr>
          <w:cnfStyle w:val="000000100000"/>
        </w:trPr>
        <w:tc>
          <w:tcPr>
            <w:cnfStyle w:val="000010000000"/>
            <w:tcW w:w="2657" w:type="dxa"/>
            <w:vMerge/>
            <w:shd w:val="clear" w:color="auto" w:fill="FDEED1" w:themeFill="background2" w:themeFillTint="33"/>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2011</w:t>
            </w:r>
          </w:p>
        </w:tc>
        <w:tc>
          <w:tcPr>
            <w:cnfStyle w:val="000010000000"/>
            <w:tcW w:w="1886" w:type="dxa"/>
            <w:vMerge/>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1,000</w:t>
            </w:r>
            <w:r w:rsidR="006F6941">
              <w:rPr>
                <w:rFonts w:ascii="Arial" w:hAnsi="Arial" w:cs="Arial"/>
                <w:sz w:val="18"/>
                <w:szCs w:val="18"/>
              </w:rPr>
              <w:t>–</w:t>
            </w:r>
            <w:r w:rsidRPr="00925F72">
              <w:rPr>
                <w:rFonts w:ascii="Arial" w:hAnsi="Arial" w:cs="Arial"/>
                <w:sz w:val="18"/>
                <w:szCs w:val="18"/>
              </w:rPr>
              <w:t>1,250</w:t>
            </w:r>
          </w:p>
        </w:tc>
        <w:tc>
          <w:tcPr>
            <w:cnfStyle w:val="000010000000"/>
            <w:tcW w:w="1792" w:type="dxa"/>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600</w:t>
            </w:r>
            <w:r w:rsidR="006F6941">
              <w:rPr>
                <w:rFonts w:ascii="Arial" w:hAnsi="Arial" w:cs="Arial"/>
                <w:sz w:val="18"/>
                <w:szCs w:val="18"/>
              </w:rPr>
              <w:t>–</w:t>
            </w:r>
            <w:r w:rsidRPr="00925F72">
              <w:rPr>
                <w:rFonts w:ascii="Arial" w:hAnsi="Arial" w:cs="Arial"/>
                <w:sz w:val="18"/>
                <w:szCs w:val="18"/>
              </w:rPr>
              <w:t>1,050</w:t>
            </w:r>
          </w:p>
        </w:tc>
      </w:tr>
      <w:tr w:rsidR="00FB0D78" w:rsidRPr="00925F72" w:rsidTr="00F476EB">
        <w:trPr>
          <w:cnfStyle w:val="000000010000"/>
        </w:trPr>
        <w:tc>
          <w:tcPr>
            <w:cnfStyle w:val="000010000000"/>
            <w:tcW w:w="2657" w:type="dxa"/>
            <w:vMerge/>
            <w:shd w:val="clear" w:color="auto" w:fill="FDEED1" w:themeFill="background2" w:themeFillTint="33"/>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2012</w:t>
            </w:r>
          </w:p>
        </w:tc>
        <w:tc>
          <w:tcPr>
            <w:cnfStyle w:val="000010000000"/>
            <w:tcW w:w="1886" w:type="dxa"/>
            <w:vMerge/>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700</w:t>
            </w:r>
            <w:r w:rsidR="006F6941">
              <w:rPr>
                <w:rFonts w:ascii="Arial" w:hAnsi="Arial" w:cs="Arial"/>
                <w:sz w:val="18"/>
                <w:szCs w:val="18"/>
              </w:rPr>
              <w:t>–</w:t>
            </w:r>
            <w:r w:rsidRPr="00925F72">
              <w:rPr>
                <w:rFonts w:ascii="Arial" w:hAnsi="Arial" w:cs="Arial"/>
                <w:sz w:val="18"/>
                <w:szCs w:val="18"/>
              </w:rPr>
              <w:t>1,250</w:t>
            </w:r>
          </w:p>
        </w:tc>
        <w:tc>
          <w:tcPr>
            <w:cnfStyle w:val="000010000000"/>
            <w:tcW w:w="1792" w:type="dxa"/>
            <w:shd w:val="clear" w:color="auto" w:fill="FDEED1" w:themeFill="background2" w:themeFillTint="33"/>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500</w:t>
            </w:r>
            <w:r w:rsidR="006F6941">
              <w:rPr>
                <w:rFonts w:ascii="Arial" w:hAnsi="Arial" w:cs="Arial"/>
                <w:sz w:val="18"/>
                <w:szCs w:val="18"/>
              </w:rPr>
              <w:t>–</w:t>
            </w:r>
            <w:r w:rsidRPr="00925F72">
              <w:rPr>
                <w:rFonts w:ascii="Arial" w:hAnsi="Arial" w:cs="Arial"/>
                <w:sz w:val="18"/>
                <w:szCs w:val="18"/>
              </w:rPr>
              <w:t>950</w:t>
            </w:r>
          </w:p>
        </w:tc>
      </w:tr>
      <w:tr w:rsidR="00FB0D78" w:rsidRPr="00925F72" w:rsidTr="00F476EB">
        <w:trPr>
          <w:cnfStyle w:val="000000100000"/>
        </w:trPr>
        <w:tc>
          <w:tcPr>
            <w:cnfStyle w:val="000010000000"/>
            <w:tcW w:w="2657" w:type="dxa"/>
            <w:vMerge/>
            <w:shd w:val="clear" w:color="auto" w:fill="FDEED1" w:themeFill="background2" w:themeFillTint="33"/>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2013</w:t>
            </w:r>
          </w:p>
        </w:tc>
        <w:tc>
          <w:tcPr>
            <w:cnfStyle w:val="000010000000"/>
            <w:tcW w:w="1886" w:type="dxa"/>
            <w:vMerge/>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700</w:t>
            </w:r>
            <w:r w:rsidR="006F6941">
              <w:rPr>
                <w:rFonts w:ascii="Arial" w:hAnsi="Arial" w:cs="Arial"/>
                <w:sz w:val="18"/>
                <w:szCs w:val="18"/>
              </w:rPr>
              <w:t>–</w:t>
            </w:r>
            <w:r w:rsidRPr="00925F72">
              <w:rPr>
                <w:rFonts w:ascii="Arial" w:hAnsi="Arial" w:cs="Arial"/>
                <w:sz w:val="18"/>
                <w:szCs w:val="18"/>
              </w:rPr>
              <w:t>1,250</w:t>
            </w:r>
          </w:p>
        </w:tc>
        <w:tc>
          <w:tcPr>
            <w:cnfStyle w:val="000010000000"/>
            <w:tcW w:w="1792" w:type="dxa"/>
            <w:tcMar>
              <w:top w:w="43" w:type="dxa"/>
              <w:bottom w:w="43" w:type="dxa"/>
            </w:tcMar>
          </w:tcPr>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450</w:t>
            </w:r>
            <w:r w:rsidR="006F6941">
              <w:rPr>
                <w:rFonts w:ascii="Arial" w:hAnsi="Arial" w:cs="Arial"/>
                <w:sz w:val="18"/>
                <w:szCs w:val="18"/>
              </w:rPr>
              <w:t>–</w:t>
            </w:r>
            <w:r w:rsidRPr="00925F72">
              <w:rPr>
                <w:rFonts w:ascii="Arial" w:hAnsi="Arial" w:cs="Arial"/>
                <w:sz w:val="18"/>
                <w:szCs w:val="18"/>
              </w:rPr>
              <w:t>900</w:t>
            </w:r>
          </w:p>
        </w:tc>
      </w:tr>
      <w:tr w:rsidR="00FB0D78" w:rsidRPr="00925F72" w:rsidTr="00F476EB">
        <w:trPr>
          <w:cnfStyle w:val="000000010000"/>
          <w:trHeight w:val="825"/>
        </w:trPr>
        <w:tc>
          <w:tcPr>
            <w:cnfStyle w:val="000010000000"/>
            <w:tcW w:w="2657" w:type="dxa"/>
            <w:vMerge/>
            <w:shd w:val="clear" w:color="auto" w:fill="FDEED1" w:themeFill="background2" w:themeFillTint="33"/>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2014</w:t>
            </w:r>
          </w:p>
        </w:tc>
        <w:tc>
          <w:tcPr>
            <w:cnfStyle w:val="000010000000"/>
            <w:tcW w:w="1886" w:type="dxa"/>
            <w:vMerge/>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3D34CC">
            <w:pPr>
              <w:keepNext/>
              <w:keepLines/>
              <w:spacing w:after="120" w:line="240" w:lineRule="auto"/>
              <w:rPr>
                <w:rFonts w:ascii="Arial" w:hAnsi="Arial" w:cs="Arial"/>
                <w:sz w:val="18"/>
                <w:szCs w:val="18"/>
              </w:rPr>
            </w:pPr>
            <w:r w:rsidRPr="00925F72">
              <w:rPr>
                <w:rFonts w:ascii="Arial" w:hAnsi="Arial" w:cs="Arial"/>
                <w:sz w:val="18"/>
                <w:szCs w:val="18"/>
              </w:rPr>
              <w:t>750</w:t>
            </w:r>
            <w:r w:rsidR="006F6941">
              <w:rPr>
                <w:rFonts w:ascii="Arial" w:hAnsi="Arial" w:cs="Arial"/>
                <w:sz w:val="18"/>
                <w:szCs w:val="18"/>
              </w:rPr>
              <w:t>–</w:t>
            </w:r>
            <w:r w:rsidRPr="00925F72">
              <w:rPr>
                <w:rFonts w:ascii="Arial" w:hAnsi="Arial" w:cs="Arial"/>
                <w:sz w:val="18"/>
                <w:szCs w:val="18"/>
              </w:rPr>
              <w:t>1,250</w:t>
            </w:r>
          </w:p>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100 to 650</w:t>
            </w:r>
            <w:r w:rsidR="006F6941">
              <w:rPr>
                <w:rFonts w:ascii="Arial" w:hAnsi="Arial" w:cs="Arial"/>
                <w:sz w:val="18"/>
                <w:szCs w:val="18"/>
              </w:rPr>
              <w:br/>
              <w:t xml:space="preserve">with </w:t>
            </w:r>
            <w:r w:rsidRPr="00925F72">
              <w:rPr>
                <w:rFonts w:ascii="Arial" w:hAnsi="Arial" w:cs="Arial"/>
                <w:sz w:val="18"/>
                <w:szCs w:val="18"/>
              </w:rPr>
              <w:t>NEEWS</w:t>
            </w:r>
          </w:p>
        </w:tc>
        <w:tc>
          <w:tcPr>
            <w:cnfStyle w:val="000010000000"/>
            <w:tcW w:w="1792" w:type="dxa"/>
            <w:shd w:val="clear" w:color="auto" w:fill="FDEED1" w:themeFill="background2" w:themeFillTint="33"/>
            <w:tcMar>
              <w:top w:w="43" w:type="dxa"/>
              <w:bottom w:w="43" w:type="dxa"/>
            </w:tcMar>
          </w:tcPr>
          <w:p w:rsidR="00FB0D78" w:rsidRPr="00925F72" w:rsidRDefault="00FB0D78" w:rsidP="003D34CC">
            <w:pPr>
              <w:keepNext/>
              <w:keepLines/>
              <w:spacing w:after="120" w:line="240" w:lineRule="auto"/>
              <w:rPr>
                <w:rFonts w:ascii="Arial" w:hAnsi="Arial" w:cs="Arial"/>
                <w:sz w:val="18"/>
                <w:szCs w:val="18"/>
              </w:rPr>
            </w:pPr>
            <w:r w:rsidRPr="00925F72">
              <w:rPr>
                <w:rFonts w:ascii="Arial" w:hAnsi="Arial" w:cs="Arial"/>
                <w:sz w:val="18"/>
                <w:szCs w:val="18"/>
              </w:rPr>
              <w:t>450</w:t>
            </w:r>
            <w:r w:rsidR="006F6941">
              <w:rPr>
                <w:rFonts w:ascii="Arial" w:hAnsi="Arial" w:cs="Arial"/>
                <w:sz w:val="18"/>
                <w:szCs w:val="18"/>
              </w:rPr>
              <w:t>–</w:t>
            </w:r>
            <w:r w:rsidRPr="00925F72">
              <w:rPr>
                <w:rFonts w:ascii="Arial" w:hAnsi="Arial" w:cs="Arial"/>
                <w:sz w:val="18"/>
                <w:szCs w:val="18"/>
              </w:rPr>
              <w:t>900</w:t>
            </w:r>
          </w:p>
          <w:p w:rsidR="00F158B9" w:rsidRDefault="00FB0D78">
            <w:pPr>
              <w:keepNext/>
              <w:keepLines/>
              <w:spacing w:after="0" w:line="240" w:lineRule="auto"/>
              <w:rPr>
                <w:rFonts w:ascii="Arial" w:hAnsi="Arial" w:cs="Arial"/>
                <w:sz w:val="18"/>
                <w:szCs w:val="18"/>
              </w:rPr>
            </w:pPr>
            <w:r w:rsidRPr="00925F72">
              <w:rPr>
                <w:rFonts w:ascii="Arial" w:hAnsi="Arial" w:cs="Arial"/>
                <w:sz w:val="18"/>
                <w:szCs w:val="18"/>
              </w:rPr>
              <w:t>0</w:t>
            </w:r>
            <w:r w:rsidR="006F6941">
              <w:rPr>
                <w:rFonts w:ascii="Arial" w:hAnsi="Arial" w:cs="Arial"/>
                <w:sz w:val="18"/>
                <w:szCs w:val="18"/>
              </w:rPr>
              <w:br/>
              <w:t xml:space="preserve">with </w:t>
            </w:r>
            <w:r w:rsidRPr="00925F72">
              <w:rPr>
                <w:rFonts w:ascii="Arial" w:hAnsi="Arial" w:cs="Arial"/>
                <w:sz w:val="18"/>
                <w:szCs w:val="18"/>
              </w:rPr>
              <w:t>NEEWS</w:t>
            </w:r>
          </w:p>
        </w:tc>
      </w:tr>
      <w:tr w:rsidR="00FB0D78" w:rsidRPr="00925F72" w:rsidTr="00F476EB">
        <w:trPr>
          <w:cnfStyle w:val="000000100000"/>
        </w:trPr>
        <w:tc>
          <w:tcPr>
            <w:cnfStyle w:val="000010000000"/>
            <w:tcW w:w="2657" w:type="dxa"/>
            <w:vMerge w:val="restart"/>
            <w:tcMar>
              <w:top w:w="43" w:type="dxa"/>
              <w:left w:w="144" w:type="dxa"/>
              <w:bottom w:w="43" w:type="dxa"/>
            </w:tcMar>
          </w:tcPr>
          <w:p w:rsidR="00FB0D78" w:rsidRPr="00925F72" w:rsidRDefault="00FB0D78" w:rsidP="00F476EB">
            <w:pPr>
              <w:keepNext/>
              <w:keepLines/>
              <w:spacing w:after="0" w:line="240" w:lineRule="auto"/>
              <w:jc w:val="left"/>
              <w:rPr>
                <w:rFonts w:ascii="Arial" w:hAnsi="Arial" w:cs="Arial"/>
                <w:b/>
                <w:sz w:val="18"/>
                <w:szCs w:val="18"/>
              </w:rPr>
            </w:pPr>
            <w:r w:rsidRPr="00925F72">
              <w:rPr>
                <w:rFonts w:ascii="Arial" w:hAnsi="Arial" w:cs="Arial"/>
                <w:b/>
                <w:sz w:val="18"/>
                <w:szCs w:val="18"/>
              </w:rPr>
              <w:t>BOSTON</w:t>
            </w:r>
            <w:r w:rsidRPr="00925F72">
              <w:rPr>
                <w:rFonts w:ascii="Arial" w:hAnsi="Arial" w:cs="Arial"/>
                <w:b/>
                <w:sz w:val="18"/>
                <w:szCs w:val="18"/>
                <w:vertAlign w:val="superscript"/>
              </w:rPr>
              <w:t xml:space="preserve">(g, </w:t>
            </w:r>
            <w:r w:rsidR="00182E15">
              <w:rPr>
                <w:rFonts w:ascii="Arial" w:hAnsi="Arial" w:cs="Arial"/>
                <w:b/>
                <w:sz w:val="18"/>
                <w:szCs w:val="18"/>
                <w:vertAlign w:val="superscript"/>
              </w:rPr>
              <w:t>i</w:t>
            </w:r>
            <w:r w:rsidRPr="00925F72">
              <w:rPr>
                <w:rFonts w:ascii="Arial" w:hAnsi="Arial" w:cs="Arial"/>
                <w:b/>
                <w:sz w:val="18"/>
                <w:szCs w:val="18"/>
                <w:vertAlign w:val="superscript"/>
              </w:rPr>
              <w:t>)</w:t>
            </w:r>
          </w:p>
          <w:p w:rsidR="00FB0D78" w:rsidRPr="00925F72" w:rsidRDefault="00FB0D78" w:rsidP="00F476EB">
            <w:pPr>
              <w:keepNext/>
              <w:keepLines/>
              <w:spacing w:after="0" w:line="240" w:lineRule="auto"/>
              <w:jc w:val="left"/>
              <w:rPr>
                <w:rFonts w:ascii="Arial" w:hAnsi="Arial" w:cs="Arial"/>
                <w:b/>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2010</w:t>
            </w:r>
          </w:p>
        </w:tc>
        <w:tc>
          <w:tcPr>
            <w:cnfStyle w:val="000010000000"/>
            <w:tcW w:w="1886" w:type="dxa"/>
            <w:vMerge w:val="restart"/>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p w:rsidR="00FB0D78" w:rsidRPr="00925F72" w:rsidRDefault="00FB0D78" w:rsidP="006F6941">
            <w:pPr>
              <w:keepNext/>
              <w:keepLines/>
              <w:spacing w:after="0" w:line="240" w:lineRule="auto"/>
              <w:rPr>
                <w:rFonts w:ascii="Arial" w:hAnsi="Arial" w:cs="Arial"/>
                <w:sz w:val="18"/>
                <w:szCs w:val="18"/>
              </w:rPr>
            </w:pPr>
            <w:r w:rsidRPr="00925F72">
              <w:rPr>
                <w:rFonts w:ascii="Arial" w:hAnsi="Arial" w:cs="Arial"/>
                <w:sz w:val="18"/>
                <w:szCs w:val="18"/>
              </w:rPr>
              <w:t>0</w:t>
            </w:r>
            <w:r w:rsidR="006F6941">
              <w:rPr>
                <w:rFonts w:ascii="Arial" w:hAnsi="Arial" w:cs="Arial"/>
                <w:sz w:val="18"/>
                <w:szCs w:val="18"/>
              </w:rPr>
              <w:t>–</w:t>
            </w:r>
            <w:r w:rsidRPr="00925F72">
              <w:rPr>
                <w:rFonts w:ascii="Arial" w:hAnsi="Arial" w:cs="Arial"/>
                <w:sz w:val="18"/>
                <w:szCs w:val="18"/>
              </w:rPr>
              <w:t>441</w:t>
            </w: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r w:rsidRPr="00925F72">
              <w:rPr>
                <w:rFonts w:ascii="Arial" w:hAnsi="Arial" w:cs="Arial"/>
                <w:sz w:val="18"/>
                <w:szCs w:val="18"/>
                <w:vertAlign w:val="superscript"/>
              </w:rPr>
              <w:t>(e)</w:t>
            </w:r>
          </w:p>
        </w:tc>
        <w:tc>
          <w:tcPr>
            <w:cnfStyle w:val="000010000000"/>
            <w:tcW w:w="1792" w:type="dxa"/>
            <w:tcMar>
              <w:top w:w="43" w:type="dxa"/>
              <w:bottom w:w="43" w:type="dxa"/>
            </w:tcMar>
          </w:tcPr>
          <w:p w:rsidR="00FB0D78" w:rsidRPr="00925F72" w:rsidRDefault="000A4845" w:rsidP="00925F72">
            <w:pPr>
              <w:keepNext/>
              <w:keepLines/>
              <w:spacing w:after="0" w:line="240" w:lineRule="auto"/>
              <w:rPr>
                <w:rFonts w:ascii="Arial" w:eastAsia="Arial" w:hAnsi="Arial" w:cs="Arial"/>
                <w:sz w:val="18"/>
                <w:szCs w:val="18"/>
              </w:rPr>
            </w:pPr>
            <w:r w:rsidRPr="00925F72">
              <w:rPr>
                <w:rFonts w:ascii="Arial" w:hAnsi="Arial" w:cs="Arial"/>
                <w:sz w:val="18"/>
                <w:szCs w:val="18"/>
              </w:rPr>
              <w:t>0</w:t>
            </w:r>
            <w:r w:rsidRPr="00925F72">
              <w:rPr>
                <w:rFonts w:ascii="Arial" w:hAnsi="Arial" w:cs="Arial"/>
                <w:sz w:val="18"/>
                <w:szCs w:val="18"/>
                <w:vertAlign w:val="superscript"/>
              </w:rPr>
              <w:t>(e)</w:t>
            </w:r>
          </w:p>
        </w:tc>
      </w:tr>
      <w:tr w:rsidR="00FB0D78" w:rsidRPr="00925F72" w:rsidTr="00F476EB">
        <w:trPr>
          <w:cnfStyle w:val="000000010000"/>
        </w:trPr>
        <w:tc>
          <w:tcPr>
            <w:cnfStyle w:val="000010000000"/>
            <w:tcW w:w="2657"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2011</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 to 100</w:t>
            </w:r>
          </w:p>
        </w:tc>
        <w:tc>
          <w:tcPr>
            <w:cnfStyle w:val="000010000000"/>
            <w:tcW w:w="179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100000"/>
        </w:trPr>
        <w:tc>
          <w:tcPr>
            <w:cnfStyle w:val="000010000000"/>
            <w:tcW w:w="2657"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2012</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 to 125</w:t>
            </w:r>
          </w:p>
        </w:tc>
        <w:tc>
          <w:tcPr>
            <w:cnfStyle w:val="000010000000"/>
            <w:tcW w:w="179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010000"/>
        </w:trPr>
        <w:tc>
          <w:tcPr>
            <w:cnfStyle w:val="000010000000"/>
            <w:tcW w:w="2657"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170"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2013</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 to 125</w:t>
            </w:r>
          </w:p>
        </w:tc>
        <w:tc>
          <w:tcPr>
            <w:cnfStyle w:val="000010000000"/>
            <w:tcW w:w="1792" w:type="dxa"/>
            <w:shd w:val="clear" w:color="auto" w:fill="FDEED1" w:themeFill="background2" w:themeFillTint="33"/>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r w:rsidR="00FB0D78" w:rsidRPr="00925F72" w:rsidTr="00F476EB">
        <w:trPr>
          <w:cnfStyle w:val="000000100000"/>
        </w:trPr>
        <w:tc>
          <w:tcPr>
            <w:cnfStyle w:val="000010000000"/>
            <w:tcW w:w="2657"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170"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2014</w:t>
            </w:r>
          </w:p>
        </w:tc>
        <w:tc>
          <w:tcPr>
            <w:cnfStyle w:val="000010000000"/>
            <w:tcW w:w="1886" w:type="dxa"/>
            <w:vMerge/>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p>
        </w:tc>
        <w:tc>
          <w:tcPr>
            <w:cnfStyle w:val="000001000000"/>
            <w:tcW w:w="181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 to 150</w:t>
            </w:r>
          </w:p>
        </w:tc>
        <w:tc>
          <w:tcPr>
            <w:cnfStyle w:val="000010000000"/>
            <w:tcW w:w="1792" w:type="dxa"/>
            <w:tcMar>
              <w:top w:w="43" w:type="dxa"/>
              <w:bottom w:w="43" w:type="dxa"/>
            </w:tcMar>
          </w:tcPr>
          <w:p w:rsidR="00FB0D78" w:rsidRPr="00925F72" w:rsidRDefault="00FB0D78" w:rsidP="00925F72">
            <w:pPr>
              <w:keepNext/>
              <w:keepLines/>
              <w:spacing w:after="0" w:line="240" w:lineRule="auto"/>
              <w:rPr>
                <w:rFonts w:ascii="Arial" w:hAnsi="Arial" w:cs="Arial"/>
                <w:sz w:val="18"/>
                <w:szCs w:val="18"/>
              </w:rPr>
            </w:pPr>
            <w:r w:rsidRPr="00925F72">
              <w:rPr>
                <w:rFonts w:ascii="Arial" w:hAnsi="Arial" w:cs="Arial"/>
                <w:sz w:val="18"/>
                <w:szCs w:val="18"/>
              </w:rPr>
              <w:t>0</w:t>
            </w:r>
          </w:p>
        </w:tc>
      </w:tr>
    </w:tbl>
    <w:p w:rsidR="00FB0D78" w:rsidRPr="00F85462" w:rsidRDefault="00FB0D78" w:rsidP="00925F72">
      <w:pPr>
        <w:keepNext/>
        <w:keepLines/>
        <w:spacing w:before="120" w:after="80" w:line="240" w:lineRule="auto"/>
        <w:ind w:left="270" w:right="90" w:hanging="270"/>
        <w:rPr>
          <w:rFonts w:ascii="Arial" w:hAnsi="Arial" w:cs="Arial"/>
          <w:sz w:val="16"/>
          <w:szCs w:val="16"/>
        </w:rPr>
      </w:pPr>
      <w:r w:rsidRPr="00F85462">
        <w:rPr>
          <w:rFonts w:ascii="Arial" w:hAnsi="Arial" w:cs="Arial"/>
          <w:sz w:val="16"/>
          <w:szCs w:val="16"/>
        </w:rPr>
        <w:t xml:space="preserve">(a) </w:t>
      </w:r>
      <w:r w:rsidRPr="00F85462">
        <w:rPr>
          <w:rFonts w:ascii="Arial" w:hAnsi="Arial" w:cs="Arial"/>
          <w:sz w:val="16"/>
          <w:szCs w:val="16"/>
        </w:rPr>
        <w:tab/>
        <w:t>The market period is from June 1 through May 31 of the following year.</w:t>
      </w:r>
    </w:p>
    <w:p w:rsidR="00FB0D78" w:rsidRPr="00F85462" w:rsidRDefault="00FB0D78" w:rsidP="00925F72">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(b) </w:t>
      </w:r>
      <w:r w:rsidRPr="00F85462">
        <w:rPr>
          <w:rFonts w:ascii="Arial" w:hAnsi="Arial" w:cs="Arial"/>
          <w:sz w:val="16"/>
          <w:szCs w:val="16"/>
        </w:rPr>
        <w:tab/>
        <w:t>These values are the range of the megawatts of resources offered into the past forward-reserve auctions. The amount offered into the auctions for BOSTON decreased in recent years as the reserve requirements for the market decreased. A summary of the forward-reserve offers for the past auctions is available at</w:t>
      </w:r>
      <w:r w:rsidR="007D7D0D">
        <w:rPr>
          <w:rFonts w:ascii="Arial" w:hAnsi="Arial" w:cs="Arial"/>
          <w:sz w:val="16"/>
          <w:szCs w:val="16"/>
        </w:rPr>
        <w:br/>
      </w:r>
      <w:r w:rsidRPr="00F85462">
        <w:rPr>
          <w:rFonts w:ascii="Arial" w:hAnsi="Arial" w:cs="Arial"/>
          <w:sz w:val="16"/>
          <w:szCs w:val="16"/>
        </w:rPr>
        <w:t>http://www.iso-ne.com/markets/othrmkts_data/res_mkt/cal_assump/index.html.</w:t>
      </w:r>
    </w:p>
    <w:p w:rsidR="00FB0D78" w:rsidRPr="00F85462" w:rsidRDefault="00FB0D78" w:rsidP="00925F72">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(c) </w:t>
      </w:r>
      <w:r w:rsidRPr="00F85462">
        <w:rPr>
          <w:rFonts w:ascii="Arial" w:hAnsi="Arial" w:cs="Arial"/>
          <w:sz w:val="16"/>
          <w:szCs w:val="16"/>
        </w:rPr>
        <w:tab/>
        <w:t>“Summer” means June through September of a capability year; “winter” means October of the associated capability year through May of the following year (e.g., the 2010 winter values are for October 2010 through May 2011). The representative values show a range to reflect uncertainties associated with the future system conditions.</w:t>
      </w:r>
    </w:p>
    <w:p w:rsidR="00FB0D78" w:rsidRPr="00F85462" w:rsidRDefault="00FB0D78" w:rsidP="00925F72">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(d) </w:t>
      </w:r>
      <w:r w:rsidRPr="00F85462">
        <w:rPr>
          <w:rFonts w:ascii="Arial" w:hAnsi="Arial" w:cs="Arial"/>
          <w:sz w:val="16"/>
          <w:szCs w:val="16"/>
        </w:rPr>
        <w:tab/>
        <w:t>The assumed N-1 and N-1-1 values to reflect transmission import limits into Greater Southwest Connecticut are 3,200 MW and 2,300 MW, respectively.</w:t>
      </w:r>
    </w:p>
    <w:p w:rsidR="00FB0D78" w:rsidRPr="00F85462" w:rsidRDefault="00FB0D78" w:rsidP="00925F72">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(e) </w:t>
      </w:r>
      <w:r w:rsidRPr="00F85462">
        <w:rPr>
          <w:rFonts w:ascii="Arial" w:hAnsi="Arial" w:cs="Arial"/>
          <w:sz w:val="16"/>
          <w:szCs w:val="16"/>
        </w:rPr>
        <w:tab/>
        <w:t>These values are actual locational forward-reserve requirements. Requirements for future years are projected on the basis of assumed contingencies.</w:t>
      </w:r>
    </w:p>
    <w:p w:rsidR="00FB0D78" w:rsidRPr="00F85462" w:rsidRDefault="00FB0D78" w:rsidP="00D357D7">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(f)  </w:t>
      </w:r>
      <w:r w:rsidRPr="00F85462">
        <w:rPr>
          <w:rFonts w:ascii="Arial" w:hAnsi="Arial" w:cs="Arial"/>
          <w:sz w:val="16"/>
          <w:szCs w:val="16"/>
        </w:rPr>
        <w:tab/>
        <w:t xml:space="preserve">For Greater CT, the assumed </w:t>
      </w:r>
      <w:r w:rsidR="0059605D">
        <w:rPr>
          <w:rFonts w:ascii="Arial" w:hAnsi="Arial" w:cs="Arial"/>
          <w:sz w:val="16"/>
          <w:szCs w:val="16"/>
        </w:rPr>
        <w:t xml:space="preserve">import </w:t>
      </w:r>
      <w:r w:rsidR="001A30CE">
        <w:rPr>
          <w:rFonts w:ascii="Arial" w:hAnsi="Arial" w:cs="Arial"/>
          <w:sz w:val="16"/>
          <w:szCs w:val="16"/>
        </w:rPr>
        <w:t>limits</w:t>
      </w:r>
      <w:r w:rsidRPr="00F85462">
        <w:rPr>
          <w:rFonts w:ascii="Arial" w:hAnsi="Arial" w:cs="Arial"/>
          <w:sz w:val="16"/>
          <w:szCs w:val="16"/>
        </w:rPr>
        <w:t xml:space="preserve"> reflect an N-1 value of 2,500 MW but </w:t>
      </w:r>
      <w:r w:rsidR="0059605D">
        <w:rPr>
          <w:rFonts w:ascii="Arial" w:hAnsi="Arial" w:cs="Arial"/>
          <w:sz w:val="16"/>
          <w:szCs w:val="16"/>
        </w:rPr>
        <w:t xml:space="preserve">does </w:t>
      </w:r>
      <w:r w:rsidRPr="00F85462">
        <w:rPr>
          <w:rFonts w:ascii="Arial" w:hAnsi="Arial" w:cs="Arial"/>
          <w:sz w:val="16"/>
          <w:szCs w:val="16"/>
        </w:rPr>
        <w:t xml:space="preserve">not </w:t>
      </w:r>
      <w:r w:rsidR="00216868">
        <w:rPr>
          <w:rFonts w:ascii="Arial" w:hAnsi="Arial" w:cs="Arial"/>
          <w:sz w:val="16"/>
          <w:szCs w:val="16"/>
        </w:rPr>
        <w:t xml:space="preserve">account for </w:t>
      </w:r>
      <w:r w:rsidRPr="00F85462">
        <w:rPr>
          <w:rFonts w:ascii="Arial" w:hAnsi="Arial" w:cs="Arial"/>
          <w:sz w:val="16"/>
          <w:szCs w:val="16"/>
        </w:rPr>
        <w:t xml:space="preserve">the New England East–West </w:t>
      </w:r>
      <w:r w:rsidR="003174D8" w:rsidRPr="003174D8">
        <w:rPr>
          <w:rFonts w:ascii="Arial" w:hAnsi="Arial" w:cs="Arial"/>
          <w:sz w:val="16"/>
          <w:szCs w:val="16"/>
        </w:rPr>
        <w:t>Solution (NEEWS)</w:t>
      </w:r>
      <w:r w:rsidRPr="00F85462">
        <w:rPr>
          <w:rFonts w:ascii="Arial" w:hAnsi="Arial" w:cs="Arial"/>
          <w:sz w:val="16"/>
          <w:szCs w:val="16"/>
        </w:rPr>
        <w:t xml:space="preserve"> project (see Section</w:t>
      </w:r>
      <w:r w:rsidR="00493C93">
        <w:rPr>
          <w:rFonts w:ascii="Arial" w:hAnsi="Arial" w:cs="Arial"/>
          <w:sz w:val="16"/>
          <w:szCs w:val="16"/>
        </w:rPr>
        <w:t xml:space="preserve"> </w:t>
      </w:r>
      <w:r w:rsidR="00832C7A">
        <w:rPr>
          <w:rFonts w:ascii="Arial" w:hAnsi="Arial" w:cs="Arial"/>
          <w:sz w:val="16"/>
          <w:szCs w:val="16"/>
        </w:rPr>
        <w:fldChar w:fldCharType="begin"/>
      </w:r>
      <w:r w:rsidR="0051440A">
        <w:rPr>
          <w:rFonts w:ascii="Arial" w:hAnsi="Arial" w:cs="Arial"/>
          <w:sz w:val="16"/>
          <w:szCs w:val="16"/>
        </w:rPr>
        <w:instrText xml:space="preserve"> REF _Ref235171025 \r \h </w:instrText>
      </w:r>
      <w:r w:rsidR="00832C7A">
        <w:rPr>
          <w:rFonts w:ascii="Arial" w:hAnsi="Arial" w:cs="Arial"/>
          <w:sz w:val="16"/>
          <w:szCs w:val="16"/>
        </w:rPr>
      </w:r>
      <w:r w:rsidR="00832C7A">
        <w:rPr>
          <w:rFonts w:ascii="Arial" w:hAnsi="Arial" w:cs="Arial"/>
          <w:sz w:val="16"/>
          <w:szCs w:val="16"/>
        </w:rPr>
        <w:fldChar w:fldCharType="separate"/>
      </w:r>
      <w:r w:rsidR="00E5699E">
        <w:rPr>
          <w:rFonts w:ascii="Arial" w:hAnsi="Arial" w:cs="Arial"/>
          <w:sz w:val="16"/>
          <w:szCs w:val="16"/>
        </w:rPr>
        <w:t>6.4.2</w:t>
      </w:r>
      <w:r w:rsidR="00832C7A">
        <w:rPr>
          <w:rFonts w:ascii="Arial" w:hAnsi="Arial" w:cs="Arial"/>
          <w:sz w:val="16"/>
          <w:szCs w:val="16"/>
        </w:rPr>
        <w:fldChar w:fldCharType="end"/>
      </w:r>
      <w:r w:rsidR="00D4331C" w:rsidRPr="00D4331C">
        <w:rPr>
          <w:rFonts w:ascii="Arial" w:hAnsi="Arial" w:cs="Arial"/>
          <w:sz w:val="16"/>
          <w:szCs w:val="16"/>
        </w:rPr>
        <w:t xml:space="preserve">). The assumed N-1-1 value is 1,300 MW. </w:t>
      </w:r>
      <w:r w:rsidR="00D4331C" w:rsidRPr="001A30CE">
        <w:rPr>
          <w:rFonts w:ascii="Arial" w:hAnsi="Arial" w:cs="Arial"/>
          <w:sz w:val="16"/>
          <w:szCs w:val="16"/>
        </w:rPr>
        <w:t>These limits are assumed to increase to 3,600 MW and 2,500 MW, respectively, in 2014</w:t>
      </w:r>
      <w:r w:rsidRPr="001A30CE">
        <w:rPr>
          <w:rFonts w:ascii="Arial" w:hAnsi="Arial" w:cs="Arial"/>
          <w:sz w:val="16"/>
          <w:szCs w:val="16"/>
        </w:rPr>
        <w:t xml:space="preserve"> if the NEEWS project were placed in-service.</w:t>
      </w:r>
    </w:p>
    <w:p w:rsidR="00FB0D78" w:rsidRPr="00F85462" w:rsidRDefault="00FB0D78" w:rsidP="00D357D7">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(g)  In some circumstances when transmission contingencies are more severe than generation contingencies, shedding some load may be acceptable.</w:t>
      </w:r>
    </w:p>
    <w:p w:rsidR="006B57F7" w:rsidRDefault="00FB0D78">
      <w:pPr>
        <w:keepNext/>
        <w:keepLines/>
        <w:spacing w:after="80" w:line="240" w:lineRule="auto"/>
        <w:ind w:left="270" w:right="90" w:hanging="270"/>
        <w:rPr>
          <w:rFonts w:ascii="Arial" w:hAnsi="Arial" w:cs="Arial"/>
          <w:sz w:val="16"/>
          <w:szCs w:val="16"/>
        </w:rPr>
      </w:pPr>
      <w:r w:rsidRPr="00F85462">
        <w:rPr>
          <w:rFonts w:ascii="Arial" w:hAnsi="Arial" w:cs="Arial"/>
          <w:sz w:val="16"/>
          <w:szCs w:val="16"/>
        </w:rPr>
        <w:t xml:space="preserve">(h) </w:t>
      </w:r>
      <w:r w:rsidRPr="00F85462">
        <w:rPr>
          <w:rFonts w:ascii="Arial" w:hAnsi="Arial" w:cs="Arial"/>
          <w:sz w:val="16"/>
          <w:szCs w:val="16"/>
        </w:rPr>
        <w:tab/>
        <w:t>These values include resources in Greater Southwest Connecticut.</w:t>
      </w:r>
    </w:p>
    <w:p w:rsidR="00FB0D78" w:rsidRDefault="00FB0D78" w:rsidP="001A30CE">
      <w:pPr>
        <w:keepNext/>
        <w:keepLines/>
        <w:spacing w:line="240" w:lineRule="auto"/>
        <w:ind w:left="274" w:right="86" w:hanging="274"/>
        <w:rPr>
          <w:rFonts w:ascii="Arial" w:hAnsi="Arial" w:cs="Arial"/>
          <w:sz w:val="16"/>
          <w:szCs w:val="16"/>
        </w:rPr>
      </w:pPr>
      <w:r w:rsidRPr="00F85462">
        <w:rPr>
          <w:rFonts w:ascii="Arial" w:hAnsi="Arial" w:cs="Arial"/>
          <w:sz w:val="16"/>
          <w:szCs w:val="16"/>
        </w:rPr>
        <w:t xml:space="preserve"> (i)  The assumed N-1 and N-1-1 values to reflect transmission import limits into B</w:t>
      </w:r>
      <w:r w:rsidR="00EC73A7">
        <w:rPr>
          <w:rFonts w:ascii="Arial" w:hAnsi="Arial" w:cs="Arial"/>
          <w:sz w:val="16"/>
          <w:szCs w:val="16"/>
        </w:rPr>
        <w:t>OSTON</w:t>
      </w:r>
      <w:r w:rsidRPr="00F85462">
        <w:rPr>
          <w:rFonts w:ascii="Arial" w:hAnsi="Arial" w:cs="Arial"/>
          <w:sz w:val="16"/>
          <w:szCs w:val="16"/>
        </w:rPr>
        <w:t xml:space="preserve"> are 4,900 MW and 3,700 MW, respectively. The operating-reserve values for BOSTON would be lower without consideration of the common-mode failures of Mystic units #8 and #9 that were assumed to trip up to 1,400 MW because of exposure to a common failure of the fuel supply to the units. </w:t>
      </w:r>
      <w:bookmarkEnd w:id="351"/>
    </w:p>
    <w:p w:rsidR="003417B6" w:rsidRDefault="003417B6" w:rsidP="001A30CE">
      <w:pPr>
        <w:keepNext/>
        <w:keepLines/>
        <w:spacing w:line="240" w:lineRule="auto"/>
        <w:ind w:left="274" w:right="86" w:hanging="274"/>
      </w:pPr>
    </w:p>
    <w:p w:rsidR="00493C93" w:rsidRPr="00924C17" w:rsidRDefault="00493C93" w:rsidP="00073277">
      <w:r w:rsidRPr="00E61901">
        <w:t>The estimates for</w:t>
      </w:r>
      <w:r>
        <w:t xml:space="preserve"> operating reserve requirements were based on expected future operating conditions, but annual market requirements are based on the actual previous seasonal system conditions. If the summer 2010 actual conditions are </w:t>
      </w:r>
      <w:r w:rsidR="00894A5C">
        <w:t xml:space="preserve">similar to the </w:t>
      </w:r>
      <w:r>
        <w:t>well</w:t>
      </w:r>
      <w:r w:rsidR="00894A5C">
        <w:t>-</w:t>
      </w:r>
      <w:r>
        <w:t>below</w:t>
      </w:r>
      <w:r w:rsidR="00894A5C">
        <w:t>-</w:t>
      </w:r>
      <w:r>
        <w:t xml:space="preserve">normal demand levels of summer 2009, the locational FRM requirements for Greater Connecticut could be lower than the RSP10 forecast for summer 2011. </w:t>
      </w:r>
    </w:p>
    <w:p w:rsidR="00FB0D78" w:rsidRDefault="00FB0D78" w:rsidP="00073277">
      <w:pPr>
        <w:rPr>
          <w:snapToGrid w:val="0"/>
        </w:rPr>
      </w:pPr>
      <w:r>
        <w:t xml:space="preserve">Because the local </w:t>
      </w:r>
      <w:r w:rsidRPr="003714C9">
        <w:t xml:space="preserve">contingency requirements in Greater SWCT are nested </w:t>
      </w:r>
      <w:r>
        <w:t xml:space="preserve">within CT </w:t>
      </w:r>
      <w:r w:rsidRPr="003714C9">
        <w:t xml:space="preserve">(i.e., </w:t>
      </w:r>
      <w:r>
        <w:t xml:space="preserve">operating reserves </w:t>
      </w:r>
      <w:r w:rsidRPr="003714C9">
        <w:t>meet</w:t>
      </w:r>
      <w:r>
        <w:t>ing</w:t>
      </w:r>
      <w:r w:rsidRPr="003714C9">
        <w:t xml:space="preserve"> the Greater SWCT requirement also meet the Greater Connecticut requirement), installing the </w:t>
      </w:r>
      <w:r w:rsidRPr="001679E1">
        <w:t>resources</w:t>
      </w:r>
      <w:r w:rsidRPr="003714C9">
        <w:t xml:space="preserve"> in the Greater SWCT area </w:t>
      </w:r>
      <w:r>
        <w:t xml:space="preserve">also </w:t>
      </w:r>
      <w:r w:rsidRPr="003714C9">
        <w:t xml:space="preserve">would </w:t>
      </w:r>
      <w:r>
        <w:t xml:space="preserve">satisfy </w:t>
      </w:r>
      <w:r w:rsidRPr="003714C9">
        <w:t xml:space="preserve">the need for resources </w:t>
      </w:r>
      <w:r>
        <w:t xml:space="preserve">located </w:t>
      </w:r>
      <w:r w:rsidRPr="003714C9">
        <w:t>anywhere in Greater Connecticu</w:t>
      </w:r>
      <w:r w:rsidRPr="006946F8">
        <w:t>t.</w:t>
      </w:r>
      <w:r w:rsidRPr="001A30CE">
        <w:rPr>
          <w:rStyle w:val="FootnoteReference"/>
          <w:sz w:val="22"/>
        </w:rPr>
        <w:footnoteReference w:id="107"/>
      </w:r>
    </w:p>
    <w:p w:rsidR="00FC0261" w:rsidRDefault="00FB0D78" w:rsidP="00235A65">
      <w:pPr>
        <w:pStyle w:val="Heading4"/>
      </w:pPr>
      <w:r>
        <w:t xml:space="preserve"> </w:t>
      </w:r>
      <w:r w:rsidRPr="00CC0BC1">
        <w:t>Greater Southwest Connecticut</w:t>
      </w:r>
    </w:p>
    <w:p w:rsidR="00FB0D78" w:rsidRDefault="00FB0D78" w:rsidP="00073277">
      <w:r>
        <w:t xml:space="preserve">With </w:t>
      </w:r>
      <w:r w:rsidRPr="00552A9A">
        <w:t>the</w:t>
      </w:r>
      <w:r>
        <w:t xml:space="preserve"> completion of the SWCT Reliability Project in 2008, the import limit into this area </w:t>
      </w:r>
      <w:r w:rsidRPr="0072265B">
        <w:t>increase</w:t>
      </w:r>
      <w:r>
        <w:t xml:space="preserve">d by approximately </w:t>
      </w:r>
      <w:r w:rsidRPr="007505C8">
        <w:t>850</w:t>
      </w:r>
      <w:r>
        <w:t> </w:t>
      </w:r>
      <w:r w:rsidRPr="007505C8">
        <w:t>MW</w:t>
      </w:r>
      <w:r>
        <w:t xml:space="preserve">. This transmission upgrade gave </w:t>
      </w:r>
      <w:r w:rsidRPr="007505C8">
        <w:t xml:space="preserve">system operators </w:t>
      </w:r>
      <w:r>
        <w:t>m</w:t>
      </w:r>
      <w:r w:rsidRPr="007505C8">
        <w:t>ore flexibility to use generation located within and outside the subarea to</w:t>
      </w:r>
      <w:r>
        <w:t xml:space="preserve"> </w:t>
      </w:r>
      <w:r w:rsidRPr="00552A9A">
        <w:t xml:space="preserve">meet </w:t>
      </w:r>
      <w:r>
        <w:t xml:space="preserve">both </w:t>
      </w:r>
      <w:r w:rsidRPr="00552A9A">
        <w:t>load</w:t>
      </w:r>
      <w:r w:rsidRPr="007505C8">
        <w:t xml:space="preserve"> and local 30-minute operating</w:t>
      </w:r>
      <w:r>
        <w:t xml:space="preserve">-reserve requirements. As shown in </w:t>
      </w:r>
      <w:fldSimple w:instr=" REF _Ref200420109  \* MERGEFORMAT ">
        <w:r w:rsidR="00E5699E">
          <w:t>Table 5</w:t>
        </w:r>
        <w:r w:rsidR="00E5699E">
          <w:noBreakHyphen/>
          <w:t>1</w:t>
        </w:r>
      </w:fldSimple>
      <w:r>
        <w:t xml:space="preserve">, Greater SWCT </w:t>
      </w:r>
      <w:r w:rsidR="003C1D75">
        <w:t>can</w:t>
      </w:r>
      <w:r>
        <w:t xml:space="preserve"> have its operating reserves met from outside the area through 2014. Both economic energy transfers to serve load and the reserve support necessary to cover the second contingencies </w:t>
      </w:r>
      <w:r w:rsidR="00894A5C">
        <w:t>can be</w:t>
      </w:r>
      <w:r>
        <w:t xml:space="preserve"> provided from outside the Greater SWCT area as a result of the transmission improvements.</w:t>
      </w:r>
    </w:p>
    <w:p w:rsidR="00FC0261" w:rsidRDefault="00FB0D78" w:rsidP="00235A65">
      <w:pPr>
        <w:pStyle w:val="Heading4"/>
      </w:pPr>
      <w:r w:rsidRPr="00D42D89">
        <w:t>Greater Connecticut</w:t>
      </w:r>
    </w:p>
    <w:p w:rsidR="00FB0D78" w:rsidRPr="00146409" w:rsidRDefault="00FB0D78" w:rsidP="00073277">
      <w:r>
        <w:t xml:space="preserve">Past RSPs and market signals had identified the need for economical and fast-start resources in Greater Connecticut to meet reliability requirements and </w:t>
      </w:r>
      <w:r w:rsidR="003C1D75">
        <w:t xml:space="preserve">reduce out-of-merit </w:t>
      </w:r>
      <w:r w:rsidR="003C1D75" w:rsidRPr="0095508A">
        <w:t>market costs</w:t>
      </w:r>
      <w:r w:rsidRPr="0095508A">
        <w:t>.</w:t>
      </w:r>
      <w:r w:rsidR="003152C8" w:rsidRPr="001A30CE">
        <w:rPr>
          <w:rStyle w:val="FootnoteReference"/>
          <w:sz w:val="22"/>
        </w:rPr>
        <w:footnoteReference w:id="108"/>
      </w:r>
      <w:r w:rsidRPr="0095508A">
        <w:t xml:space="preserve"> </w:t>
      </w:r>
      <w:r w:rsidR="00EF25EB" w:rsidRPr="0095508A">
        <w:t>As a result of resource development, Gre</w:t>
      </w:r>
      <w:r w:rsidRPr="0095508A">
        <w:t>ater Connecticut is projected to have adequate fast-start resources</w:t>
      </w:r>
      <w:r w:rsidR="00415642" w:rsidRPr="0095508A">
        <w:t>,</w:t>
      </w:r>
      <w:r w:rsidRPr="0095508A">
        <w:t xml:space="preserve"> and the economical performance of that area is expected to improve. </w:t>
      </w:r>
      <w:r w:rsidR="00415642" w:rsidRPr="0095508A">
        <w:t xml:space="preserve">A total of </w:t>
      </w:r>
      <w:r w:rsidRPr="0095508A">
        <w:t xml:space="preserve">1,262 MW of fast-start resources </w:t>
      </w:r>
      <w:r w:rsidR="00415642" w:rsidRPr="0095508A">
        <w:t xml:space="preserve">was </w:t>
      </w:r>
      <w:r w:rsidRPr="0095508A">
        <w:t>offered into the 2010 summer auction</w:t>
      </w:r>
      <w:r w:rsidR="00415642" w:rsidRPr="0095508A">
        <w:t xml:space="preserve"> for Greater Connecticut</w:t>
      </w:r>
      <w:r w:rsidRPr="0095508A">
        <w:t xml:space="preserve">, which exceeds the 1,225 MW of the reserve requirement established for the FRM. The local reserve requirements for the next several years are expected to decrease. This is the result of planned additions of economical baseload </w:t>
      </w:r>
      <w:r w:rsidR="00EF25EB" w:rsidRPr="0095508A">
        <w:t>generation within Greater Connecticut procured through the FCM</w:t>
      </w:r>
      <w:r w:rsidRPr="0095508A">
        <w:t>.</w:t>
      </w:r>
      <w:r w:rsidRPr="001A30CE">
        <w:rPr>
          <w:rStyle w:val="FootnoteReference"/>
          <w:sz w:val="22"/>
        </w:rPr>
        <w:footnoteReference w:id="109"/>
      </w:r>
      <w:r w:rsidRPr="0095508A">
        <w:t xml:space="preserve"> The Interstate </w:t>
      </w:r>
      <w:r w:rsidR="00EF25EB" w:rsidRPr="0095508A">
        <w:t xml:space="preserve">components of </w:t>
      </w:r>
      <w:r w:rsidR="00493C93" w:rsidRPr="0095508A">
        <w:t>the New England East–West Solution (see Section</w:t>
      </w:r>
      <w:r w:rsidR="0051440A" w:rsidRPr="0095508A">
        <w:t xml:space="preserve"> </w:t>
      </w:r>
      <w:fldSimple w:instr=" REF _Ref235171025 \r \h  \* MERGEFORMAT ">
        <w:r w:rsidR="00E5699E">
          <w:t>6.4.2</w:t>
        </w:r>
      </w:fldSimple>
      <w:r w:rsidR="00493C93" w:rsidRPr="0095508A">
        <w:t xml:space="preserve">) </w:t>
      </w:r>
      <w:r w:rsidRPr="0095508A">
        <w:t>are currently under study but were shown to provide additional relief f</w:t>
      </w:r>
      <w:r w:rsidR="004B0730" w:rsidRPr="0095508A">
        <w:t xml:space="preserve">or </w:t>
      </w:r>
      <w:r w:rsidRPr="0095508A">
        <w:t>the local reserve requirements.</w:t>
      </w:r>
    </w:p>
    <w:p w:rsidR="00FC0261" w:rsidRDefault="00FB0D78" w:rsidP="00235A65">
      <w:pPr>
        <w:pStyle w:val="Heading4"/>
      </w:pPr>
      <w:r w:rsidRPr="00146409">
        <w:t>BOSTON</w:t>
      </w:r>
    </w:p>
    <w:p w:rsidR="00FB0D78" w:rsidRPr="0095508A" w:rsidRDefault="00FB0D78" w:rsidP="00073277">
      <w:r w:rsidRPr="007505C8">
        <w:t>The FRM requirements for the BOSTON subarea</w:t>
      </w:r>
      <w:r>
        <w:t xml:space="preserve"> are </w:t>
      </w:r>
      <w:r w:rsidRPr="007505C8">
        <w:t xml:space="preserve">shown in </w:t>
      </w:r>
      <w:fldSimple w:instr=" REF _Ref200420109  \* MERGEFORMAT ">
        <w:r w:rsidR="00E5699E">
          <w:t>Table 5</w:t>
        </w:r>
        <w:r w:rsidR="00E5699E">
          <w:noBreakHyphen/>
          <w:t>1</w:t>
        </w:r>
      </w:fldSimple>
      <w:r>
        <w:t>.</w:t>
      </w:r>
      <w:r w:rsidR="003C1D75">
        <w:t xml:space="preserve"> </w:t>
      </w:r>
      <w:r w:rsidRPr="007505C8">
        <w:t xml:space="preserve">These requirements </w:t>
      </w:r>
      <w:r>
        <w:t xml:space="preserve">reflect </w:t>
      </w:r>
      <w:r w:rsidRPr="007505C8">
        <w:t>the increased import limits resulting from the implementation of the NSTAR 345 kV Transmission Reliability Project (Phase I and Phase II) transmission upgrades. The analysis also reflects the possible contingency of the simultaneous loss of Mystic units #8 and #9. With the</w:t>
      </w:r>
      <w:r w:rsidRPr="005C5C09">
        <w:t xml:space="preserve"> increase</w:t>
      </w:r>
      <w:r>
        <w:t xml:space="preserve">d import limits due to the completion of the </w:t>
      </w:r>
      <w:r w:rsidRPr="005C5C09">
        <w:t xml:space="preserve">NSTAR 345 kV Transmission Reliability Project Phase I and Phase II, operators </w:t>
      </w:r>
      <w:r>
        <w:t xml:space="preserve">should </w:t>
      </w:r>
      <w:r w:rsidRPr="005C5C09">
        <w:t xml:space="preserve">be able to optimize the use of regional generation </w:t>
      </w:r>
      <w:r w:rsidRPr="002D1FB8">
        <w:t>to meet both load and</w:t>
      </w:r>
      <w:r w:rsidRPr="005C5C09">
        <w:t xml:space="preserve"> reserve requirements. If the transmission lines were fully utilized to import lower-cost generation into BOSTON, this subarea would need to provide operating reserves to protect against the larger of </w:t>
      </w:r>
      <w:r w:rsidR="00A24CB7">
        <w:t xml:space="preserve">(a) </w:t>
      </w:r>
      <w:r w:rsidRPr="005C5C09">
        <w:t xml:space="preserve">the loss of the </w:t>
      </w:r>
      <w:r w:rsidRPr="00D93D8A">
        <w:t>largest generation</w:t>
      </w:r>
      <w:r w:rsidRPr="005C5C09">
        <w:t xml:space="preserve"> source </w:t>
      </w:r>
      <w:r>
        <w:t>within the subarea</w:t>
      </w:r>
      <w:r w:rsidR="001A30CE">
        <w:t>,</w:t>
      </w:r>
      <w:r>
        <w:t xml:space="preserve"> </w:t>
      </w:r>
      <w:r w:rsidRPr="005C5C09">
        <w:t xml:space="preserve">or </w:t>
      </w:r>
      <w:r w:rsidR="00A24CB7">
        <w:t xml:space="preserve">(b) </w:t>
      </w:r>
      <w:r w:rsidRPr="005C5C09">
        <w:t>the loss of a transmission line into the subarea.</w:t>
      </w:r>
      <w:r w:rsidRPr="00A93985">
        <w:rPr>
          <w:vertAlign w:val="superscript"/>
        </w:rPr>
        <w:footnoteReference w:id="110"/>
      </w:r>
      <w:r w:rsidRPr="00A93985">
        <w:rPr>
          <w:vertAlign w:val="superscript"/>
        </w:rPr>
        <w:t xml:space="preserve"> </w:t>
      </w:r>
      <w:r>
        <w:t>The amount of fast-start resources offered into the F</w:t>
      </w:r>
      <w:r w:rsidR="00493C93">
        <w:t>RM</w:t>
      </w:r>
      <w:r>
        <w:t xml:space="preserve"> auctions in recent years was small because the reserve requirements established for this zone were very low. However, the amount of offers into the auction was as high as 441 MW when the requirement was higher. </w:t>
      </w:r>
      <w:r w:rsidR="00894A5C">
        <w:t>T</w:t>
      </w:r>
      <w:r>
        <w:t xml:space="preserve">he expected amount of </w:t>
      </w:r>
      <w:r w:rsidR="00EF25EB" w:rsidRPr="0095508A">
        <w:t>existing</w:t>
      </w:r>
      <w:r w:rsidR="0095508A" w:rsidRPr="0095508A">
        <w:t xml:space="preserve"> </w:t>
      </w:r>
      <w:r w:rsidR="00EF25EB" w:rsidRPr="0095508A">
        <w:t>fast-start resources</w:t>
      </w:r>
      <w:r w:rsidRPr="0095508A">
        <w:t xml:space="preserve"> located in </w:t>
      </w:r>
      <w:r w:rsidR="00EF25EB" w:rsidRPr="0095508A">
        <w:t>BOSTON</w:t>
      </w:r>
      <w:r w:rsidRPr="0095508A">
        <w:t xml:space="preserve"> will likely meet the 0 to 150 MW of representative local reserve requirements for </w:t>
      </w:r>
      <w:r w:rsidR="00493C93" w:rsidRPr="0095508A">
        <w:t xml:space="preserve">BOSTON </w:t>
      </w:r>
      <w:r w:rsidRPr="0095508A">
        <w:t>during the study timeframe</w:t>
      </w:r>
      <w:r w:rsidR="00662103" w:rsidRPr="0095508A">
        <w:t xml:space="preserve">. </w:t>
      </w:r>
    </w:p>
    <w:p w:rsidR="00FC0261" w:rsidRDefault="00EF25EB" w:rsidP="00235A65">
      <w:pPr>
        <w:pStyle w:val="Heading4"/>
      </w:pPr>
      <w:r w:rsidRPr="0095508A">
        <w:t>Summary of Forward Reserve Market Requirements in Major Load Pocket</w:t>
      </w:r>
      <w:r w:rsidR="004017FD">
        <w:t>s</w:t>
      </w:r>
    </w:p>
    <w:p w:rsidR="00FB0D78" w:rsidRDefault="00631A7E" w:rsidP="00073277">
      <w:r>
        <w:t>New England must meet its overall operating</w:t>
      </w:r>
      <w:r w:rsidR="00450803">
        <w:t>-</w:t>
      </w:r>
      <w:r>
        <w:t xml:space="preserve">reserve requirements and have sufficient reserves in load pockets to meet reliability requirements. </w:t>
      </w:r>
      <w:r w:rsidR="00FB0D78" w:rsidRPr="0095508A">
        <w:t xml:space="preserve">The recent additions of fast-start resources in </w:t>
      </w:r>
      <w:r w:rsidR="00EF25EB" w:rsidRPr="0095508A">
        <w:t>Greater Connecticut</w:t>
      </w:r>
      <w:r w:rsidR="00FB0D78" w:rsidRPr="0095508A">
        <w:t xml:space="preserve"> </w:t>
      </w:r>
      <w:r w:rsidR="00EF25EB" w:rsidRPr="0095508A">
        <w:t>provide</w:t>
      </w:r>
      <w:r w:rsidR="00FB0D78" w:rsidRPr="0095508A">
        <w:t xml:space="preserve"> needed operating flexibility as well as operating reserves. Planned </w:t>
      </w:r>
      <w:r w:rsidR="00EF25EB" w:rsidRPr="0095508A">
        <w:t>fast</w:t>
      </w:r>
      <w:r w:rsidR="00F82CA6" w:rsidRPr="0095508A">
        <w:t>-</w:t>
      </w:r>
      <w:r w:rsidR="00EF25EB" w:rsidRPr="0095508A">
        <w:t xml:space="preserve">start </w:t>
      </w:r>
      <w:r w:rsidR="002D032C" w:rsidRPr="0095508A">
        <w:t xml:space="preserve">resources as well as </w:t>
      </w:r>
      <w:r w:rsidR="00FB0D78" w:rsidRPr="0095508A">
        <w:t xml:space="preserve">baseload resources that are on line most of the time would also decrease the amounts of reserves required </w:t>
      </w:r>
      <w:r w:rsidR="00EF25EB" w:rsidRPr="0095508A">
        <w:t>within the subareas</w:t>
      </w:r>
      <w:r w:rsidR="002D032C" w:rsidRPr="0095508A">
        <w:t xml:space="preserve"> of Greater Connecticut</w:t>
      </w:r>
      <w:r w:rsidR="00FB0D78" w:rsidRPr="0095508A">
        <w:t xml:space="preserve">. </w:t>
      </w:r>
      <w:r w:rsidR="000C6843" w:rsidRPr="0095508A">
        <w:t>Existing fast-start resources</w:t>
      </w:r>
      <w:r w:rsidR="00EF25EB" w:rsidRPr="0095508A">
        <w:t xml:space="preserve"> </w:t>
      </w:r>
      <w:r w:rsidR="00FB0D78" w:rsidRPr="0095508A">
        <w:t xml:space="preserve">will likely </w:t>
      </w:r>
      <w:r w:rsidR="000C6843" w:rsidRPr="0095508A">
        <w:t xml:space="preserve">be used to </w:t>
      </w:r>
      <w:r w:rsidR="00FB0D78" w:rsidRPr="0095508A">
        <w:t xml:space="preserve">meet </w:t>
      </w:r>
      <w:r w:rsidR="000C6843" w:rsidRPr="0095508A">
        <w:t xml:space="preserve">the </w:t>
      </w:r>
      <w:r w:rsidR="00FB0D78" w:rsidRPr="0095508A">
        <w:t xml:space="preserve">locational reserve requirements </w:t>
      </w:r>
      <w:r w:rsidR="000C6843" w:rsidRPr="0095508A">
        <w:t xml:space="preserve">for </w:t>
      </w:r>
      <w:r w:rsidR="00EF25EB" w:rsidRPr="0095508A">
        <w:t>BOSTON</w:t>
      </w:r>
      <w:r w:rsidR="000C6843" w:rsidRPr="0095508A">
        <w:t>,</w:t>
      </w:r>
      <w:r w:rsidR="00FB0D78" w:rsidRPr="0095508A">
        <w:t xml:space="preserve"> and new resources </w:t>
      </w:r>
      <w:r w:rsidR="002D032C" w:rsidRPr="0095508A">
        <w:t xml:space="preserve">will </w:t>
      </w:r>
      <w:r w:rsidR="00FB0D78" w:rsidRPr="0095508A">
        <w:t>likely participate in the locational FRM</w:t>
      </w:r>
      <w:r w:rsidR="002D032C" w:rsidRPr="0095508A">
        <w:t xml:space="preserve"> </w:t>
      </w:r>
      <w:r w:rsidR="00EF25EB" w:rsidRPr="0095508A">
        <w:t>for this area</w:t>
      </w:r>
      <w:r w:rsidR="00FB0D78" w:rsidRPr="0095508A">
        <w:t xml:space="preserve">. </w:t>
      </w:r>
      <w:bookmarkStart w:id="352" w:name="_Toc176245014"/>
      <w:r w:rsidR="003C1D75" w:rsidRPr="0095508A">
        <w:t>Any reduction in traditional baseload resources in either area would serve to increase the locational FRM requirement</w:t>
      </w:r>
      <w:r w:rsidR="00241566" w:rsidRPr="0095508A">
        <w:t>.</w:t>
      </w:r>
    </w:p>
    <w:p w:rsidR="001B3090" w:rsidRDefault="00FB0D78">
      <w:pPr>
        <w:pStyle w:val="Heading2"/>
      </w:pPr>
      <w:bookmarkStart w:id="353" w:name="_Toc176245015"/>
      <w:bookmarkStart w:id="354" w:name="_Toc201669944"/>
      <w:bookmarkStart w:id="355" w:name="_Toc207531843"/>
      <w:bookmarkStart w:id="356" w:name="_Toc239157079"/>
      <w:bookmarkStart w:id="357" w:name="_Toc271632233"/>
      <w:bookmarkEnd w:id="352"/>
      <w:r>
        <w:t>Demand-Response Reserves Pilot Progr</w:t>
      </w:r>
      <w:bookmarkEnd w:id="353"/>
      <w:r>
        <w:t>am</w:t>
      </w:r>
      <w:bookmarkEnd w:id="354"/>
      <w:bookmarkEnd w:id="355"/>
      <w:bookmarkEnd w:id="356"/>
      <w:bookmarkEnd w:id="357"/>
    </w:p>
    <w:p w:rsidR="00FB0D78" w:rsidRDefault="00C4081C" w:rsidP="00073277">
      <w:r>
        <w:t>The ISO is assessing t</w:t>
      </w:r>
      <w:r w:rsidR="00FB0D78" w:rsidRPr="00FD40AF">
        <w:t xml:space="preserve">he </w:t>
      </w:r>
      <w:r w:rsidR="00FB0D78">
        <w:t>Demand-Response Reserves Pilot Program (DRR Pilot</w:t>
      </w:r>
      <w:r w:rsidR="00FB0D78" w:rsidRPr="001D31A9">
        <w:t xml:space="preserve">) </w:t>
      </w:r>
      <w:r>
        <w:t xml:space="preserve">to determine </w:t>
      </w:r>
      <w:r w:rsidR="00FB0D78" w:rsidRPr="001D31A9">
        <w:t>whether</w:t>
      </w:r>
      <w:r w:rsidR="00FB0D78">
        <w:t xml:space="preserve"> the demand-response resources in New </w:t>
      </w:r>
      <w:r w:rsidR="00FB0D78" w:rsidRPr="007505C8">
        <w:t>England are interested</w:t>
      </w:r>
      <w:r w:rsidR="00FB0D78">
        <w:t xml:space="preserve"> in and capable</w:t>
      </w:r>
      <w:r w:rsidR="00FB0D78" w:rsidRPr="007505C8">
        <w:t xml:space="preserve"> </w:t>
      </w:r>
      <w:r w:rsidR="00FB0D78">
        <w:t>of providing a reserve product functionally equivalent to the type of reserves provided by central generating stations, combustion turbines, and other fast</w:t>
      </w:r>
      <w:r w:rsidR="002D032C">
        <w:t>-</w:t>
      </w:r>
      <w:r w:rsidR="00FB0D78">
        <w:t>start resources. The program began its</w:t>
      </w:r>
      <w:r w:rsidR="00FB0D78" w:rsidRPr="00602DF9">
        <w:t xml:space="preserve"> initial two-year </w:t>
      </w:r>
      <w:r w:rsidR="00FB0D78">
        <w:t>phase i</w:t>
      </w:r>
      <w:r w:rsidR="00FB0D78" w:rsidRPr="00602DF9">
        <w:t>n October 2006</w:t>
      </w:r>
      <w:r w:rsidR="00FB0D78">
        <w:t xml:space="preserve"> and its second phase in October 2008</w:t>
      </w:r>
      <w:r w:rsidR="00FB0D78" w:rsidRPr="00602DF9">
        <w:t>.</w:t>
      </w:r>
    </w:p>
    <w:p w:rsidR="00FB0D78" w:rsidRDefault="00FB0D78" w:rsidP="00073277">
      <w:r>
        <w:t xml:space="preserve">The DRR Pilot program </w:t>
      </w:r>
      <w:r w:rsidRPr="001D31A9">
        <w:t>tested</w:t>
      </w:r>
      <w:r>
        <w:t xml:space="preserve"> the ability of demand resources to reliably provide an operating-reserve-like response. The pilot used the Internet-Based Communication System Open Solution (IBCS OS) to dispatch these resources and to provide near real-time data to system operators. </w:t>
      </w:r>
      <w:r w:rsidR="00832C7A">
        <w:fldChar w:fldCharType="begin"/>
      </w:r>
      <w:r>
        <w:instrText xml:space="preserve"> REF _Ref230871118 \h </w:instrText>
      </w:r>
      <w:r w:rsidR="00832C7A">
        <w:fldChar w:fldCharType="separate"/>
      </w:r>
      <w:r w:rsidR="00E5699E" w:rsidRPr="001A4E17">
        <w:t>Table </w:t>
      </w:r>
      <w:r w:rsidR="00E5699E">
        <w:rPr>
          <w:noProof/>
        </w:rPr>
        <w:t>5</w:t>
      </w:r>
      <w:r w:rsidR="00E5699E">
        <w:noBreakHyphen/>
      </w:r>
      <w:r w:rsidR="00E5699E">
        <w:rPr>
          <w:noProof/>
        </w:rPr>
        <w:t>2</w:t>
      </w:r>
      <w:r w:rsidR="00832C7A">
        <w:fldChar w:fldCharType="end"/>
      </w:r>
      <w:r>
        <w:t xml:space="preserve"> summarizes program p</w:t>
      </w:r>
      <w:r w:rsidRPr="00602DF9">
        <w:t xml:space="preserve">articipation </w:t>
      </w:r>
      <w:r>
        <w:t xml:space="preserve">and the number of events that occurred throughout the entire </w:t>
      </w:r>
      <w:r w:rsidRPr="00602DF9">
        <w:t>DRR Pilot</w:t>
      </w:r>
      <w:r>
        <w:t>.</w:t>
      </w:r>
    </w:p>
    <w:p w:rsidR="00746907" w:rsidRDefault="00FB0D78" w:rsidP="007A0224">
      <w:pPr>
        <w:pStyle w:val="Caption"/>
      </w:pPr>
      <w:bookmarkStart w:id="358" w:name="_Ref230871118"/>
      <w:bookmarkStart w:id="359" w:name="_Toc239157229"/>
      <w:bookmarkStart w:id="360" w:name="_Toc271552416"/>
      <w:r w:rsidRPr="001A4E17">
        <w:t>Table </w:t>
      </w:r>
      <w:r w:rsidR="00832C7A">
        <w:fldChar w:fldCharType="begin"/>
      </w:r>
      <w:r w:rsidR="00B2406F">
        <w:instrText xml:space="preserve"> STYLEREF 1 \s </w:instrText>
      </w:r>
      <w:r w:rsidR="00832C7A">
        <w:fldChar w:fldCharType="separate"/>
      </w:r>
      <w:r w:rsidR="00E5699E">
        <w:rPr>
          <w:noProof/>
        </w:rPr>
        <w:t>5</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358"/>
      <w:r w:rsidRPr="001A4E17">
        <w:br/>
      </w:r>
      <w:r w:rsidRPr="001A4E17">
        <w:rPr>
          <w:rFonts w:cs="Arial"/>
        </w:rPr>
        <w:t>DRR Pilot Summary Statistics</w:t>
      </w:r>
      <w:bookmarkEnd w:id="359"/>
      <w:bookmarkEnd w:id="360"/>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right w:w="115" w:type="dxa"/>
        </w:tblCellMar>
        <w:tblLook w:val="04A0"/>
      </w:tblPr>
      <w:tblGrid>
        <w:gridCol w:w="1800"/>
        <w:gridCol w:w="1318"/>
        <w:gridCol w:w="1350"/>
        <w:gridCol w:w="1350"/>
        <w:gridCol w:w="1620"/>
      </w:tblGrid>
      <w:tr w:rsidR="00001224" w:rsidRPr="003F2646" w:rsidTr="00B76B26">
        <w:trPr>
          <w:cnfStyle w:val="100000000000"/>
        </w:trPr>
        <w:tc>
          <w:tcPr>
            <w:cnfStyle w:val="001000000100"/>
            <w:tcW w:w="1800" w:type="dxa"/>
            <w:shd w:val="clear" w:color="auto" w:fill="FBCE76" w:themeFill="background2" w:themeFillTint="99"/>
            <w:tcMar>
              <w:top w:w="72" w:type="dxa"/>
              <w:bottom w:w="72" w:type="dxa"/>
            </w:tcMar>
          </w:tcPr>
          <w:p w:rsidR="00FB0D78" w:rsidRPr="003F2646" w:rsidRDefault="00FB0D78" w:rsidP="007A0224">
            <w:pPr>
              <w:keepNext/>
              <w:keepLines/>
              <w:spacing w:after="0" w:line="240" w:lineRule="auto"/>
              <w:jc w:val="center"/>
              <w:rPr>
                <w:rFonts w:ascii="Arial" w:hAnsi="Arial" w:cs="Arial"/>
                <w:color w:val="000000" w:themeColor="text1"/>
                <w:sz w:val="18"/>
                <w:szCs w:val="18"/>
              </w:rPr>
            </w:pPr>
            <w:r w:rsidRPr="003F2646">
              <w:rPr>
                <w:rFonts w:ascii="Arial" w:hAnsi="Arial" w:cs="Arial"/>
                <w:color w:val="000000" w:themeColor="text1"/>
                <w:sz w:val="18"/>
                <w:szCs w:val="18"/>
              </w:rPr>
              <w:t>Season</w:t>
            </w:r>
          </w:p>
        </w:tc>
        <w:tc>
          <w:tcPr>
            <w:tcW w:w="1318" w:type="dxa"/>
            <w:shd w:val="clear" w:color="auto" w:fill="FBCE76" w:themeFill="background2" w:themeFillTint="99"/>
            <w:tcMar>
              <w:top w:w="72" w:type="dxa"/>
              <w:bottom w:w="72" w:type="dxa"/>
            </w:tcMar>
          </w:tcPr>
          <w:p w:rsidR="00FB0D78" w:rsidRPr="003F2646" w:rsidRDefault="00FB0D78" w:rsidP="007A0224">
            <w:pPr>
              <w:keepNext/>
              <w:keepLines/>
              <w:spacing w:after="0" w:line="240" w:lineRule="auto"/>
              <w:cnfStyle w:val="100000000000"/>
              <w:rPr>
                <w:rFonts w:ascii="Arial" w:hAnsi="Arial" w:cs="Arial"/>
                <w:color w:val="000000" w:themeColor="text1"/>
                <w:sz w:val="18"/>
                <w:szCs w:val="18"/>
              </w:rPr>
            </w:pPr>
            <w:r w:rsidRPr="003F2646">
              <w:rPr>
                <w:rFonts w:ascii="Arial" w:hAnsi="Arial" w:cs="Arial"/>
                <w:color w:val="000000" w:themeColor="text1"/>
                <w:sz w:val="18"/>
                <w:szCs w:val="18"/>
              </w:rPr>
              <w:t>Participation (</w:t>
            </w:r>
            <w:r w:rsidR="00DA5B40">
              <w:rPr>
                <w:rFonts w:ascii="Arial" w:hAnsi="Arial" w:cs="Arial"/>
                <w:color w:val="000000" w:themeColor="text1"/>
                <w:sz w:val="18"/>
                <w:szCs w:val="18"/>
              </w:rPr>
              <w:t xml:space="preserve"># of </w:t>
            </w:r>
            <w:r w:rsidRPr="003F2646">
              <w:rPr>
                <w:rFonts w:ascii="Arial" w:hAnsi="Arial" w:cs="Arial"/>
                <w:color w:val="000000" w:themeColor="text1"/>
                <w:sz w:val="18"/>
                <w:szCs w:val="18"/>
              </w:rPr>
              <w:t>assets)</w:t>
            </w:r>
          </w:p>
        </w:tc>
        <w:tc>
          <w:tcPr>
            <w:tcW w:w="1350" w:type="dxa"/>
            <w:shd w:val="clear" w:color="auto" w:fill="FBCE76" w:themeFill="background2" w:themeFillTint="99"/>
            <w:tcMar>
              <w:top w:w="72" w:type="dxa"/>
              <w:bottom w:w="72" w:type="dxa"/>
            </w:tcMar>
          </w:tcPr>
          <w:p w:rsidR="00FB0D78" w:rsidRPr="003F2646" w:rsidRDefault="00FB0D78" w:rsidP="007A0224">
            <w:pPr>
              <w:keepNext/>
              <w:keepLines/>
              <w:spacing w:after="0" w:line="240" w:lineRule="auto"/>
              <w:cnfStyle w:val="100000000000"/>
              <w:rPr>
                <w:rFonts w:ascii="Arial" w:hAnsi="Arial" w:cs="Arial"/>
                <w:color w:val="000000" w:themeColor="text1"/>
                <w:sz w:val="18"/>
                <w:szCs w:val="18"/>
              </w:rPr>
            </w:pPr>
            <w:r w:rsidRPr="003F2646">
              <w:rPr>
                <w:rFonts w:ascii="Arial" w:hAnsi="Arial" w:cs="Arial"/>
                <w:color w:val="000000" w:themeColor="text1"/>
                <w:sz w:val="18"/>
                <w:szCs w:val="18"/>
              </w:rPr>
              <w:t>Participation</w:t>
            </w:r>
            <w:r w:rsidR="003F2646">
              <w:rPr>
                <w:rFonts w:ascii="Arial" w:hAnsi="Arial" w:cs="Arial"/>
                <w:color w:val="000000" w:themeColor="text1"/>
                <w:sz w:val="18"/>
                <w:szCs w:val="18"/>
              </w:rPr>
              <w:br/>
            </w:r>
            <w:r w:rsidRPr="003F2646">
              <w:rPr>
                <w:rFonts w:ascii="Arial" w:hAnsi="Arial" w:cs="Arial"/>
                <w:color w:val="000000" w:themeColor="text1"/>
                <w:sz w:val="18"/>
                <w:szCs w:val="18"/>
              </w:rPr>
              <w:t>(MW)</w:t>
            </w:r>
            <w:r w:rsidR="00DA5B40" w:rsidRPr="00F82CA6">
              <w:rPr>
                <w:rFonts w:ascii="Arial" w:hAnsi="Arial" w:cs="Arial"/>
                <w:color w:val="000000" w:themeColor="text1"/>
                <w:sz w:val="18"/>
                <w:szCs w:val="18"/>
                <w:vertAlign w:val="superscript"/>
              </w:rPr>
              <w:t>(a)</w:t>
            </w:r>
          </w:p>
        </w:tc>
        <w:tc>
          <w:tcPr>
            <w:tcW w:w="1350" w:type="dxa"/>
            <w:shd w:val="clear" w:color="auto" w:fill="FBCE76" w:themeFill="background2" w:themeFillTint="99"/>
            <w:tcMar>
              <w:top w:w="72" w:type="dxa"/>
              <w:bottom w:w="72" w:type="dxa"/>
            </w:tcMar>
          </w:tcPr>
          <w:p w:rsidR="00FB0D78" w:rsidRPr="003F2646" w:rsidRDefault="00DA5B40" w:rsidP="007A0224">
            <w:pPr>
              <w:keepNext/>
              <w:keepLines/>
              <w:spacing w:after="0" w:line="240" w:lineRule="auto"/>
              <w:cnfStyle w:val="100000000000"/>
              <w:rPr>
                <w:rFonts w:ascii="Arial" w:hAnsi="Arial" w:cs="Arial"/>
                <w:color w:val="000000" w:themeColor="text1"/>
                <w:sz w:val="18"/>
                <w:szCs w:val="18"/>
              </w:rPr>
            </w:pPr>
            <w:r>
              <w:rPr>
                <w:rFonts w:ascii="Arial" w:hAnsi="Arial" w:cs="Arial"/>
                <w:color w:val="000000" w:themeColor="text1"/>
                <w:sz w:val="18"/>
                <w:szCs w:val="18"/>
              </w:rPr>
              <w:t xml:space="preserve"># </w:t>
            </w:r>
            <w:r w:rsidR="00FB0D78" w:rsidRPr="003F2646">
              <w:rPr>
                <w:rFonts w:ascii="Arial" w:hAnsi="Arial" w:cs="Arial"/>
                <w:color w:val="000000" w:themeColor="text1"/>
                <w:sz w:val="18"/>
                <w:szCs w:val="18"/>
              </w:rPr>
              <w:t>of Activations</w:t>
            </w:r>
          </w:p>
        </w:tc>
        <w:tc>
          <w:tcPr>
            <w:tcW w:w="1620" w:type="dxa"/>
            <w:shd w:val="clear" w:color="auto" w:fill="FBCE76" w:themeFill="background2" w:themeFillTint="99"/>
            <w:tcMar>
              <w:top w:w="72" w:type="dxa"/>
              <w:bottom w:w="72" w:type="dxa"/>
            </w:tcMar>
          </w:tcPr>
          <w:p w:rsidR="00FB0D78" w:rsidRPr="003F2646" w:rsidRDefault="00001224" w:rsidP="007A0224">
            <w:pPr>
              <w:keepNext/>
              <w:keepLines/>
              <w:spacing w:after="0" w:line="240" w:lineRule="auto"/>
              <w:cnfStyle w:val="100000000000"/>
              <w:rPr>
                <w:rFonts w:ascii="Arial" w:hAnsi="Arial" w:cs="Arial"/>
                <w:color w:val="000000" w:themeColor="text1"/>
                <w:sz w:val="18"/>
                <w:szCs w:val="18"/>
              </w:rPr>
            </w:pPr>
            <w:r>
              <w:rPr>
                <w:rFonts w:ascii="Arial" w:hAnsi="Arial" w:cs="Arial"/>
                <w:color w:val="000000" w:themeColor="text1"/>
                <w:sz w:val="18"/>
                <w:szCs w:val="18"/>
              </w:rPr>
              <w:t xml:space="preserve"># </w:t>
            </w:r>
            <w:r w:rsidR="00FB0D78" w:rsidRPr="003F2646">
              <w:rPr>
                <w:rFonts w:ascii="Arial" w:hAnsi="Arial" w:cs="Arial"/>
                <w:color w:val="000000" w:themeColor="text1"/>
                <w:sz w:val="18"/>
                <w:szCs w:val="18"/>
              </w:rPr>
              <w:t>of Statistically Significant Reductions</w:t>
            </w:r>
          </w:p>
        </w:tc>
      </w:tr>
      <w:tr w:rsidR="00001224" w:rsidRPr="003F2646" w:rsidTr="00243D58">
        <w:trPr>
          <w:cnfStyle w:val="000000100000"/>
        </w:trPr>
        <w:tc>
          <w:tcPr>
            <w:cnfStyle w:val="001000000000"/>
            <w:tcW w:w="1800" w:type="dxa"/>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Winter 2006/2007</w:t>
            </w:r>
          </w:p>
        </w:tc>
        <w:tc>
          <w:tcPr>
            <w:tcW w:w="1318"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47</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14.9</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19</w:t>
            </w:r>
          </w:p>
        </w:tc>
        <w:tc>
          <w:tcPr>
            <w:tcW w:w="162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19</w:t>
            </w:r>
          </w:p>
        </w:tc>
      </w:tr>
      <w:tr w:rsidR="00090D4B" w:rsidRPr="003F2646" w:rsidTr="00243D58">
        <w:trPr>
          <w:cnfStyle w:val="000000010000"/>
        </w:trPr>
        <w:tc>
          <w:tcPr>
            <w:cnfStyle w:val="001000000000"/>
            <w:tcW w:w="1800" w:type="dxa"/>
            <w:shd w:val="clear" w:color="auto" w:fill="FDEED1" w:themeFill="background2" w:themeFillTint="33"/>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Summer 2007</w:t>
            </w:r>
          </w:p>
        </w:tc>
        <w:tc>
          <w:tcPr>
            <w:tcW w:w="1318"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90</w:t>
            </w:r>
          </w:p>
        </w:tc>
        <w:tc>
          <w:tcPr>
            <w:tcW w:w="135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30.3</w:t>
            </w:r>
          </w:p>
        </w:tc>
        <w:tc>
          <w:tcPr>
            <w:tcW w:w="135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18</w:t>
            </w:r>
          </w:p>
        </w:tc>
        <w:tc>
          <w:tcPr>
            <w:tcW w:w="162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13</w:t>
            </w:r>
          </w:p>
        </w:tc>
      </w:tr>
      <w:tr w:rsidR="00001224" w:rsidRPr="003F2646" w:rsidTr="00243D58">
        <w:trPr>
          <w:cnfStyle w:val="000000100000"/>
        </w:trPr>
        <w:tc>
          <w:tcPr>
            <w:cnfStyle w:val="001000000000"/>
            <w:tcW w:w="1800" w:type="dxa"/>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Winter 2007/2008</w:t>
            </w:r>
          </w:p>
        </w:tc>
        <w:tc>
          <w:tcPr>
            <w:tcW w:w="1318"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77</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13.7</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17</w:t>
            </w:r>
          </w:p>
        </w:tc>
        <w:tc>
          <w:tcPr>
            <w:tcW w:w="162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13</w:t>
            </w:r>
          </w:p>
        </w:tc>
      </w:tr>
      <w:tr w:rsidR="00090D4B" w:rsidRPr="003F2646" w:rsidTr="00243D58">
        <w:trPr>
          <w:cnfStyle w:val="000000010000"/>
        </w:trPr>
        <w:tc>
          <w:tcPr>
            <w:cnfStyle w:val="001000000000"/>
            <w:tcW w:w="1800" w:type="dxa"/>
            <w:shd w:val="clear" w:color="auto" w:fill="FDEED1" w:themeFill="background2" w:themeFillTint="33"/>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Summer 2008</w:t>
            </w:r>
          </w:p>
        </w:tc>
        <w:tc>
          <w:tcPr>
            <w:tcW w:w="1318"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90</w:t>
            </w:r>
          </w:p>
        </w:tc>
        <w:tc>
          <w:tcPr>
            <w:tcW w:w="135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28.6</w:t>
            </w:r>
          </w:p>
        </w:tc>
        <w:tc>
          <w:tcPr>
            <w:tcW w:w="135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16</w:t>
            </w:r>
          </w:p>
        </w:tc>
        <w:tc>
          <w:tcPr>
            <w:tcW w:w="162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13</w:t>
            </w:r>
          </w:p>
        </w:tc>
      </w:tr>
      <w:tr w:rsidR="00001224" w:rsidRPr="003F2646" w:rsidTr="00243D58">
        <w:trPr>
          <w:cnfStyle w:val="000000100000"/>
        </w:trPr>
        <w:tc>
          <w:tcPr>
            <w:cnfStyle w:val="001000000000"/>
            <w:tcW w:w="1800" w:type="dxa"/>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Winter 2008/2009</w:t>
            </w:r>
          </w:p>
        </w:tc>
        <w:tc>
          <w:tcPr>
            <w:tcW w:w="1318"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0</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0</w:t>
            </w:r>
            <w:r w:rsidR="00243D58">
              <w:rPr>
                <w:rFonts w:ascii="Arial" w:hAnsi="Arial" w:cs="Arial"/>
                <w:color w:val="000000" w:themeColor="text1"/>
                <w:sz w:val="18"/>
                <w:szCs w:val="18"/>
              </w:rPr>
              <w:t>.0</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0</w:t>
            </w:r>
          </w:p>
        </w:tc>
        <w:tc>
          <w:tcPr>
            <w:tcW w:w="162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0</w:t>
            </w:r>
          </w:p>
        </w:tc>
      </w:tr>
      <w:tr w:rsidR="00090D4B" w:rsidRPr="00FA1F22" w:rsidTr="00243D58">
        <w:trPr>
          <w:cnfStyle w:val="000000010000"/>
        </w:trPr>
        <w:tc>
          <w:tcPr>
            <w:cnfStyle w:val="001000000000"/>
            <w:tcW w:w="1800" w:type="dxa"/>
            <w:shd w:val="clear" w:color="auto" w:fill="FDEED1" w:themeFill="background2" w:themeFillTint="33"/>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Summer 2009</w:t>
            </w:r>
          </w:p>
        </w:tc>
        <w:tc>
          <w:tcPr>
            <w:tcW w:w="1318"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57</w:t>
            </w:r>
          </w:p>
        </w:tc>
        <w:tc>
          <w:tcPr>
            <w:tcW w:w="1350" w:type="dxa"/>
            <w:shd w:val="clear" w:color="auto" w:fill="FDEED1" w:themeFill="background2" w:themeFillTint="33"/>
            <w:tcMar>
              <w:top w:w="72" w:type="dxa"/>
              <w:left w:w="0" w:type="dxa"/>
              <w:bottom w:w="72" w:type="dxa"/>
              <w:right w:w="432" w:type="dxa"/>
            </w:tcMar>
          </w:tcPr>
          <w:p w:rsidR="00FB0D78" w:rsidRPr="003F2646" w:rsidRDefault="00FB0D78" w:rsidP="007A0224">
            <w:pPr>
              <w:keepNext/>
              <w:keepLines/>
              <w:spacing w:after="0" w:line="240" w:lineRule="auto"/>
              <w:jc w:val="right"/>
              <w:cnfStyle w:val="000000010000"/>
              <w:rPr>
                <w:rFonts w:ascii="Arial" w:hAnsi="Arial" w:cs="Arial"/>
                <w:color w:val="000000" w:themeColor="text1"/>
                <w:sz w:val="18"/>
                <w:szCs w:val="18"/>
              </w:rPr>
            </w:pPr>
            <w:r w:rsidRPr="003F2646">
              <w:rPr>
                <w:rFonts w:ascii="Arial" w:hAnsi="Arial" w:cs="Arial"/>
                <w:color w:val="000000" w:themeColor="text1"/>
                <w:sz w:val="18"/>
                <w:szCs w:val="18"/>
              </w:rPr>
              <w:t>34.5</w:t>
            </w:r>
          </w:p>
        </w:tc>
        <w:tc>
          <w:tcPr>
            <w:tcW w:w="1350" w:type="dxa"/>
            <w:shd w:val="clear" w:color="auto" w:fill="FDEED1" w:themeFill="background2" w:themeFillTint="33"/>
            <w:tcMar>
              <w:top w:w="72" w:type="dxa"/>
              <w:left w:w="0" w:type="dxa"/>
              <w:bottom w:w="72" w:type="dxa"/>
              <w:right w:w="432" w:type="dxa"/>
            </w:tcMar>
          </w:tcPr>
          <w:p w:rsidR="00FB0D78" w:rsidRPr="00FA1F22" w:rsidRDefault="00FB0D78" w:rsidP="00710F1B">
            <w:pPr>
              <w:keepNext/>
              <w:keepLines/>
              <w:spacing w:after="0" w:line="240" w:lineRule="auto"/>
              <w:jc w:val="right"/>
              <w:cnfStyle w:val="000000010000"/>
              <w:rPr>
                <w:rFonts w:ascii="Arial" w:hAnsi="Arial" w:cs="Arial"/>
                <w:color w:val="000000" w:themeColor="text1"/>
                <w:sz w:val="18"/>
                <w:szCs w:val="18"/>
              </w:rPr>
            </w:pPr>
            <w:r w:rsidRPr="00FA1F22">
              <w:rPr>
                <w:rFonts w:ascii="Arial" w:hAnsi="Arial" w:cs="Arial"/>
                <w:color w:val="000000" w:themeColor="text1"/>
                <w:sz w:val="18"/>
                <w:szCs w:val="18"/>
              </w:rPr>
              <w:t xml:space="preserve"> </w:t>
            </w:r>
            <w:r w:rsidR="00710F1B" w:rsidRPr="00FA1F22">
              <w:rPr>
                <w:rFonts w:ascii="Arial" w:hAnsi="Arial" w:cs="Arial"/>
                <w:color w:val="000000" w:themeColor="text1"/>
                <w:sz w:val="18"/>
                <w:szCs w:val="18"/>
              </w:rPr>
              <w:t>18</w:t>
            </w:r>
          </w:p>
        </w:tc>
        <w:tc>
          <w:tcPr>
            <w:tcW w:w="1620" w:type="dxa"/>
            <w:shd w:val="clear" w:color="auto" w:fill="FDEED1" w:themeFill="background2" w:themeFillTint="33"/>
            <w:tcMar>
              <w:top w:w="72" w:type="dxa"/>
              <w:left w:w="0" w:type="dxa"/>
              <w:bottom w:w="72" w:type="dxa"/>
              <w:right w:w="432" w:type="dxa"/>
            </w:tcMar>
          </w:tcPr>
          <w:p w:rsidR="00FB0D78" w:rsidRPr="00FA1F22" w:rsidRDefault="00710F1B" w:rsidP="007A0224">
            <w:pPr>
              <w:keepNext/>
              <w:keepLines/>
              <w:spacing w:after="0" w:line="240" w:lineRule="auto"/>
              <w:jc w:val="right"/>
              <w:cnfStyle w:val="000000010000"/>
              <w:rPr>
                <w:rFonts w:ascii="Arial" w:hAnsi="Arial" w:cs="Arial"/>
                <w:color w:val="000000" w:themeColor="text1"/>
                <w:sz w:val="18"/>
                <w:szCs w:val="18"/>
              </w:rPr>
            </w:pPr>
            <w:r w:rsidRPr="00FA1F22">
              <w:rPr>
                <w:rFonts w:ascii="Arial" w:hAnsi="Arial" w:cs="Arial"/>
                <w:color w:val="000000" w:themeColor="text1"/>
                <w:sz w:val="18"/>
                <w:szCs w:val="18"/>
              </w:rPr>
              <w:t>18</w:t>
            </w:r>
          </w:p>
        </w:tc>
      </w:tr>
      <w:tr w:rsidR="00001224" w:rsidRPr="003F2646" w:rsidTr="00243D58">
        <w:trPr>
          <w:cnfStyle w:val="000000100000"/>
        </w:trPr>
        <w:tc>
          <w:tcPr>
            <w:cnfStyle w:val="001000000000"/>
            <w:tcW w:w="1800" w:type="dxa"/>
            <w:tcMar>
              <w:top w:w="72" w:type="dxa"/>
              <w:bottom w:w="72" w:type="dxa"/>
            </w:tcMar>
          </w:tcPr>
          <w:p w:rsidR="00FB0D78" w:rsidRPr="003F2646" w:rsidRDefault="00FB0D78" w:rsidP="007A0224">
            <w:pPr>
              <w:keepNext/>
              <w:keepLines/>
              <w:spacing w:after="0" w:line="240" w:lineRule="auto"/>
              <w:rPr>
                <w:rFonts w:ascii="Arial" w:hAnsi="Arial" w:cs="Arial"/>
                <w:color w:val="000000" w:themeColor="text1"/>
                <w:sz w:val="18"/>
                <w:szCs w:val="18"/>
              </w:rPr>
            </w:pPr>
            <w:r w:rsidRPr="003F2646">
              <w:rPr>
                <w:rFonts w:ascii="Arial" w:hAnsi="Arial" w:cs="Arial"/>
                <w:color w:val="000000" w:themeColor="text1"/>
                <w:sz w:val="18"/>
                <w:szCs w:val="18"/>
              </w:rPr>
              <w:t>Winter 2009/2010</w:t>
            </w:r>
          </w:p>
        </w:tc>
        <w:tc>
          <w:tcPr>
            <w:tcW w:w="1318"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40</w:t>
            </w:r>
          </w:p>
        </w:tc>
        <w:tc>
          <w:tcPr>
            <w:tcW w:w="1350" w:type="dxa"/>
            <w:tcMar>
              <w:top w:w="72" w:type="dxa"/>
              <w:left w:w="0" w:type="dxa"/>
              <w:bottom w:w="72" w:type="dxa"/>
              <w:right w:w="432" w:type="dxa"/>
            </w:tcMar>
          </w:tcPr>
          <w:p w:rsidR="00FB0D78" w:rsidRPr="003F2646" w:rsidRDefault="00FB0D78" w:rsidP="007A0224">
            <w:pPr>
              <w:keepNext/>
              <w:keepLines/>
              <w:spacing w:after="0" w:line="240" w:lineRule="auto"/>
              <w:jc w:val="right"/>
              <w:cnfStyle w:val="000000100000"/>
              <w:rPr>
                <w:rFonts w:ascii="Arial" w:hAnsi="Arial" w:cs="Arial"/>
                <w:color w:val="000000" w:themeColor="text1"/>
                <w:sz w:val="18"/>
                <w:szCs w:val="18"/>
              </w:rPr>
            </w:pPr>
            <w:r w:rsidRPr="003F2646">
              <w:rPr>
                <w:rFonts w:ascii="Arial" w:hAnsi="Arial" w:cs="Arial"/>
                <w:color w:val="000000" w:themeColor="text1"/>
                <w:sz w:val="18"/>
                <w:szCs w:val="18"/>
              </w:rPr>
              <w:t>16.0</w:t>
            </w:r>
          </w:p>
        </w:tc>
        <w:tc>
          <w:tcPr>
            <w:tcW w:w="1350" w:type="dxa"/>
            <w:tcMar>
              <w:top w:w="72" w:type="dxa"/>
              <w:left w:w="0" w:type="dxa"/>
              <w:bottom w:w="72" w:type="dxa"/>
              <w:right w:w="432" w:type="dxa"/>
            </w:tcMar>
          </w:tcPr>
          <w:p w:rsidR="00FB0D78" w:rsidRPr="00FA1F22" w:rsidRDefault="00710F1B" w:rsidP="007A0224">
            <w:pPr>
              <w:keepNext/>
              <w:keepLines/>
              <w:spacing w:after="0" w:line="240" w:lineRule="auto"/>
              <w:jc w:val="right"/>
              <w:cnfStyle w:val="000000100000"/>
              <w:rPr>
                <w:rFonts w:ascii="Arial" w:hAnsi="Arial" w:cs="Arial"/>
                <w:color w:val="000000" w:themeColor="text1"/>
                <w:sz w:val="18"/>
                <w:szCs w:val="18"/>
              </w:rPr>
            </w:pPr>
            <w:r w:rsidRPr="00FA1F22">
              <w:rPr>
                <w:rFonts w:ascii="Arial" w:hAnsi="Arial" w:cs="Arial"/>
                <w:color w:val="000000" w:themeColor="text1"/>
                <w:sz w:val="18"/>
                <w:szCs w:val="18"/>
              </w:rPr>
              <w:t>19</w:t>
            </w:r>
          </w:p>
        </w:tc>
        <w:tc>
          <w:tcPr>
            <w:tcW w:w="1620" w:type="dxa"/>
            <w:tcMar>
              <w:top w:w="72" w:type="dxa"/>
              <w:left w:w="0" w:type="dxa"/>
              <w:bottom w:w="72" w:type="dxa"/>
              <w:right w:w="432" w:type="dxa"/>
            </w:tcMar>
          </w:tcPr>
          <w:p w:rsidR="00FB7A9D" w:rsidRDefault="00D4331C">
            <w:pPr>
              <w:keepNext/>
              <w:keepLines/>
              <w:spacing w:after="0" w:line="240" w:lineRule="auto"/>
              <w:jc w:val="right"/>
              <w:cnfStyle w:val="000000100000"/>
              <w:rPr>
                <w:rFonts w:ascii="Arial" w:hAnsi="Arial" w:cs="Arial"/>
                <w:color w:val="000000" w:themeColor="text1"/>
                <w:sz w:val="18"/>
                <w:szCs w:val="18"/>
                <w:highlight w:val="yellow"/>
              </w:rPr>
            </w:pPr>
            <w:r w:rsidRPr="00D4331C">
              <w:rPr>
                <w:rFonts w:ascii="Arial" w:hAnsi="Arial" w:cs="Arial"/>
                <w:color w:val="000000" w:themeColor="text1"/>
                <w:sz w:val="18"/>
                <w:szCs w:val="18"/>
              </w:rPr>
              <w:t>19</w:t>
            </w:r>
          </w:p>
        </w:tc>
      </w:tr>
    </w:tbl>
    <w:p w:rsidR="00A73FE0" w:rsidRPr="00A73FE0" w:rsidRDefault="00A73FE0" w:rsidP="00D70F17">
      <w:pPr>
        <w:keepNext/>
        <w:keepLines/>
        <w:spacing w:before="120" w:line="240" w:lineRule="auto"/>
        <w:ind w:left="1260" w:right="990" w:hanging="270"/>
        <w:rPr>
          <w:rFonts w:ascii="Arial" w:hAnsi="Arial" w:cs="Arial"/>
          <w:sz w:val="16"/>
          <w:szCs w:val="16"/>
        </w:rPr>
      </w:pPr>
      <w:r w:rsidRPr="00A73FE0">
        <w:rPr>
          <w:rFonts w:ascii="Arial" w:hAnsi="Arial" w:cs="Arial"/>
          <w:sz w:val="16"/>
          <w:szCs w:val="16"/>
        </w:rPr>
        <w:t xml:space="preserve">(a) </w:t>
      </w:r>
      <w:r w:rsidR="00D70F17">
        <w:rPr>
          <w:rFonts w:ascii="Arial" w:hAnsi="Arial" w:cs="Arial"/>
          <w:sz w:val="16"/>
          <w:szCs w:val="16"/>
        </w:rPr>
        <w:tab/>
      </w:r>
      <w:r w:rsidRPr="00A73FE0">
        <w:rPr>
          <w:rFonts w:ascii="Arial" w:hAnsi="Arial" w:cs="Arial"/>
          <w:sz w:val="16"/>
          <w:szCs w:val="16"/>
        </w:rPr>
        <w:t>During the first phase of the DRR Pilot, participating assets were required to enroll at the</w:t>
      </w:r>
      <w:r w:rsidR="00CE7C4D">
        <w:rPr>
          <w:rFonts w:ascii="Arial" w:hAnsi="Arial" w:cs="Arial"/>
          <w:sz w:val="16"/>
          <w:szCs w:val="16"/>
        </w:rPr>
        <w:t>ir</w:t>
      </w:r>
      <w:r w:rsidRPr="00A73FE0">
        <w:rPr>
          <w:rFonts w:ascii="Arial" w:hAnsi="Arial" w:cs="Arial"/>
          <w:sz w:val="16"/>
          <w:szCs w:val="16"/>
        </w:rPr>
        <w:t xml:space="preserve"> </w:t>
      </w:r>
      <w:r w:rsidRPr="00A73FE0">
        <w:rPr>
          <w:rFonts w:ascii="Arial" w:hAnsi="Arial" w:cs="Arial"/>
          <w:i/>
          <w:sz w:val="16"/>
          <w:szCs w:val="16"/>
        </w:rPr>
        <w:t>claimed capability</w:t>
      </w:r>
      <w:r w:rsidRPr="00A73FE0">
        <w:rPr>
          <w:rFonts w:ascii="Arial" w:hAnsi="Arial" w:cs="Arial"/>
          <w:sz w:val="16"/>
          <w:szCs w:val="16"/>
        </w:rPr>
        <w:t xml:space="preserve"> (i.e., a generator’s maximum level of production or output or a demand-resource’s maximum amount of load reduction</w:t>
      </w:r>
      <w:r w:rsidR="00490BE5">
        <w:rPr>
          <w:rFonts w:ascii="Arial" w:hAnsi="Arial" w:cs="Arial"/>
          <w:sz w:val="16"/>
          <w:szCs w:val="16"/>
        </w:rPr>
        <w:t>)</w:t>
      </w:r>
      <w:r w:rsidRPr="00A73FE0">
        <w:rPr>
          <w:rFonts w:ascii="Arial" w:hAnsi="Arial" w:cs="Arial"/>
          <w:sz w:val="16"/>
          <w:szCs w:val="16"/>
        </w:rPr>
        <w:t>. During the second phase of the DDR Pilot, participating assets were able to nominate the level of reduction to be provided. This contract amount could be less than the demand resource’s claimed capability.</w:t>
      </w:r>
      <w:r w:rsidR="00CE7C4D">
        <w:rPr>
          <w:rFonts w:ascii="Arial" w:hAnsi="Arial" w:cs="Arial"/>
          <w:sz w:val="16"/>
          <w:szCs w:val="16"/>
        </w:rPr>
        <w:t xml:space="preserve"> </w:t>
      </w:r>
    </w:p>
    <w:p w:rsidR="00FB0D78" w:rsidRDefault="00FB0D78" w:rsidP="007A0224">
      <w:r>
        <w:t xml:space="preserve">Throughout the DRR Pilot, the participation was below the 50 MW limit </w:t>
      </w:r>
      <w:r w:rsidRPr="007066E9">
        <w:t xml:space="preserve">of total resources established by </w:t>
      </w:r>
      <w:r w:rsidR="00D04B5B">
        <w:t xml:space="preserve">the </w:t>
      </w:r>
      <w:r w:rsidRPr="007066E9">
        <w:t>ISO</w:t>
      </w:r>
      <w:r>
        <w:t xml:space="preserve">. With the implementation of the Forward Capacity Market, the dispatch and near real-time telemetry has changed from the IBCS OS to a remote terminal unit (RTU) connected to the ISO’s </w:t>
      </w:r>
      <w:r w:rsidR="00EF25EB" w:rsidRPr="00EF25EB">
        <w:t>c</w:t>
      </w:r>
      <w:r w:rsidR="0095508A">
        <w:t>ommunications</w:t>
      </w:r>
      <w:r w:rsidR="00EF25EB" w:rsidRPr="00EF25EB">
        <w:t xml:space="preserve"> front end (CFE)</w:t>
      </w:r>
      <w:r w:rsidR="00DD0718">
        <w:t xml:space="preserve"> system</w:t>
      </w:r>
      <w:r w:rsidR="00EF25EB" w:rsidRPr="00EF25EB">
        <w:t>.</w:t>
      </w:r>
      <w:r w:rsidR="005C07C3" w:rsidRPr="00C4777C">
        <w:rPr>
          <w:rStyle w:val="FootnoteReference"/>
          <w:sz w:val="22"/>
        </w:rPr>
        <w:footnoteReference w:id="111"/>
      </w:r>
      <w:r>
        <w:t xml:space="preserve"> Before moving forward with any additional pilots or market rules changes, the ISO is awaiting certain FERC orders and </w:t>
      </w:r>
      <w:r w:rsidR="00DD0718">
        <w:t xml:space="preserve">the </w:t>
      </w:r>
      <w:r>
        <w:t>completion of other demand</w:t>
      </w:r>
      <w:r w:rsidR="00C4777C">
        <w:t>-</w:t>
      </w:r>
      <w:r>
        <w:t xml:space="preserve">resource market design changes. </w:t>
      </w:r>
    </w:p>
    <w:p w:rsidR="00FB0D78" w:rsidRPr="001C2F42" w:rsidRDefault="00FB0D78" w:rsidP="00073277">
      <w:r w:rsidRPr="001D31A9">
        <w:t>A critical step in determining the amount of interruption</w:t>
      </w:r>
      <w:r w:rsidRPr="001C2F42">
        <w:t xml:space="preserve"> provided by demand-response resources is the estimation of what a customer’s load would have been without the </w:t>
      </w:r>
      <w:r>
        <w:t>reductions providing operating reserves</w:t>
      </w:r>
      <w:r w:rsidRPr="001C2F42">
        <w:t xml:space="preserve">. Several different methodologies for determining </w:t>
      </w:r>
      <w:r>
        <w:t xml:space="preserve">the </w:t>
      </w:r>
      <w:r w:rsidRPr="001C2F42">
        <w:t>customer baseline</w:t>
      </w:r>
      <w:r>
        <w:t xml:space="preserve"> load shapes</w:t>
      </w:r>
      <w:r w:rsidRPr="001C2F42">
        <w:t xml:space="preserve"> were compared with the baseline methodology used in the DRR</w:t>
      </w:r>
      <w:r>
        <w:t xml:space="preserve"> </w:t>
      </w:r>
      <w:r w:rsidRPr="001C2F42">
        <w:t>P</w:t>
      </w:r>
      <w:r>
        <w:t>ilot</w:t>
      </w:r>
      <w:r w:rsidRPr="001C2F42">
        <w:t xml:space="preserve"> to evaluate </w:t>
      </w:r>
      <w:r>
        <w:t>their relative accuracies</w:t>
      </w:r>
      <w:r w:rsidRPr="001C2F42">
        <w:t xml:space="preserve">. </w:t>
      </w:r>
      <w:r>
        <w:t>Independent</w:t>
      </w:r>
      <w:r w:rsidRPr="001C2F42">
        <w:t xml:space="preserve"> analysis </w:t>
      </w:r>
      <w:r>
        <w:t xml:space="preserve">of the initial DRR pilot program methodology </w:t>
      </w:r>
      <w:r w:rsidRPr="001C2F42">
        <w:t xml:space="preserve">concluded that the </w:t>
      </w:r>
      <w:r>
        <w:t xml:space="preserve">methodology </w:t>
      </w:r>
      <w:r w:rsidR="00050430">
        <w:t xml:space="preserve">the ISO </w:t>
      </w:r>
      <w:r>
        <w:t>initially used</w:t>
      </w:r>
      <w:r w:rsidR="007A410D">
        <w:t xml:space="preserve"> was appropriate with some </w:t>
      </w:r>
      <w:r w:rsidRPr="003219FC">
        <w:t>adjustment</w:t>
      </w:r>
      <w:r>
        <w:t>s</w:t>
      </w:r>
      <w:r w:rsidRPr="003219FC">
        <w:t xml:space="preserve"> </w:t>
      </w:r>
      <w:r w:rsidRPr="006515C2">
        <w:t xml:space="preserve">made </w:t>
      </w:r>
      <w:r w:rsidR="006515C2" w:rsidRPr="006515C2">
        <w:t>to the customer baseline</w:t>
      </w:r>
      <w:r w:rsidR="007A410D">
        <w:t>.</w:t>
      </w:r>
      <w:r w:rsidR="007A410D" w:rsidRPr="00C4777C">
        <w:rPr>
          <w:rStyle w:val="FootnoteReference"/>
          <w:sz w:val="22"/>
        </w:rPr>
        <w:footnoteReference w:id="112"/>
      </w:r>
      <w:r w:rsidR="007A410D" w:rsidRPr="00C4777C">
        <w:t xml:space="preserve"> </w:t>
      </w:r>
      <w:r w:rsidR="007A410D">
        <w:t xml:space="preserve">The adjustments were </w:t>
      </w:r>
      <w:r w:rsidR="00916387" w:rsidRPr="006515C2">
        <w:t>based on</w:t>
      </w:r>
      <w:r w:rsidR="00A53278" w:rsidRPr="006515C2">
        <w:t xml:space="preserve"> </w:t>
      </w:r>
      <w:r w:rsidR="006515C2">
        <w:t xml:space="preserve">the differences between the actual load of the customer and the customer baseline for </w:t>
      </w:r>
      <w:r w:rsidRPr="003219FC">
        <w:t>the two</w:t>
      </w:r>
      <w:r>
        <w:t xml:space="preserve"> </w:t>
      </w:r>
      <w:r w:rsidRPr="003219FC">
        <w:t>hours preceding the</w:t>
      </w:r>
      <w:r>
        <w:t xml:space="preserve"> interruption</w:t>
      </w:r>
      <w:r w:rsidRPr="003219FC">
        <w:t xml:space="preserve"> event</w:t>
      </w:r>
      <w:r>
        <w:t>.</w:t>
      </w:r>
    </w:p>
    <w:p w:rsidR="00FB0D78" w:rsidRPr="009C2BF3" w:rsidRDefault="00FB0D78" w:rsidP="00073277">
      <w:pPr>
        <w:rPr>
          <w:rFonts w:ascii="TimesNewRomanPSMT" w:hAnsi="TimesNewRomanPSMT" w:cs="TimesNewRomanPSMT"/>
        </w:rPr>
      </w:pPr>
      <w:r w:rsidRPr="007B0CE7">
        <w:t>Demand</w:t>
      </w:r>
      <w:r w:rsidR="00050430">
        <w:t>-</w:t>
      </w:r>
      <w:r w:rsidRPr="007B0CE7">
        <w:t xml:space="preserve">resource performance during </w:t>
      </w:r>
      <w:r>
        <w:t xml:space="preserve">the second phase </w:t>
      </w:r>
      <w:r w:rsidRPr="007B0CE7">
        <w:t xml:space="preserve">of the pilot </w:t>
      </w:r>
      <w:r>
        <w:t>was</w:t>
      </w:r>
      <w:r w:rsidRPr="007B0CE7">
        <w:t xml:space="preserve"> measured using a customer baseline that </w:t>
      </w:r>
      <w:r>
        <w:t xml:space="preserve">was </w:t>
      </w:r>
      <w:r w:rsidRPr="007B0CE7">
        <w:t>adjusted upward or downward symmetrically depending on the customer’s actual load in the two-hour period preceding the start of the activation. The symmetrical adjustments match</w:t>
      </w:r>
      <w:r>
        <w:t>ed</w:t>
      </w:r>
      <w:r w:rsidRPr="007B0CE7">
        <w:t xml:space="preserve"> the customer baseline with the actual load just before the start of the activation (even if the customer’s actual load </w:t>
      </w:r>
      <w:r w:rsidR="00050430">
        <w:t>was</w:t>
      </w:r>
      <w:r w:rsidRPr="007B0CE7">
        <w:t xml:space="preserve"> running higher or lower than normal). This change more accurately indicate</w:t>
      </w:r>
      <w:r>
        <w:t>d</w:t>
      </w:r>
      <w:r w:rsidRPr="007B0CE7">
        <w:t xml:space="preserve"> the actual load reduced during reserve activations. </w:t>
      </w:r>
    </w:p>
    <w:p w:rsidR="00FB0D78" w:rsidRDefault="00FB0D78" w:rsidP="00073277">
      <w:r w:rsidRPr="009C2BF3">
        <w:t>The early results of the program showed th</w:t>
      </w:r>
      <w:r w:rsidR="00050430" w:rsidRPr="009C2BF3">
        <w:t>at</w:t>
      </w:r>
      <w:r w:rsidRPr="009C2BF3">
        <w:t xml:space="preserve"> demand resources in New England could respond to numerous interruption instructions over a season. </w:t>
      </w:r>
      <w:r w:rsidR="009C2BF3" w:rsidRPr="009C2BF3">
        <w:t>Some d</w:t>
      </w:r>
      <w:r w:rsidRPr="009C2BF3">
        <w:t>emand resources responded within 30 minutes</w:t>
      </w:r>
      <w:r w:rsidR="009C2BF3" w:rsidRPr="009C2BF3">
        <w:t xml:space="preserve">. The ISO observed that </w:t>
      </w:r>
      <w:r w:rsidR="00821C68" w:rsidRPr="009C2BF3">
        <w:t>a response within 10 minutes</w:t>
      </w:r>
      <w:r w:rsidRPr="009C2BF3">
        <w:t xml:space="preserve"> </w:t>
      </w:r>
      <w:r w:rsidR="00821C68" w:rsidRPr="009C2BF3">
        <w:t>may be practical</w:t>
      </w:r>
      <w:r w:rsidR="009C2BF3" w:rsidRPr="009C2BF3">
        <w:t xml:space="preserve"> for some resources</w:t>
      </w:r>
      <w:r w:rsidR="00821C68" w:rsidRPr="009C2BF3">
        <w:t>.</w:t>
      </w:r>
      <w:r w:rsidRPr="009C2BF3">
        <w:t xml:space="preserve"> However</w:t>
      </w:r>
      <w:r>
        <w:t>, the number of demand resources interested in and capable of providing operating reserve appears to be limited because the pilot has never been fully subscribed. Many issues remain to be resolved that are rela</w:t>
      </w:r>
      <w:r w:rsidR="00364E3B">
        <w:t>ted to other demand-</w:t>
      </w:r>
      <w:r>
        <w:t>resource issues being discussed with stakeholders and that will influence whether demand resources are able to participate in the reserve market and how they will do so.</w:t>
      </w:r>
    </w:p>
    <w:p w:rsidR="001B3090" w:rsidRDefault="00FB0D78">
      <w:pPr>
        <w:pStyle w:val="Heading2"/>
      </w:pPr>
      <w:bookmarkStart w:id="361" w:name="_Toc176245016"/>
      <w:bookmarkStart w:id="362" w:name="_Toc201669945"/>
      <w:bookmarkStart w:id="363" w:name="_Toc207531844"/>
      <w:bookmarkStart w:id="364" w:name="_Toc239157082"/>
      <w:bookmarkStart w:id="365" w:name="_Toc271632234"/>
      <w:r w:rsidRPr="00E43AFD">
        <w:t>Summary of Key Findin</w:t>
      </w:r>
      <w:bookmarkEnd w:id="361"/>
      <w:r w:rsidRPr="00E43AFD">
        <w:t>gs</w:t>
      </w:r>
      <w:r>
        <w:t xml:space="preserve"> and </w:t>
      </w:r>
      <w:r w:rsidRPr="00692698">
        <w:t>Follow-Up</w:t>
      </w:r>
      <w:bookmarkEnd w:id="362"/>
      <w:bookmarkEnd w:id="363"/>
      <w:bookmarkEnd w:id="364"/>
      <w:bookmarkEnd w:id="365"/>
    </w:p>
    <w:p w:rsidR="005C621A" w:rsidRDefault="00FB0D78" w:rsidP="00073277">
      <w:pPr>
        <w:sectPr w:rsidR="005C621A" w:rsidSect="00015282">
          <w:pgSz w:w="12240" w:h="15840"/>
          <w:pgMar w:top="1260" w:right="1440" w:bottom="1440" w:left="1440" w:header="720" w:footer="720" w:gutter="0"/>
          <w:cols w:space="720"/>
          <w:docGrid w:linePitch="360"/>
        </w:sectPr>
      </w:pPr>
      <w:r w:rsidRPr="00E74769">
        <w:t>Fast-start resources with a short</w:t>
      </w:r>
      <w:r>
        <w:t xml:space="preserve"> </w:t>
      </w:r>
      <w:r w:rsidRPr="00E74769">
        <w:t>lead</w:t>
      </w:r>
      <w:r>
        <w:t xml:space="preserve"> </w:t>
      </w:r>
      <w:r w:rsidRPr="00E74769">
        <w:t xml:space="preserve">time </w:t>
      </w:r>
      <w:r>
        <w:t xml:space="preserve">for project development </w:t>
      </w:r>
      <w:r w:rsidRPr="00E74769">
        <w:t>can satisfy near-term operating</w:t>
      </w:r>
      <w:r>
        <w:t>-</w:t>
      </w:r>
      <w:r w:rsidRPr="00E74769">
        <w:t xml:space="preserve">reserve requirements while providing operational flexibility to major load pockets and the </w:t>
      </w:r>
      <w:r>
        <w:t xml:space="preserve">system </w:t>
      </w:r>
      <w:r w:rsidRPr="00E74769">
        <w:t xml:space="preserve">overall. Locating economical baseload generation </w:t>
      </w:r>
      <w:r>
        <w:t>with</w:t>
      </w:r>
      <w:r w:rsidRPr="00E74769">
        <w:t xml:space="preserve">in major load pockets </w:t>
      </w:r>
      <w:r>
        <w:t xml:space="preserve">decreases the amount </w:t>
      </w:r>
      <w:r w:rsidRPr="00E74769">
        <w:t xml:space="preserve">of reserves </w:t>
      </w:r>
      <w:r>
        <w:t>required within the load pocket</w:t>
      </w:r>
      <w:r w:rsidRPr="00E74769">
        <w:t>.</w:t>
      </w:r>
      <w:r w:rsidRPr="004F76DE">
        <w:t xml:space="preserve"> </w:t>
      </w:r>
      <w:r>
        <w:t xml:space="preserve">Transmission improvements also can allow for the </w:t>
      </w:r>
      <w:r w:rsidRPr="008859E3">
        <w:t>increased use of reserves from outside these areas.</w:t>
      </w:r>
      <w:r>
        <w:t xml:space="preserve"> </w:t>
      </w:r>
      <w:r w:rsidRPr="00D52530">
        <w:t>The Demand</w:t>
      </w:r>
      <w:r w:rsidR="00050430">
        <w:t>-</w:t>
      </w:r>
      <w:r w:rsidRPr="00D52530">
        <w:t xml:space="preserve">Response Reserves Pilot program has demonstrated the level of response that demand resources could be expected to provide when providing operating reserves. This information on the performance of these resources, in conjunction with standards established in FERC </w:t>
      </w:r>
      <w:r>
        <w:t>O</w:t>
      </w:r>
      <w:r w:rsidRPr="00D52530">
        <w:t xml:space="preserve">rder 719 and the final rules emanating from the recently issued FERC NOPR on </w:t>
      </w:r>
      <w:r w:rsidRPr="00732307">
        <w:rPr>
          <w:i/>
        </w:rPr>
        <w:t>Demand Response Compensation in Organized Wholesale Energy Markets</w:t>
      </w:r>
      <w:r w:rsidRPr="00D52530">
        <w:t xml:space="preserve">, will shape how </w:t>
      </w:r>
      <w:r>
        <w:t xml:space="preserve">the </w:t>
      </w:r>
      <w:r w:rsidRPr="00D52530">
        <w:t>ISO formulate</w:t>
      </w:r>
      <w:r>
        <w:t>s</w:t>
      </w:r>
      <w:r w:rsidRPr="00D52530">
        <w:t xml:space="preserve"> </w:t>
      </w:r>
      <w:r>
        <w:t>the participation of d</w:t>
      </w:r>
      <w:r w:rsidRPr="00D52530">
        <w:t xml:space="preserve">emand </w:t>
      </w:r>
      <w:r>
        <w:t>r</w:t>
      </w:r>
      <w:r w:rsidRPr="00D52530">
        <w:t xml:space="preserve">esponse in the real-time </w:t>
      </w:r>
      <w:r w:rsidR="00894A5C">
        <w:t xml:space="preserve">energy </w:t>
      </w:r>
      <w:r w:rsidRPr="00D52530">
        <w:t xml:space="preserve">market. </w:t>
      </w:r>
    </w:p>
    <w:p w:rsidR="009743D6" w:rsidRDefault="009743D6" w:rsidP="00DF39BB">
      <w:pPr>
        <w:pStyle w:val="Heading1"/>
      </w:pPr>
      <w:bookmarkStart w:id="366" w:name="_Ref172086294"/>
      <w:bookmarkStart w:id="367" w:name="_Toc176245047"/>
      <w:bookmarkStart w:id="368" w:name="_Toc201669993"/>
      <w:bookmarkStart w:id="369" w:name="_Ref201996192"/>
      <w:bookmarkStart w:id="370" w:name="_Ref202110593"/>
      <w:bookmarkStart w:id="371" w:name="_Ref202177695"/>
      <w:bookmarkStart w:id="372" w:name="_Ref205115855"/>
      <w:bookmarkStart w:id="373" w:name="_Toc207531891"/>
      <w:bookmarkStart w:id="374" w:name="_Ref231185177"/>
      <w:bookmarkStart w:id="375" w:name="_Ref234897162"/>
      <w:bookmarkStart w:id="376" w:name="_Toc239157142"/>
      <w:r>
        <w:br/>
      </w:r>
      <w:bookmarkStart w:id="377" w:name="_Ref262118292"/>
      <w:bookmarkStart w:id="378" w:name="_Toc271632235"/>
      <w:r w:rsidRPr="00333DF6">
        <w:t>Transmission Security and Upgrades</w:t>
      </w:r>
      <w:bookmarkEnd w:id="366"/>
      <w:bookmarkEnd w:id="367"/>
      <w:bookmarkEnd w:id="368"/>
      <w:bookmarkEnd w:id="369"/>
      <w:bookmarkEnd w:id="370"/>
      <w:bookmarkEnd w:id="371"/>
      <w:bookmarkEnd w:id="372"/>
      <w:bookmarkEnd w:id="373"/>
      <w:bookmarkEnd w:id="374"/>
      <w:bookmarkEnd w:id="375"/>
      <w:bookmarkEnd w:id="376"/>
      <w:bookmarkEnd w:id="377"/>
      <w:bookmarkEnd w:id="378"/>
    </w:p>
    <w:p w:rsidR="009743D6" w:rsidRPr="00F238A8" w:rsidRDefault="00832C7A" w:rsidP="00073277">
      <w:r>
        <w:rPr>
          <w:noProof/>
        </w:rPr>
        <w:pict>
          <v:shape id="_x0000_s1045" type="#_x0000_t202" style="position:absolute;margin-left:7405.4pt;margin-top:70pt;width:195.45pt;height:300.85pt;z-index:251753472;mso-wrap-distance-top:7.2pt;mso-wrap-distance-bottom:7.2pt;mso-position-horizontal:right;mso-position-horizontal-relative:margin;mso-position-vertical-relative:margin;mso-width-relative:margin;mso-height-relative:margin;v-text-anchor:middle" fillcolor="#ebe8e6 [665]" strokecolor="black [3213]" strokeweight=".25pt">
            <v:textbox style="mso-next-textbox:#_x0000_s1045" inset="8.64pt,8.64pt,8.64pt,8.64pt">
              <w:txbxContent>
                <w:p w:rsidR="003C78A4" w:rsidRPr="00590D77" w:rsidRDefault="003C78A4" w:rsidP="00590D77">
                  <w:pPr>
                    <w:pStyle w:val="BodyText1"/>
                    <w:rPr>
                      <w:rFonts w:cs="Arial"/>
                      <w:szCs w:val="16"/>
                    </w:rPr>
                  </w:pPr>
                  <w:r w:rsidRPr="00C52D86">
                    <w:rPr>
                      <w:rFonts w:cs="Arial"/>
                      <w:szCs w:val="16"/>
                    </w:rPr>
                    <w:t>“</w:t>
                  </w:r>
                  <w:r w:rsidRPr="00590D77">
                    <w:rPr>
                      <w:rFonts w:cs="Arial"/>
                      <w:szCs w:val="16"/>
                    </w:rPr>
                    <w:t>The regional system planning process described in this Attachment provides for the ISO to undertake assessments of the needs of the PTF system on a systemwide or specific area basis</w:t>
                  </w:r>
                  <w:r>
                    <w:rPr>
                      <w:rFonts w:cs="Arial"/>
                      <w:szCs w:val="16"/>
                    </w:rPr>
                    <w:t xml:space="preserve">. </w:t>
                  </w:r>
                  <w:r w:rsidRPr="00590D77">
                    <w:rPr>
                      <w:rFonts w:cs="Arial"/>
                      <w:szCs w:val="16"/>
                    </w:rPr>
                    <w:t>These assessments shall be referred to as Needs Assessments, as described in Section 4.1 of this Attachment</w:t>
                  </w:r>
                  <w:r>
                    <w:rPr>
                      <w:rFonts w:cs="Arial"/>
                      <w:szCs w:val="16"/>
                    </w:rPr>
                    <w:t xml:space="preserve">. </w:t>
                  </w:r>
                  <w:r w:rsidRPr="00590D77">
                    <w:rPr>
                      <w:rFonts w:cs="Arial"/>
                      <w:szCs w:val="16"/>
                    </w:rPr>
                    <w:t>The ISO shall incorporate market responses that have met the criteria specified in Section 4.2(a) of this Attachment into the Needs Assessments or the Regional System Plan (“RSP”), described below</w:t>
                  </w:r>
                  <w:r>
                    <w:rPr>
                      <w:rFonts w:cs="Arial"/>
                      <w:szCs w:val="16"/>
                    </w:rPr>
                    <w:t xml:space="preserve">. </w:t>
                  </w:r>
                  <w:r w:rsidRPr="00590D77">
                    <w:rPr>
                      <w:rFonts w:cs="Arial"/>
                      <w:szCs w:val="16"/>
                    </w:rPr>
                    <w:t>Where market responses incorporated into the Needs Assessments do not eliminate or address the needs identified by the ISO in Needs Assessments or the RSP, the ISO shall develop or evaluate, pursuant to Section 4.2(b) of this Attachment, regulated transmission solutions proposed in response to the needs identified by the ISO.”</w:t>
                  </w:r>
                  <w:r>
                    <w:rPr>
                      <w:rFonts w:cs="Arial"/>
                      <w:szCs w:val="16"/>
                    </w:rPr>
                    <w:t xml:space="preserve"> (Attachment K, Overview)</w:t>
                  </w:r>
                </w:p>
                <w:p w:rsidR="003C78A4" w:rsidRPr="00C52D86" w:rsidRDefault="003C78A4" w:rsidP="00590D77">
                  <w:pPr>
                    <w:pStyle w:val="BodyText1"/>
                    <w:rPr>
                      <w:rFonts w:cs="Arial"/>
                      <w:szCs w:val="16"/>
                    </w:rPr>
                  </w:pPr>
                  <w:r w:rsidRPr="00590D77">
                    <w:rPr>
                      <w:rFonts w:cs="Arial"/>
                      <w:szCs w:val="16"/>
                    </w:rPr>
                    <w:t>“On a regular and ongoing basis, the ISO, in coordination with the PTOs and the Planning Advisory Committee, shall conduct assessments (i.e., Needs Assessments) of the adequacy of the PTF system, as a whole or in part, to maintain the reliability of such facilities while promoting the operation of efficient wholesale electric markets in New England.”  (</w:t>
                  </w:r>
                  <w:r w:rsidRPr="00C52D86">
                    <w:rPr>
                      <w:rFonts w:cs="Arial"/>
                      <w:szCs w:val="16"/>
                    </w:rPr>
                    <w:t>(Attachment K, §</w:t>
                  </w:r>
                  <w:r w:rsidRPr="00590D77">
                    <w:rPr>
                      <w:rFonts w:cs="Arial"/>
                      <w:szCs w:val="16"/>
                    </w:rPr>
                    <w:t xml:space="preserve"> 4.1)</w:t>
                  </w:r>
                  <w:r w:rsidRPr="00C52D86">
                    <w:rPr>
                      <w:rFonts w:cs="Arial"/>
                      <w:szCs w:val="16"/>
                    </w:rPr>
                    <w:t xml:space="preserve"> </w:t>
                  </w:r>
                </w:p>
              </w:txbxContent>
            </v:textbox>
            <w10:wrap type="square" anchorx="margin" anchory="margin"/>
          </v:shape>
        </w:pict>
      </w:r>
      <w:r w:rsidR="009743D6" w:rsidRPr="00F238A8">
        <w:t>The ISO and regional stakeholders have made progress analyzing the transmission system in New England, developing solutions to address existing and projected transmission system needs, and implementing these solutions. Fourteen major 345 kV projects have emerged from these efforts, all of which are critical for maintaining transmission system reliability. These transmission upgrades also will improve the economic performance of the system.</w:t>
      </w:r>
    </w:p>
    <w:p w:rsidR="00746907" w:rsidRPr="00F238A8" w:rsidRDefault="00EF25EB" w:rsidP="00073277">
      <w:r w:rsidRPr="00F238A8">
        <w:t>Seven of the 14 projects have been placed in service. These include the two Southwest Connecticut Reliability Projects (Phase 1 and Phase 2), the Northeast Reliability Interconnection (NRI) Project, the two phases of the Boston 345 kV Transmission Reliability Project (Phase 1 and Phase 2), the Short-Term Lower SEMA Upgrades, and the Northwest Vermont (NWVT) Reliability Project</w:t>
      </w:r>
      <w:r w:rsidR="00FE6018" w:rsidRPr="00F238A8">
        <w:t>.</w:t>
      </w:r>
      <w:r w:rsidR="009743D6" w:rsidRPr="00F238A8">
        <w:t xml:space="preserve"> Four of the 14 projects currently are in siting or are expected to be in siting by the end of 2010. </w:t>
      </w:r>
      <w:r w:rsidRPr="00F238A8">
        <w:t xml:space="preserve">These include the Maine Power Reliability Program (MPRP), </w:t>
      </w:r>
      <w:r w:rsidR="004B663F" w:rsidRPr="00F238A8">
        <w:t>the Long-Term Lower SEMA Upgrades</w:t>
      </w:r>
      <w:r w:rsidR="004B663F">
        <w:t>, and two of the four components of</w:t>
      </w:r>
      <w:r w:rsidR="0076739E">
        <w:t xml:space="preserve"> </w:t>
      </w:r>
      <w:r w:rsidRPr="00F238A8">
        <w:t>the New England East–West Solution (NEEWS)</w:t>
      </w:r>
      <w:r w:rsidR="004B663F">
        <w:t xml:space="preserve"> series of projects</w:t>
      </w:r>
      <w:r w:rsidR="004B663F">
        <w:rPr>
          <w:rFonts w:cs="Times New Roman"/>
        </w:rPr>
        <w:t>—</w:t>
      </w:r>
      <w:r w:rsidR="004B663F" w:rsidRPr="00F238A8">
        <w:t>the Springfield and Rhode Island components</w:t>
      </w:r>
      <w:r w:rsidRPr="00F238A8">
        <w:t xml:space="preserve">. The last three of the 14 projects are the Vermont Southern Loop project, which has received its siting approval and is currently under </w:t>
      </w:r>
      <w:r w:rsidR="00D4331C" w:rsidRPr="00D4331C">
        <w:t xml:space="preserve">construction, </w:t>
      </w:r>
      <w:r w:rsidR="00D4331C" w:rsidRPr="00D4331C">
        <w:rPr>
          <w:rFonts w:eastAsia="Times New Roman" w:cs="Times New Roman"/>
          <w:bCs/>
          <w:iCs/>
        </w:rPr>
        <w:t>and the Interstate and</w:t>
      </w:r>
      <w:r w:rsidR="00D4331C" w:rsidRPr="00D4331C">
        <w:t xml:space="preserve"> Central Connecticut components </w:t>
      </w:r>
      <w:r w:rsidRPr="00F238A8">
        <w:t>of NEEWS</w:t>
      </w:r>
      <w:r w:rsidR="004B663F">
        <w:t>.</w:t>
      </w:r>
      <w:r w:rsidR="00D357D7">
        <w:t xml:space="preserve"> These NEEWS components </w:t>
      </w:r>
      <w:r w:rsidR="00061FFF">
        <w:t xml:space="preserve">are being studied </w:t>
      </w:r>
      <w:r w:rsidRPr="00F238A8">
        <w:t xml:space="preserve">to account for a reduced load forecast, new supply and demand resources, and sensitivity to the </w:t>
      </w:r>
      <w:r w:rsidR="00F238A8" w:rsidRPr="00F238A8">
        <w:t>un</w:t>
      </w:r>
      <w:r w:rsidRPr="00F238A8">
        <w:t xml:space="preserve">availability of </w:t>
      </w:r>
      <w:r w:rsidR="00F238A8" w:rsidRPr="00F238A8">
        <w:t>generating units affecting the project.</w:t>
      </w:r>
    </w:p>
    <w:p w:rsidR="009743D6" w:rsidRDefault="00EF25EB" w:rsidP="00073277">
      <w:r w:rsidRPr="00F238A8">
        <w:t>A</w:t>
      </w:r>
      <w:r w:rsidR="006F532D">
        <w:t>lso</w:t>
      </w:r>
      <w:r w:rsidRPr="00F238A8">
        <w:t xml:space="preserve">, the </w:t>
      </w:r>
      <w:r w:rsidR="006F532D">
        <w:t xml:space="preserve">addition </w:t>
      </w:r>
      <w:r w:rsidR="00BB6C4F">
        <w:t xml:space="preserve">of the 345 kV substations in </w:t>
      </w:r>
      <w:r w:rsidRPr="00216868">
        <w:t>Wachusett</w:t>
      </w:r>
      <w:r w:rsidR="00D4331C" w:rsidRPr="00D4331C">
        <w:t xml:space="preserve">, </w:t>
      </w:r>
      <w:r w:rsidRPr="00F238A8">
        <w:t>Ward Hill, Wakefield Junction, and West Amesbury</w:t>
      </w:r>
      <w:r w:rsidR="00BB6C4F">
        <w:t>,</w:t>
      </w:r>
      <w:r w:rsidRPr="00F238A8">
        <w:t xml:space="preserve"> Massachusetts</w:t>
      </w:r>
      <w:r w:rsidR="00216868">
        <w:t>;</w:t>
      </w:r>
      <w:r w:rsidRPr="00F238A8">
        <w:t xml:space="preserve"> </w:t>
      </w:r>
      <w:r w:rsidR="00BB6C4F">
        <w:t xml:space="preserve">the expansion and creation of </w:t>
      </w:r>
      <w:r w:rsidR="003D54B1">
        <w:t xml:space="preserve">the </w:t>
      </w:r>
      <w:r w:rsidR="00BB6C4F">
        <w:t xml:space="preserve">345 kV substations in Scobie and Monadnock, New Hampshire, respectively; </w:t>
      </w:r>
      <w:r w:rsidRPr="00F238A8">
        <w:t xml:space="preserve">and the </w:t>
      </w:r>
      <w:r w:rsidR="003D54B1">
        <w:t xml:space="preserve">expansion of the </w:t>
      </w:r>
      <w:r w:rsidR="00BB6C4F">
        <w:t>345 kV</w:t>
      </w:r>
      <w:r w:rsidR="003D54B1">
        <w:t xml:space="preserve"> substations in </w:t>
      </w:r>
      <w:r w:rsidRPr="00F238A8">
        <w:t>Barbour Hill, Haddam, and Killingly</w:t>
      </w:r>
      <w:r w:rsidR="003D54B1">
        <w:t>,</w:t>
      </w:r>
      <w:r w:rsidRPr="00F238A8">
        <w:t xml:space="preserve"> Connecticut</w:t>
      </w:r>
      <w:r w:rsidR="00A24CB7">
        <w:t>,</w:t>
      </w:r>
      <w:r w:rsidRPr="00F238A8">
        <w:t xml:space="preserve"> have improved the ability of the transmission system to meet load growth. One additional project in the final stages of construction includes improvements at </w:t>
      </w:r>
      <w:r w:rsidR="00F30C4B">
        <w:t xml:space="preserve">the </w:t>
      </w:r>
      <w:r w:rsidR="007E2E75">
        <w:t>34</w:t>
      </w:r>
      <w:r w:rsidR="00BB6C4F">
        <w:t xml:space="preserve">5 kV </w:t>
      </w:r>
      <w:r w:rsidRPr="00F238A8">
        <w:t xml:space="preserve">Keene Road substation in </w:t>
      </w:r>
      <w:r w:rsidR="00BB6C4F">
        <w:t xml:space="preserve">northern </w:t>
      </w:r>
      <w:r w:rsidRPr="00F238A8">
        <w:t>Maine</w:t>
      </w:r>
      <w:r w:rsidR="009743D6" w:rsidRPr="00F238A8">
        <w:t xml:space="preserve">. All these </w:t>
      </w:r>
      <w:r w:rsidR="00F238A8" w:rsidRPr="00F238A8">
        <w:t xml:space="preserve">and other </w:t>
      </w:r>
      <w:r w:rsidR="009743D6" w:rsidRPr="00F238A8">
        <w:t>projects will help maintain system reliability and enhance the region’s ability to support a robust, competitive wholesale power market by reliably moving power from various internal and external sources to the region’s load centers.</w:t>
      </w:r>
    </w:p>
    <w:p w:rsidR="00136A47" w:rsidRDefault="009743D6">
      <w:r>
        <w:t>This section discusses the need for transmission security and the performance of the transmission system in New England. It addresses the need for transmission upgrades</w:t>
      </w:r>
      <w:r w:rsidR="00F30C4B">
        <w:t xml:space="preserve"> accounting for </w:t>
      </w:r>
      <w:r>
        <w:t>known plans for the addition of resources. It also updates the progress of the current major transmission projects in the region. Information regarding the detailed analyses associated with many of these efforts can be found in previous RSPs, various PAC presentations, and other ISO reports.</w:t>
      </w:r>
      <w:bookmarkStart w:id="379" w:name="_Toc176245048"/>
      <w:r w:rsidRPr="00DE65EE">
        <w:rPr>
          <w:rStyle w:val="FootnoteReference"/>
          <w:sz w:val="22"/>
        </w:rPr>
        <w:footnoteReference w:id="113"/>
      </w:r>
      <w:r>
        <w:t xml:space="preserve"> </w:t>
      </w:r>
    </w:p>
    <w:p w:rsidR="002878A4" w:rsidRDefault="00D4331C" w:rsidP="009D1346">
      <w:pPr>
        <w:pStyle w:val="Heading2"/>
      </w:pPr>
      <w:bookmarkStart w:id="380" w:name="_Toc201669994"/>
      <w:bookmarkStart w:id="381" w:name="_Toc207531892"/>
      <w:bookmarkStart w:id="382" w:name="_Toc239157143"/>
      <w:bookmarkStart w:id="383" w:name="_Toc271632236"/>
      <w:r w:rsidRPr="00D4331C">
        <w:t>The Need for</w:t>
      </w:r>
      <w:r w:rsidR="000D6CDE">
        <w:t xml:space="preserve"> </w:t>
      </w:r>
      <w:r w:rsidRPr="00D4331C">
        <w:t>Transmission</w:t>
      </w:r>
      <w:r w:rsidR="009743D6" w:rsidRPr="00C936CB">
        <w:t xml:space="preserve"> Securi</w:t>
      </w:r>
      <w:bookmarkEnd w:id="379"/>
      <w:r w:rsidR="009743D6" w:rsidRPr="00C936CB">
        <w:t>ty</w:t>
      </w:r>
      <w:bookmarkEnd w:id="380"/>
      <w:bookmarkEnd w:id="381"/>
      <w:bookmarkEnd w:id="382"/>
      <w:bookmarkEnd w:id="383"/>
    </w:p>
    <w:p w:rsidR="009743D6" w:rsidRDefault="009743D6" w:rsidP="00073277">
      <w:r>
        <w:t>A reliable, well-designed transmission system is essential for compl</w:t>
      </w:r>
      <w:r w:rsidR="00746907">
        <w:t xml:space="preserve">ying </w:t>
      </w:r>
      <w:r>
        <w:t xml:space="preserve">with mandatory reliability standards and providing regional transmission service that provides for the secure dispatch and operation of generation and </w:t>
      </w:r>
      <w:r w:rsidR="00746907">
        <w:t xml:space="preserve">that </w:t>
      </w:r>
      <w:r>
        <w:t>delivers numerous products and services, as follows:</w:t>
      </w:r>
    </w:p>
    <w:p w:rsidR="009743D6" w:rsidRDefault="009743D6" w:rsidP="0050746D">
      <w:pPr>
        <w:pStyle w:val="Bullet-Solid"/>
      </w:pPr>
      <w:r>
        <w:t>Capacity</w:t>
      </w:r>
    </w:p>
    <w:p w:rsidR="009743D6" w:rsidRDefault="009743D6" w:rsidP="0050746D">
      <w:pPr>
        <w:pStyle w:val="Bullet-Solid"/>
      </w:pPr>
      <w:r w:rsidRPr="00D93D8A">
        <w:t>Electric energy</w:t>
      </w:r>
    </w:p>
    <w:p w:rsidR="009743D6" w:rsidRDefault="009743D6" w:rsidP="0050746D">
      <w:pPr>
        <w:pStyle w:val="Bullet-Solid"/>
      </w:pPr>
      <w:r w:rsidRPr="00D93D8A">
        <w:t>Operating reserves</w:t>
      </w:r>
    </w:p>
    <w:p w:rsidR="009743D6" w:rsidRDefault="009743D6" w:rsidP="0050746D">
      <w:pPr>
        <w:pStyle w:val="Bullet-Solid"/>
      </w:pPr>
      <w:r w:rsidRPr="00224152">
        <w:t>Load-following</w:t>
      </w:r>
    </w:p>
    <w:p w:rsidR="009743D6" w:rsidRDefault="009743D6" w:rsidP="0050746D">
      <w:pPr>
        <w:pStyle w:val="Bullet-Solid"/>
      </w:pPr>
      <w:r w:rsidRPr="00224152">
        <w:t>Automatic generation control</w:t>
      </w:r>
    </w:p>
    <w:p w:rsidR="00EC1FC5" w:rsidRDefault="009743D6">
      <w:pPr>
        <w:pStyle w:val="Bullet-Solid"/>
        <w:spacing w:after="240"/>
      </w:pPr>
      <w:r w:rsidRPr="00224152">
        <w:t>Immediate</w:t>
      </w:r>
      <w:r>
        <w:t xml:space="preserve"> contingency response to sudden generator or transmission outages</w:t>
      </w:r>
    </w:p>
    <w:p w:rsidR="00EC1FC5" w:rsidRDefault="009743D6">
      <w:pPr>
        <w:spacing w:after="120"/>
      </w:pPr>
      <w:r>
        <w:t>A secure transmission system also plays an important role in the following functions:</w:t>
      </w:r>
    </w:p>
    <w:p w:rsidR="009743D6" w:rsidRDefault="009743D6" w:rsidP="0050746D">
      <w:pPr>
        <w:pStyle w:val="Bullet-Solid"/>
      </w:pPr>
      <w:r>
        <w:t>Improving the reliability of and access to supply resources</w:t>
      </w:r>
    </w:p>
    <w:p w:rsidR="009743D6" w:rsidRDefault="009743D6" w:rsidP="0050746D">
      <w:pPr>
        <w:pStyle w:val="Bullet-Solid"/>
      </w:pPr>
      <w:r>
        <w:t>Regulating voltage and minimizing voltage fluctuations</w:t>
      </w:r>
    </w:p>
    <w:p w:rsidR="009743D6" w:rsidRDefault="009743D6" w:rsidP="0050746D">
      <w:pPr>
        <w:pStyle w:val="Bullet-Solid"/>
      </w:pPr>
      <w:r>
        <w:t>Stabilizing the grid after transient events</w:t>
      </w:r>
    </w:p>
    <w:p w:rsidR="009743D6" w:rsidRDefault="009743D6" w:rsidP="0050746D">
      <w:pPr>
        <w:pStyle w:val="Bullet-Solid"/>
      </w:pPr>
      <w:r w:rsidRPr="00AA3DE1">
        <w:t xml:space="preserve">Facilitating the efficient use of existing regional </w:t>
      </w:r>
      <w:r>
        <w:t xml:space="preserve">supply and demand </w:t>
      </w:r>
      <w:r w:rsidRPr="00AA3DE1">
        <w:t>resources</w:t>
      </w:r>
    </w:p>
    <w:p w:rsidR="009743D6" w:rsidRDefault="009743D6" w:rsidP="0050746D">
      <w:pPr>
        <w:pStyle w:val="Bullet-Solid"/>
      </w:pPr>
      <w:r w:rsidRPr="00D93D8A">
        <w:t xml:space="preserve">Reducing the amount of reserves necessary for the secure operation of the system </w:t>
      </w:r>
    </w:p>
    <w:p w:rsidR="009743D6" w:rsidRDefault="009743D6" w:rsidP="0050746D">
      <w:pPr>
        <w:pStyle w:val="Bullet-Solid"/>
      </w:pPr>
      <w:r w:rsidRPr="00AA3DE1">
        <w:t>Facilitating the scheduling of equipment maintenanc</w:t>
      </w:r>
      <w:bookmarkStart w:id="384" w:name="_Toc176245049"/>
      <w:r w:rsidRPr="00AA3DE1">
        <w:t>e</w:t>
      </w:r>
    </w:p>
    <w:p w:rsidR="009743D6" w:rsidRDefault="009743D6" w:rsidP="0050746D">
      <w:pPr>
        <w:pStyle w:val="Bullet-Solid"/>
      </w:pPr>
      <w:bookmarkStart w:id="385" w:name="_Toc201669995"/>
      <w:bookmarkStart w:id="386" w:name="_Toc207531893"/>
      <w:r>
        <w:t>Assisting neighboring balancing authority areas, especially during major contingencies affecting their reliability</w:t>
      </w:r>
    </w:p>
    <w:p w:rsidR="001B3090" w:rsidRDefault="009743D6">
      <w:pPr>
        <w:pStyle w:val="Heading2"/>
      </w:pPr>
      <w:bookmarkStart w:id="387" w:name="_Toc239157144"/>
      <w:bookmarkStart w:id="388" w:name="_Ref264979981"/>
      <w:bookmarkStart w:id="389" w:name="_Ref266690773"/>
      <w:bookmarkStart w:id="390" w:name="_Toc271632237"/>
      <w:r>
        <w:t>Transmission Planni</w:t>
      </w:r>
      <w:bookmarkEnd w:id="384"/>
      <w:r>
        <w:t>ng Process</w:t>
      </w:r>
      <w:bookmarkEnd w:id="385"/>
      <w:bookmarkEnd w:id="386"/>
      <w:bookmarkEnd w:id="387"/>
      <w:bookmarkEnd w:id="388"/>
      <w:bookmarkEnd w:id="389"/>
      <w:bookmarkEnd w:id="390"/>
    </w:p>
    <w:p w:rsidR="009743D6" w:rsidRDefault="00832C7A" w:rsidP="00073277">
      <w:r>
        <w:rPr>
          <w:noProof/>
        </w:rPr>
        <w:pict>
          <v:shape id="_x0000_s1046" type="#_x0000_t202" style="position:absolute;margin-left:10490.5pt;margin-top:10.1pt;width:268.05pt;height:136.8pt;z-index:251754496;mso-wrap-distance-top:7.2pt;mso-wrap-distance-bottom:7.2pt;mso-position-horizontal:right;mso-width-relative:margin;mso-height-relative:margin;v-text-anchor:middle" fillcolor="#ebe8e6 [665]" strokecolor="black [3213]" strokeweight=".25pt">
            <v:fill color2="#ebe8e6 [665]"/>
            <v:shadow type="perspective" color="#4e473f [1609]" opacity=".5" offset="1pt" offset2="-3pt"/>
            <v:textbox style="mso-next-textbox:#_x0000_s1046" inset="8.64pt,8.64pt,8.64pt,8.64pt">
              <w:txbxContent>
                <w:p w:rsidR="003C78A4" w:rsidRDefault="003C78A4" w:rsidP="00560000">
                  <w:pPr>
                    <w:pStyle w:val="BodyText1"/>
                  </w:pPr>
                  <w:r w:rsidRPr="000D27C1">
                    <w:t>”The RSP shall conform to:  Good Utility Practice; applicable Commission compliance requirements related to the regional system planning process; applicable reliability principles, guidelines, criteria, rules, procedures and standards of the ERO, NPCC, and any of their successors; planning criteria adopted and/or developed by the ISO; Transmission Owner criteria, rules, standards, guides and policies developed by the Transmission Owner for its facilities consistent with the ISO planning criteria, the applicable criteria of the ERO and NPCC; local transmission planning criteria; and the ISO New England Planning Procedures and ISO New England Operating Procedures, as they may be amended from time to time (collectively, the “Planning and Reliability Criteria”).” (Attachment</w:t>
                  </w:r>
                  <w:r>
                    <w:t> </w:t>
                  </w:r>
                  <w:r w:rsidRPr="000D27C1">
                    <w:t>K, §</w:t>
                  </w:r>
                  <w:r>
                    <w:t xml:space="preserve"> </w:t>
                  </w:r>
                  <w:r w:rsidRPr="000D27C1">
                    <w:t>3.3)</w:t>
                  </w:r>
                </w:p>
                <w:p w:rsidR="003C78A4" w:rsidRPr="00575155" w:rsidRDefault="003C78A4" w:rsidP="00560000">
                  <w:pPr>
                    <w:pStyle w:val="BodyText1"/>
                  </w:pPr>
                </w:p>
              </w:txbxContent>
            </v:textbox>
            <w10:wrap type="square"/>
          </v:shape>
        </w:pict>
      </w:r>
      <w:r w:rsidR="009743D6">
        <w:t>The electric power system</w:t>
      </w:r>
      <w:r w:rsidR="007E7DE8">
        <w:t xml:space="preserve">’s </w:t>
      </w:r>
      <w:r w:rsidR="009743D6">
        <w:t>mandatory reliability standards define what constitutes adequate regional transmission service, the foundation for ISO’s responsibility for regional transmission planning</w:t>
      </w:r>
      <w:r w:rsidR="009743D6" w:rsidRPr="007E7DE8">
        <w:t xml:space="preserve">. All proposed system modifications, including transmission and generation additions or significant load reductions or additions, must be analyzed and designed to ensure systemwide coordination and continued system </w:t>
      </w:r>
      <w:r w:rsidR="009743D6" w:rsidRPr="00253060">
        <w:t>reliability in compliance with these standards</w:t>
      </w:r>
      <w:r w:rsidR="00BD5091" w:rsidRPr="00253060">
        <w:t>.</w:t>
      </w:r>
      <w:r w:rsidR="00AC44E7">
        <w:t xml:space="preserve"> </w:t>
      </w:r>
    </w:p>
    <w:p w:rsidR="009743D6" w:rsidRPr="00DD2C25" w:rsidRDefault="009743D6" w:rsidP="00073277">
      <w:r>
        <w:t xml:space="preserve">Infrastructure throughout many parts of the system, which was planned, designed, and built many years ago, is becoming increasingly inadequate. The system </w:t>
      </w:r>
      <w:r w:rsidRPr="00D93D8A">
        <w:t xml:space="preserve">contains relatively old, low-capacity 115 kV lines, many of which were converted from 69 kV design. Additionally, a number of aging 345/115 kV transformers </w:t>
      </w:r>
      <w:r w:rsidRPr="00D93D8A">
        <w:rPr>
          <w:rFonts w:cs="Times New Roman"/>
          <w:color w:val="000000"/>
        </w:rPr>
        <w:t>are</w:t>
      </w:r>
      <w:r>
        <w:rPr>
          <w:rFonts w:cs="Times New Roman"/>
          <w:color w:val="000000"/>
        </w:rPr>
        <w:t xml:space="preserve"> </w:t>
      </w:r>
      <w:r>
        <w:t>connected to</w:t>
      </w:r>
      <w:r w:rsidRPr="00D93D8A">
        <w:t xml:space="preserve"> </w:t>
      </w:r>
      <w:r w:rsidRPr="00D93D8A">
        <w:rPr>
          <w:rFonts w:cs="Times New Roman"/>
          <w:color w:val="000000"/>
          <w:sz w:val="24"/>
          <w:szCs w:val="24"/>
        </w:rPr>
        <w:t>the</w:t>
      </w:r>
      <w:r w:rsidRPr="00DE65EE">
        <w:rPr>
          <w:rFonts w:cs="Times New Roman"/>
          <w:color w:val="000000"/>
          <w:sz w:val="18"/>
        </w:rPr>
        <w:t xml:space="preserve"> </w:t>
      </w:r>
      <w:r w:rsidRPr="00D93D8A">
        <w:t>115 kV system. The continued use of this aging equipment increases t</w:t>
      </w:r>
      <w:r>
        <w:t>he risk of the system experiencing extended equipment outages that cannot be repaired or replaced quickly</w:t>
      </w:r>
      <w:r w:rsidR="00662103">
        <w:t xml:space="preserve">. </w:t>
      </w:r>
      <w:r w:rsidR="009E4417">
        <w:t>M</w:t>
      </w:r>
      <w:r>
        <w:t xml:space="preserve">any of the transmission system projects underway in the region </w:t>
      </w:r>
      <w:r w:rsidR="007E7DE8">
        <w:t xml:space="preserve">are being designed to </w:t>
      </w:r>
      <w:r>
        <w:t xml:space="preserve">improve the operation of those areas of the system currently complicated by, for example, restrictions on generator dispatch, the use of special protection systems (SPSs), </w:t>
      </w:r>
      <w:r w:rsidR="003C1D75">
        <w:t xml:space="preserve">sensitivity to </w:t>
      </w:r>
      <w:r>
        <w:t xml:space="preserve">varying load levels, </w:t>
      </w:r>
      <w:r w:rsidRPr="00DD2C25">
        <w:t>and facility outages</w:t>
      </w:r>
      <w:r>
        <w:t xml:space="preserve"> resulting from unplanned contingencies and maintenance conditions</w:t>
      </w:r>
      <w:r w:rsidRPr="00DD2C25">
        <w:t>.</w:t>
      </w:r>
      <w:r w:rsidRPr="00B87D2A">
        <w:t xml:space="preserve"> </w:t>
      </w:r>
    </w:p>
    <w:p w:rsidR="00B462A6" w:rsidRDefault="00EE32C6">
      <w:pPr>
        <w:pStyle w:val="Heading3"/>
      </w:pPr>
      <w:bookmarkStart w:id="391" w:name="_Toc271632238"/>
      <w:r>
        <w:t>Needs Assessments and Solutions Studies</w:t>
      </w:r>
      <w:bookmarkEnd w:id="391"/>
    </w:p>
    <w:p w:rsidR="00F238A8" w:rsidRDefault="00832C7A" w:rsidP="00F238A8">
      <w:r w:rsidRPr="00832C7A">
        <w:rPr>
          <w:noProof/>
          <w:highlight w:val="yellow"/>
          <w:lang w:eastAsia="zh-TW"/>
        </w:rPr>
        <w:pict>
          <v:shape id="_x0000_s1031" type="#_x0000_t202" style="position:absolute;margin-left:7821.3pt;margin-top:159pt;width:204.3pt;height:194.9pt;z-index:251706368;mso-wrap-distance-top:7.2pt;mso-wrap-distance-bottom:7.2pt;mso-position-horizontal:right;mso-position-horizontal-relative:margin;mso-position-vertical-relative:margin;mso-width-relative:margin;mso-height-relative:margin;v-text-anchor:middle" fillcolor="#ebe8e6 [665]" strokecolor="black [3213]" strokeweight=".25pt">
            <v:textbox style="mso-next-textbox:#_x0000_s1031" inset="8.64pt,8.64pt,8.64pt,8.64pt">
              <w:txbxContent>
                <w:p w:rsidR="003C78A4" w:rsidRDefault="003C78A4">
                  <w:pPr>
                    <w:pStyle w:val="BodyText1"/>
                    <w:rPr>
                      <w:rFonts w:cs="Arial"/>
                      <w:szCs w:val="16"/>
                    </w:rPr>
                  </w:pPr>
                  <w:r w:rsidRPr="00C52D86">
                    <w:rPr>
                      <w:rFonts w:cs="Arial"/>
                      <w:szCs w:val="16"/>
                    </w:rPr>
                    <w:t>“The ISO shall develop the RSP based on periodic comprehensive assessments (conducted not less than every third year) of the PTF systemwide needs to maintain the reliability of the New England Transmission System while accounting for market efficiency, economic, environmental and other considerations, as agreed upon from time to time</w:t>
                  </w:r>
                  <w:r>
                    <w:rPr>
                      <w:rFonts w:cs="Arial"/>
                      <w:szCs w:val="16"/>
                    </w:rPr>
                    <w:t xml:space="preserve">. </w:t>
                  </w:r>
                  <w:r w:rsidRPr="00C52D86">
                    <w:rPr>
                      <w:rFonts w:cs="Arial"/>
                      <w:szCs w:val="16"/>
                    </w:rPr>
                    <w:t>The ISO shall update the RSP to reflect the results of ongoing Needs Assessments conducted pursuant to Section 4.1 of this Attachment</w:t>
                  </w:r>
                  <w:r>
                    <w:rPr>
                      <w:rFonts w:cs="Arial"/>
                      <w:szCs w:val="16"/>
                    </w:rPr>
                    <w:t xml:space="preserve">. </w:t>
                  </w:r>
                  <w:r w:rsidRPr="00C52D86">
                    <w:rPr>
                      <w:rFonts w:cs="Arial"/>
                      <w:szCs w:val="16"/>
                    </w:rPr>
                    <w:t>The RSP shall also account for projected improvements to the PTF that are needed to maintain system reliability in accordance with national and regional standards and the operation of efficient markets under a set of planning assumptions.” (Attachment K, §</w:t>
                  </w:r>
                  <w:r>
                    <w:rPr>
                      <w:rFonts w:cs="Arial"/>
                      <w:szCs w:val="16"/>
                    </w:rPr>
                    <w:t xml:space="preserve"> </w:t>
                  </w:r>
                  <w:r w:rsidRPr="00C52D86">
                    <w:rPr>
                      <w:rFonts w:cs="Arial"/>
                      <w:szCs w:val="16"/>
                    </w:rPr>
                    <w:t xml:space="preserve">3.1) </w:t>
                  </w:r>
                </w:p>
                <w:p w:rsidR="003C78A4" w:rsidRDefault="003C78A4">
                  <w:pPr>
                    <w:pStyle w:val="BodyText1"/>
                  </w:pPr>
                  <w:r w:rsidRPr="00C52D86">
                    <w:rPr>
                      <w:rFonts w:cs="Arial"/>
                      <w:szCs w:val="16"/>
                    </w:rPr>
                    <w:t xml:space="preserve"> </w:t>
                  </w:r>
                  <w:r w:rsidRPr="00253060">
                    <w:rPr>
                      <w:rFonts w:cs="Arial"/>
                      <w:szCs w:val="16"/>
                    </w:rPr>
                    <w:t>“Each RSP shall be built upon the previous year’s RSP.” (Attachment K, §</w:t>
                  </w:r>
                  <w:r>
                    <w:rPr>
                      <w:rFonts w:cs="Arial"/>
                      <w:szCs w:val="16"/>
                    </w:rPr>
                    <w:t xml:space="preserve"> </w:t>
                  </w:r>
                  <w:r w:rsidRPr="00253060">
                    <w:rPr>
                      <w:rFonts w:cs="Arial"/>
                      <w:szCs w:val="16"/>
                    </w:rPr>
                    <w:t>3.1)</w:t>
                  </w:r>
                  <w:r w:rsidRPr="00560000">
                    <w:t xml:space="preserve"> </w:t>
                  </w:r>
                </w:p>
                <w:p w:rsidR="003C78A4" w:rsidRPr="00C52D86" w:rsidRDefault="003C78A4">
                  <w:pPr>
                    <w:pStyle w:val="BodyText1"/>
                    <w:rPr>
                      <w:rFonts w:cs="Arial"/>
                      <w:szCs w:val="16"/>
                    </w:rPr>
                  </w:pPr>
                </w:p>
              </w:txbxContent>
            </v:textbox>
            <w10:wrap type="square" anchorx="margin" anchory="margin"/>
          </v:shape>
        </w:pict>
      </w:r>
      <w:r w:rsidR="009743D6" w:rsidRPr="00DD2C25">
        <w:t xml:space="preserve">Through an open stakeholder process, the ISO develops plans for the region’s networked transmission facilities to address </w:t>
      </w:r>
      <w:r w:rsidR="00DD3112">
        <w:t xml:space="preserve">future </w:t>
      </w:r>
      <w:r w:rsidR="009743D6" w:rsidRPr="00DD2C25">
        <w:t xml:space="preserve">system </w:t>
      </w:r>
      <w:r w:rsidR="00EF25EB" w:rsidRPr="00EF25EB">
        <w:t xml:space="preserve">needs. A </w:t>
      </w:r>
      <w:r w:rsidR="00EF25EB" w:rsidRPr="00EF25EB">
        <w:rPr>
          <w:i/>
        </w:rPr>
        <w:t>Needs Assessment</w:t>
      </w:r>
      <w:r w:rsidR="00EF25EB" w:rsidRPr="00EF25EB">
        <w:t xml:space="preserve"> determines the adequacy of the power system, as a whole or in part, to maintain the reliability of the facilities while promoting the operation of efficient wholesale electric markets in New England</w:t>
      </w:r>
      <w:r w:rsidR="006F532D">
        <w:t xml:space="preserve">. </w:t>
      </w:r>
      <w:r w:rsidR="009743D6" w:rsidRPr="00B26AFD">
        <w:t>After</w:t>
      </w:r>
      <w:r w:rsidR="009743D6" w:rsidRPr="008632FF">
        <w:t xml:space="preserve"> the results of </w:t>
      </w:r>
      <w:r w:rsidR="009743D6">
        <w:t>a N</w:t>
      </w:r>
      <w:r w:rsidR="009743D6" w:rsidRPr="008632FF">
        <w:t xml:space="preserve">eeds </w:t>
      </w:r>
      <w:r w:rsidR="009743D6">
        <w:t>A</w:t>
      </w:r>
      <w:r w:rsidR="009743D6" w:rsidRPr="008632FF">
        <w:t>ssessment are made available</w:t>
      </w:r>
      <w:r w:rsidR="009743D6">
        <w:t xml:space="preserve"> for stakeholder input</w:t>
      </w:r>
      <w:r w:rsidR="009743D6" w:rsidRPr="008632FF">
        <w:t xml:space="preserve">, the potential transmission system solutions are evaluated thoroughly to determine the most cost-effective </w:t>
      </w:r>
      <w:r w:rsidR="009E4417">
        <w:t xml:space="preserve">one </w:t>
      </w:r>
      <w:r w:rsidR="009743D6" w:rsidRPr="008632FF">
        <w:t xml:space="preserve">for the region. These study efforts and the proposed transmission solutions are documented in </w:t>
      </w:r>
      <w:r w:rsidR="009743D6">
        <w:t>S</w:t>
      </w:r>
      <w:r w:rsidR="009743D6" w:rsidRPr="008632FF">
        <w:t xml:space="preserve">olutions </w:t>
      </w:r>
      <w:r w:rsidR="009743D6">
        <w:t>S</w:t>
      </w:r>
      <w:r w:rsidR="009743D6" w:rsidRPr="008632FF">
        <w:t>tud</w:t>
      </w:r>
      <w:r w:rsidR="00C20D60">
        <w:t>ies</w:t>
      </w:r>
      <w:r w:rsidR="009743D6">
        <w:t xml:space="preserve">, which also </w:t>
      </w:r>
      <w:r w:rsidR="00C20D60">
        <w:t>are</w:t>
      </w:r>
      <w:r w:rsidR="009743D6">
        <w:t xml:space="preserve"> subject to stakeholder review and input. </w:t>
      </w:r>
      <w:r w:rsidR="009743D6" w:rsidRPr="008632FF">
        <w:t xml:space="preserve">These studies, in aggregate, provide the basis to update the ISO’s Regional System Plans and </w:t>
      </w:r>
      <w:r w:rsidR="009743D6">
        <w:t>en</w:t>
      </w:r>
      <w:r w:rsidR="009743D6" w:rsidRPr="008632FF">
        <w:t>sure</w:t>
      </w:r>
      <w:r w:rsidR="009743D6">
        <w:t xml:space="preserve"> an ongoing 10-year plan for the region consistent and in compliance with the standards and criteria of NERC and the NPCC</w:t>
      </w:r>
      <w:bookmarkStart w:id="392" w:name="_Ref173428592"/>
      <w:bookmarkStart w:id="393" w:name="_Toc176245050"/>
      <w:r w:rsidR="00F238A8">
        <w:t>.</w:t>
      </w:r>
    </w:p>
    <w:p w:rsidR="00B462A6" w:rsidRDefault="00EE32C6">
      <w:pPr>
        <w:pStyle w:val="Heading3"/>
      </w:pPr>
      <w:bookmarkStart w:id="394" w:name="_Toc271632239"/>
      <w:r>
        <w:t>Project Timing</w:t>
      </w:r>
      <w:bookmarkEnd w:id="394"/>
    </w:p>
    <w:p w:rsidR="00F92B7C" w:rsidRPr="00F238A8" w:rsidRDefault="00702ABC" w:rsidP="00F92B7C">
      <w:r>
        <w:t xml:space="preserve">The ISO </w:t>
      </w:r>
      <w:r w:rsidR="00F92B7C" w:rsidRPr="007D23DC">
        <w:t>periodically reviews the need for and timing of projects</w:t>
      </w:r>
      <w:r>
        <w:t>,</w:t>
      </w:r>
      <w:r w:rsidR="00F92B7C" w:rsidRPr="007D23DC">
        <w:t xml:space="preserve"> as stakeholders provide new information and input and as system parameters change</w:t>
      </w:r>
      <w:r w:rsidR="00F30C4B">
        <w:t xml:space="preserve"> this review and any necessary adjustments</w:t>
      </w:r>
      <w:r>
        <w:t>,</w:t>
      </w:r>
      <w:r w:rsidR="00F92B7C">
        <w:t xml:space="preserve"> to ensure that all plans can be </w:t>
      </w:r>
      <w:r w:rsidR="00F92B7C" w:rsidRPr="007D23DC">
        <w:t xml:space="preserve">implemented without degrading the performance of the New England System, the NPCC region, or the remainder of the Eastern </w:t>
      </w:r>
      <w:r w:rsidR="00D4331C" w:rsidRPr="00D4331C">
        <w:t>Interconnection.</w:t>
      </w:r>
      <w:r w:rsidR="001614A6">
        <w:rPr>
          <w:rStyle w:val="FootnoteReference"/>
          <w:sz w:val="22"/>
        </w:rPr>
        <w:footnoteReference w:id="114"/>
      </w:r>
      <w:r w:rsidR="00D4331C" w:rsidRPr="00D4331C">
        <w:t xml:space="preserve"> The ISO</w:t>
      </w:r>
      <w:r w:rsidR="00F92B7C" w:rsidRPr="007D23DC">
        <w:t xml:space="preserve"> conducts sensitivity analyses to account for factors such as generation unavailability, maintenance-outage conditions, and potential retirement scenarios, which could advance the need for transmission improvements, as well as the development of generation and demand resources, which can delay the need for transmission</w:t>
      </w:r>
      <w:r w:rsidR="00247DFF">
        <w:t>.</w:t>
      </w:r>
      <w:r w:rsidR="00F92B7C" w:rsidRPr="00F92B7C">
        <w:t xml:space="preserve"> The planning process identifies sufficient lead times for the construction of transmission solutions to ensure the region meets planning </w:t>
      </w:r>
      <w:r w:rsidR="00F92B7C" w:rsidRPr="00F238A8">
        <w:t>and operating criteria.</w:t>
      </w:r>
    </w:p>
    <w:p w:rsidR="00B462A6" w:rsidRDefault="00EF25EB">
      <w:pPr>
        <w:pStyle w:val="Heading3"/>
      </w:pPr>
      <w:bookmarkStart w:id="395" w:name="_Ref266618401"/>
      <w:bookmarkStart w:id="396" w:name="_Toc271632240"/>
      <w:r w:rsidRPr="00F238A8">
        <w:t>Types of Transmission Upgrades</w:t>
      </w:r>
      <w:bookmarkEnd w:id="395"/>
      <w:bookmarkEnd w:id="396"/>
    </w:p>
    <w:p w:rsidR="00422540" w:rsidRDefault="002427AA" w:rsidP="00073277">
      <w:r w:rsidRPr="00F238A8">
        <w:t xml:space="preserve">Attachment N of the OATT, “Procedures for Regional System Plan Upgrades,” </w:t>
      </w:r>
      <w:r w:rsidR="00EF25EB" w:rsidRPr="00F238A8">
        <w:t>define</w:t>
      </w:r>
      <w:r w:rsidRPr="00F238A8">
        <w:t>s</w:t>
      </w:r>
      <w:r w:rsidR="00EF25EB" w:rsidRPr="00F238A8">
        <w:t xml:space="preserve"> several categories of transmission upgrades that can be developed to address various types of defined system needs</w:t>
      </w:r>
      <w:r w:rsidR="001E47B2" w:rsidRPr="00F238A8">
        <w:t>, such as reliability and market efficiency.</w:t>
      </w:r>
      <w:r w:rsidRPr="006D755D">
        <w:rPr>
          <w:rStyle w:val="FootnoteReference"/>
          <w:sz w:val="22"/>
        </w:rPr>
        <w:footnoteReference w:id="115"/>
      </w:r>
      <w:r w:rsidRPr="006D755D">
        <w:t xml:space="preserve"> </w:t>
      </w:r>
    </w:p>
    <w:p w:rsidR="00FC0261" w:rsidRDefault="009743D6" w:rsidP="00235A65">
      <w:pPr>
        <w:pStyle w:val="Heading4"/>
      </w:pPr>
      <w:r>
        <w:t>Reliability Transmission Upgrades</w:t>
      </w:r>
    </w:p>
    <w:p w:rsidR="00AD20F1" w:rsidRDefault="00BC6F21" w:rsidP="00AD20F1">
      <w:r w:rsidRPr="00BC6F21">
        <w:t>Reliability Transmission Upgrades</w:t>
      </w:r>
      <w:r w:rsidR="009743D6" w:rsidRPr="002C31B4">
        <w:t xml:space="preserve"> are</w:t>
      </w:r>
      <w:r w:rsidR="009743D6" w:rsidRPr="00176E3E">
        <w:t xml:space="preserve"> necessary to ensure the continued reliability of the New England </w:t>
      </w:r>
      <w:r w:rsidR="009743D6">
        <w:t>t</w:t>
      </w:r>
      <w:r w:rsidR="009743D6" w:rsidRPr="00176E3E">
        <w:t xml:space="preserve">ransmission </w:t>
      </w:r>
      <w:r w:rsidR="009743D6">
        <w:t>s</w:t>
      </w:r>
      <w:r w:rsidR="009743D6" w:rsidRPr="00176E3E">
        <w:t xml:space="preserve">ystem </w:t>
      </w:r>
      <w:r w:rsidR="009743D6">
        <w:t>in compliance with</w:t>
      </w:r>
      <w:r w:rsidR="009743D6" w:rsidRPr="00176E3E">
        <w:t xml:space="preserve"> applicable reliability standards. </w:t>
      </w:r>
      <w:r w:rsidR="00152B87" w:rsidRPr="00176E3E">
        <w:t>To identify the transmission system facilities required to maintain reliability and system</w:t>
      </w:r>
      <w:r w:rsidR="00152B87">
        <w:t xml:space="preserve"> </w:t>
      </w:r>
      <w:r w:rsidR="00152B87" w:rsidRPr="00176E3E">
        <w:t xml:space="preserve">performance consistent with the standards, the ISO </w:t>
      </w:r>
      <w:r w:rsidR="00152B87">
        <w:t xml:space="preserve">determines whether the </w:t>
      </w:r>
      <w:r w:rsidR="00FA183C">
        <w:t xml:space="preserve">following </w:t>
      </w:r>
      <w:r w:rsidR="00152B87">
        <w:t xml:space="preserve">factors are met using reasonable assumptions </w:t>
      </w:r>
      <w:r w:rsidR="00EF25EB" w:rsidRPr="00EF25EB">
        <w:t xml:space="preserve">for forecasted load growth and </w:t>
      </w:r>
      <w:r w:rsidR="0088026B">
        <w:t xml:space="preserve">the availability of </w:t>
      </w:r>
      <w:r w:rsidR="00EF25EB" w:rsidRPr="00EF25EB">
        <w:t>generation and transmission facilit</w:t>
      </w:r>
      <w:r w:rsidR="0088026B">
        <w:t>ies</w:t>
      </w:r>
      <w:r w:rsidR="00EF25EB" w:rsidRPr="00EF25EB">
        <w:t xml:space="preserve"> (based on maintenance schedules, forced outages, or other unavailability factors)</w:t>
      </w:r>
      <w:r w:rsidR="00FA183C">
        <w:t xml:space="preserve">: </w:t>
      </w:r>
    </w:p>
    <w:p w:rsidR="009743D6" w:rsidRDefault="003A6F6A" w:rsidP="0050746D">
      <w:pPr>
        <w:pStyle w:val="Bullet-Solid"/>
      </w:pPr>
      <w:r>
        <w:t>Known changes in a</w:t>
      </w:r>
      <w:r w:rsidR="009743D6" w:rsidRPr="00531842">
        <w:t xml:space="preserve">vailable supply </w:t>
      </w:r>
      <w:r w:rsidR="00044D7F">
        <w:t xml:space="preserve">resources </w:t>
      </w:r>
      <w:r w:rsidR="009743D6" w:rsidRPr="00531842">
        <w:t>and transmission</w:t>
      </w:r>
      <w:r>
        <w:t xml:space="preserve"> </w:t>
      </w:r>
      <w:r w:rsidR="00044D7F">
        <w:t>facilities</w:t>
      </w:r>
      <w:r w:rsidR="009743D6" w:rsidRPr="00531842">
        <w:t xml:space="preserve">, </w:t>
      </w:r>
      <w:r>
        <w:t xml:space="preserve">such as through </w:t>
      </w:r>
      <w:r w:rsidR="009743D6" w:rsidRPr="00531842">
        <w:t>anticipated transmission enhancements</w:t>
      </w:r>
      <w:r w:rsidR="00BC4727">
        <w:t xml:space="preserve"> </w:t>
      </w:r>
      <w:r w:rsidR="009743D6" w:rsidRPr="00531842">
        <w:t xml:space="preserve">considering </w:t>
      </w:r>
      <w:r w:rsidR="009743D6" w:rsidRPr="00BC4727">
        <w:t xml:space="preserve">Elective Transmission Upgrades </w:t>
      </w:r>
      <w:r w:rsidR="00EF25EB" w:rsidRPr="00EF25EB">
        <w:t xml:space="preserve">and merchant transmission facilities </w:t>
      </w:r>
      <w:r w:rsidR="001E47B2">
        <w:t>(</w:t>
      </w:r>
      <w:r w:rsidR="009743D6">
        <w:t>as specified in Section 9</w:t>
      </w:r>
      <w:r w:rsidR="002C31B4">
        <w:t xml:space="preserve"> </w:t>
      </w:r>
      <w:r w:rsidR="009743D6">
        <w:t>of Attachment K</w:t>
      </w:r>
      <w:r w:rsidR="00BC4727">
        <w:t>)</w:t>
      </w:r>
      <w:r w:rsidR="009743D6">
        <w:t>;</w:t>
      </w:r>
      <w:r w:rsidR="009743D6" w:rsidRPr="00F35E0F">
        <w:t xml:space="preserve"> </w:t>
      </w:r>
      <w:r>
        <w:t xml:space="preserve">the addition of </w:t>
      </w:r>
      <w:r w:rsidR="009743D6" w:rsidRPr="00531842">
        <w:t>demand</w:t>
      </w:r>
      <w:r w:rsidR="009743D6">
        <w:t>-</w:t>
      </w:r>
      <w:r w:rsidR="009743D6" w:rsidRPr="00531842">
        <w:t>side resources</w:t>
      </w:r>
      <w:r>
        <w:t xml:space="preserve"> or </w:t>
      </w:r>
      <w:r w:rsidR="009743D6" w:rsidRPr="00531842">
        <w:t>new</w:t>
      </w:r>
      <w:r>
        <w:t xml:space="preserve"> or previously unavailable generators</w:t>
      </w:r>
      <w:r w:rsidR="00B821A4">
        <w:t>;</w:t>
      </w:r>
      <w:r>
        <w:t xml:space="preserve"> or generator </w:t>
      </w:r>
      <w:r w:rsidR="009743D6" w:rsidRPr="00531842">
        <w:t>retire</w:t>
      </w:r>
      <w:r>
        <w:t>ments</w:t>
      </w:r>
    </w:p>
    <w:p w:rsidR="00E02278" w:rsidRDefault="009743D6" w:rsidP="00BB34F0">
      <w:pPr>
        <w:pStyle w:val="Bullet-Solid"/>
        <w:numPr>
          <w:ilvl w:val="0"/>
          <w:numId w:val="35"/>
        </w:numPr>
        <w:ind w:left="720"/>
      </w:pPr>
      <w:r>
        <w:t>L</w:t>
      </w:r>
      <w:r w:rsidRPr="00531842">
        <w:t>oad growth</w:t>
      </w:r>
    </w:p>
    <w:p w:rsidR="009743D6" w:rsidRDefault="009743D6" w:rsidP="0050746D">
      <w:pPr>
        <w:pStyle w:val="Bullet-Solid"/>
      </w:pPr>
      <w:r>
        <w:t>A</w:t>
      </w:r>
      <w:r w:rsidRPr="00531842">
        <w:t>cceptable stability response</w:t>
      </w:r>
    </w:p>
    <w:p w:rsidR="009743D6" w:rsidRDefault="009743D6" w:rsidP="0050746D">
      <w:pPr>
        <w:pStyle w:val="Bullet-Solid"/>
      </w:pPr>
      <w:r>
        <w:t>A</w:t>
      </w:r>
      <w:r w:rsidRPr="00531842">
        <w:t>cceptable short</w:t>
      </w:r>
      <w:r>
        <w:t>-</w:t>
      </w:r>
      <w:r w:rsidRPr="00531842">
        <w:t>circuit capability</w:t>
      </w:r>
    </w:p>
    <w:p w:rsidR="009743D6" w:rsidRDefault="009743D6" w:rsidP="0050746D">
      <w:pPr>
        <w:pStyle w:val="Bullet-Solid"/>
      </w:pPr>
      <w:r>
        <w:t>A</w:t>
      </w:r>
      <w:r w:rsidRPr="00531842">
        <w:t>cceptable voltage levels</w:t>
      </w:r>
    </w:p>
    <w:p w:rsidR="009743D6" w:rsidRDefault="009743D6" w:rsidP="0050746D">
      <w:pPr>
        <w:pStyle w:val="Bullet-Solid"/>
      </w:pPr>
      <w:r>
        <w:t>A</w:t>
      </w:r>
      <w:r w:rsidRPr="00531842">
        <w:t>dequate thermal capability</w:t>
      </w:r>
    </w:p>
    <w:p w:rsidR="009743D6" w:rsidRDefault="009743D6" w:rsidP="00241566">
      <w:pPr>
        <w:pStyle w:val="Bullet-Solid"/>
        <w:spacing w:after="0"/>
      </w:pPr>
      <w:r>
        <w:t>A</w:t>
      </w:r>
      <w:r w:rsidRPr="00531842">
        <w:t>cceptable system operability and responses (e.g.</w:t>
      </w:r>
      <w:r w:rsidR="00A24CB7">
        <w:t>,</w:t>
      </w:r>
      <w:r w:rsidRPr="00531842">
        <w:t xml:space="preserve"> automatic operations, voltage</w:t>
      </w:r>
      <w:r>
        <w:t xml:space="preserve"> </w:t>
      </w:r>
      <w:r w:rsidRPr="001B0EF4">
        <w:t>changes)</w:t>
      </w:r>
    </w:p>
    <w:p w:rsidR="005C621A" w:rsidRDefault="005C621A" w:rsidP="00241566">
      <w:pPr>
        <w:spacing w:after="0"/>
      </w:pPr>
    </w:p>
    <w:p w:rsidR="009743D6" w:rsidRDefault="00FA183C" w:rsidP="00073277">
      <w:r>
        <w:t xml:space="preserve">The ISO </w:t>
      </w:r>
      <w:r w:rsidR="009743D6">
        <w:t>also relies on good utility practice, applicable reliability standards, and ISO procedures and practices.</w:t>
      </w:r>
      <w:r w:rsidR="009743D6">
        <w:rPr>
          <w:rStyle w:val="FootnoteReference"/>
        </w:rPr>
        <w:footnoteReference w:id="116"/>
      </w:r>
      <w:r w:rsidR="0076739E">
        <w:t xml:space="preserve"> </w:t>
      </w:r>
      <w:r w:rsidR="00D4331C" w:rsidRPr="00D4331C">
        <w:t>A</w:t>
      </w:r>
      <w:r w:rsidR="009743D6">
        <w:t xml:space="preserve"> </w:t>
      </w:r>
      <w:r w:rsidR="009743D6" w:rsidRPr="00176E3E">
        <w:t>Reliability Transmission Upgrade may also provide market efficiency benefits.</w:t>
      </w:r>
    </w:p>
    <w:p w:rsidR="00FC0261" w:rsidRDefault="009743D6" w:rsidP="00235A65">
      <w:pPr>
        <w:pStyle w:val="Heading4"/>
      </w:pPr>
      <w:bookmarkStart w:id="397" w:name="_Ref262119775"/>
      <w:r>
        <w:t>Market Efficiency Transmission Upgrades</w:t>
      </w:r>
      <w:bookmarkEnd w:id="397"/>
    </w:p>
    <w:p w:rsidR="009743D6" w:rsidRPr="00310349" w:rsidRDefault="009743D6" w:rsidP="00073277">
      <w:r w:rsidRPr="00176E3E">
        <w:t xml:space="preserve">Market Efficiency Transmission Upgrades </w:t>
      </w:r>
      <w:r w:rsidR="002427AA">
        <w:t xml:space="preserve">(METUs) </w:t>
      </w:r>
      <w:r w:rsidRPr="00176E3E">
        <w:t xml:space="preserve">are </w:t>
      </w:r>
      <w:r w:rsidR="00FA183C">
        <w:t xml:space="preserve">primarily </w:t>
      </w:r>
      <w:r w:rsidRPr="00176E3E">
        <w:t xml:space="preserve">designed to </w:t>
      </w:r>
      <w:r>
        <w:t xml:space="preserve">reduce the </w:t>
      </w:r>
      <w:r w:rsidRPr="00176E3E">
        <w:t xml:space="preserve">total </w:t>
      </w:r>
      <w:r>
        <w:t xml:space="preserve">net </w:t>
      </w:r>
      <w:r w:rsidRPr="00176E3E">
        <w:t xml:space="preserve">production cost to supply the system load. </w:t>
      </w:r>
      <w:r>
        <w:t xml:space="preserve">The </w:t>
      </w:r>
      <w:r w:rsidRPr="00B26AFD">
        <w:t xml:space="preserve">ISO </w:t>
      </w:r>
      <w:r w:rsidRPr="00F35E0F">
        <w:t xml:space="preserve">categorizes </w:t>
      </w:r>
      <w:r w:rsidRPr="00B26AFD">
        <w:t>a proposed</w:t>
      </w:r>
      <w:r>
        <w:t xml:space="preserve"> transmission upgrade as a </w:t>
      </w:r>
      <w:r w:rsidRPr="00176E3E">
        <w:t>Market Efficiency</w:t>
      </w:r>
      <w:r>
        <w:t xml:space="preserve"> </w:t>
      </w:r>
      <w:r w:rsidRPr="00176E3E">
        <w:t xml:space="preserve">Transmission Upgrade </w:t>
      </w:r>
      <w:r>
        <w:t>whe</w:t>
      </w:r>
      <w:r w:rsidRPr="00F35E0F">
        <w:t>n</w:t>
      </w:r>
      <w:r>
        <w:t xml:space="preserve"> </w:t>
      </w:r>
      <w:r w:rsidR="005556C0">
        <w:t xml:space="preserve">it determines that </w:t>
      </w:r>
      <w:r>
        <w:t>the</w:t>
      </w:r>
      <w:r w:rsidRPr="00176E3E">
        <w:t xml:space="preserve"> net present value of the net</w:t>
      </w:r>
      <w:r>
        <w:t xml:space="preserve"> </w:t>
      </w:r>
      <w:r w:rsidRPr="00176E3E">
        <w:t>reduction in total cost to supply the system load</w:t>
      </w:r>
      <w:r w:rsidR="005556C0">
        <w:t xml:space="preserve"> </w:t>
      </w:r>
      <w:r>
        <w:t xml:space="preserve">is greater than </w:t>
      </w:r>
      <w:r w:rsidRPr="00176E3E">
        <w:t>the net</w:t>
      </w:r>
      <w:r>
        <w:t xml:space="preserve"> </w:t>
      </w:r>
      <w:r w:rsidRPr="00176E3E">
        <w:t xml:space="preserve">present value of the carrying cost </w:t>
      </w:r>
      <w:r w:rsidRPr="00310349">
        <w:t>of the identified upgrade.</w:t>
      </w:r>
      <w:r w:rsidR="00B821A4" w:rsidRPr="00310349">
        <w:t xml:space="preserve"> </w:t>
      </w:r>
    </w:p>
    <w:p w:rsidR="009743D6" w:rsidRDefault="005556C0" w:rsidP="00073277">
      <w:r w:rsidRPr="00310349">
        <w:t>A</w:t>
      </w:r>
      <w:r w:rsidR="009743D6" w:rsidRPr="00310349">
        <w:t xml:space="preserve"> Reliability Transmission Upgrade may qualify for interim treatment as a Market Efficiency Transmission Upgrade if market efficiency is used to advance the schedule for the implementation of the upgrade. </w:t>
      </w:r>
      <w:r w:rsidR="00347B16" w:rsidRPr="00310349">
        <w:t>This can take place if t</w:t>
      </w:r>
      <w:r w:rsidR="009743D6" w:rsidRPr="00310349">
        <w:t xml:space="preserve">he ISO determines that the net present value of the reduction </w:t>
      </w:r>
      <w:r w:rsidR="00347B16" w:rsidRPr="00310349">
        <w:t>in</w:t>
      </w:r>
      <w:r w:rsidR="009743D6" w:rsidRPr="00310349">
        <w:t xml:space="preserve"> total production cost to supply system load is greater than the net present value of the Reliability Transmission Upgrade after </w:t>
      </w:r>
      <w:r w:rsidR="00347B16" w:rsidRPr="00310349">
        <w:t xml:space="preserve">the </w:t>
      </w:r>
      <w:r w:rsidR="00EF25EB" w:rsidRPr="00310349">
        <w:t>schedule</w:t>
      </w:r>
      <w:r w:rsidR="00347B16" w:rsidRPr="00310349">
        <w:t xml:space="preserve"> </w:t>
      </w:r>
      <w:r w:rsidR="009743D6" w:rsidRPr="00310349">
        <w:t>is advanced, minus the net present value of the upgrade for when it is projected to be needed for reliability.</w:t>
      </w:r>
    </w:p>
    <w:p w:rsidR="009743D6" w:rsidRPr="00473929" w:rsidRDefault="009743D6" w:rsidP="00073277">
      <w:r w:rsidRPr="00176E3E">
        <w:t>In determin</w:t>
      </w:r>
      <w:r w:rsidR="00347B16">
        <w:t>ing</w:t>
      </w:r>
      <w:r w:rsidRPr="00176E3E">
        <w:t xml:space="preserve"> the net present value of power system resource</w:t>
      </w:r>
      <w:r>
        <w:t xml:space="preserve"> </w:t>
      </w:r>
      <w:r w:rsidRPr="00176E3E">
        <w:t>costs, the ISO take</w:t>
      </w:r>
      <w:r>
        <w:t>s</w:t>
      </w:r>
      <w:r w:rsidRPr="00176E3E">
        <w:t xml:space="preserve"> into account applicable </w:t>
      </w:r>
      <w:r w:rsidR="00347B16">
        <w:t xml:space="preserve">projected </w:t>
      </w:r>
      <w:r w:rsidRPr="00176E3E">
        <w:t>economic factors</w:t>
      </w:r>
      <w:r w:rsidR="0088026B">
        <w:t>,</w:t>
      </w:r>
      <w:r w:rsidR="00777D68">
        <w:t xml:space="preserve"> </w:t>
      </w:r>
      <w:r w:rsidR="00347B16">
        <w:t xml:space="preserve">as </w:t>
      </w:r>
      <w:r w:rsidRPr="00176E3E">
        <w:t>follow</w:t>
      </w:r>
      <w:r w:rsidR="00347B16">
        <w:t>s</w:t>
      </w:r>
      <w:r w:rsidRPr="00176E3E">
        <w:t>:</w:t>
      </w:r>
    </w:p>
    <w:p w:rsidR="009743D6" w:rsidRDefault="009743D6" w:rsidP="0050746D">
      <w:pPr>
        <w:pStyle w:val="Bullet-Solid"/>
      </w:pPr>
      <w:r>
        <w:t>E</w:t>
      </w:r>
      <w:r w:rsidRPr="00176E3E">
        <w:t>nergy costs</w:t>
      </w:r>
    </w:p>
    <w:p w:rsidR="009743D6" w:rsidRDefault="009743D6" w:rsidP="0050746D">
      <w:pPr>
        <w:pStyle w:val="Bullet-Solid"/>
      </w:pPr>
      <w:r>
        <w:t>C</w:t>
      </w:r>
      <w:r w:rsidRPr="00176E3E">
        <w:t>apacity costs</w:t>
      </w:r>
      <w:r>
        <w:t xml:space="preserve"> </w:t>
      </w:r>
    </w:p>
    <w:p w:rsidR="009743D6" w:rsidRDefault="009743D6" w:rsidP="0050746D">
      <w:pPr>
        <w:pStyle w:val="Bullet-Solid"/>
      </w:pPr>
      <w:r>
        <w:t>Co</w:t>
      </w:r>
      <w:r w:rsidRPr="00176E3E">
        <w:t>st of supplying total operating reserve</w:t>
      </w:r>
    </w:p>
    <w:p w:rsidR="009743D6" w:rsidRDefault="009743D6" w:rsidP="0050746D">
      <w:pPr>
        <w:pStyle w:val="Bullet-Solid"/>
      </w:pPr>
      <w:r>
        <w:t>S</w:t>
      </w:r>
      <w:r w:rsidRPr="00176E3E">
        <w:t>ystem losses</w:t>
      </w:r>
    </w:p>
    <w:p w:rsidR="00B821A4" w:rsidRDefault="00B821A4" w:rsidP="00B821A4">
      <w:pPr>
        <w:pStyle w:val="Bullet-Solid"/>
      </w:pPr>
      <w:r>
        <w:t>Known changes in a</w:t>
      </w:r>
      <w:r w:rsidRPr="00531842">
        <w:t xml:space="preserve">vailable supply </w:t>
      </w:r>
      <w:r w:rsidR="00310349">
        <w:t xml:space="preserve">resources </w:t>
      </w:r>
      <w:r w:rsidRPr="00531842">
        <w:t>and transmission</w:t>
      </w:r>
      <w:r>
        <w:t xml:space="preserve"> </w:t>
      </w:r>
      <w:r w:rsidR="00310349">
        <w:t>facilities</w:t>
      </w:r>
      <w:r w:rsidRPr="00531842">
        <w:t xml:space="preserve">, </w:t>
      </w:r>
      <w:r>
        <w:t xml:space="preserve">such as through </w:t>
      </w:r>
      <w:r w:rsidRPr="00531842">
        <w:t>anticipated transmission enhancements</w:t>
      </w:r>
      <w:r>
        <w:t xml:space="preserve"> </w:t>
      </w:r>
      <w:r w:rsidRPr="00531842">
        <w:t xml:space="preserve">considering </w:t>
      </w:r>
      <w:r w:rsidRPr="00BC4727">
        <w:t xml:space="preserve">Elective Transmission Upgrades </w:t>
      </w:r>
      <w:r w:rsidRPr="001E47B2">
        <w:t xml:space="preserve">and merchant transmission facilities </w:t>
      </w:r>
      <w:r>
        <w:t>(as specified in Attachment K</w:t>
      </w:r>
      <w:r w:rsidR="00FF4D28">
        <w:t>,</w:t>
      </w:r>
      <w:r w:rsidR="00FF4D28" w:rsidRPr="00FF4D28">
        <w:t xml:space="preserve"> </w:t>
      </w:r>
      <w:r w:rsidR="00FF4D28">
        <w:t>Section 9</w:t>
      </w:r>
      <w:r>
        <w:t>);</w:t>
      </w:r>
      <w:r w:rsidRPr="00F35E0F">
        <w:t xml:space="preserve"> </w:t>
      </w:r>
      <w:r>
        <w:t xml:space="preserve">the addition of </w:t>
      </w:r>
      <w:r w:rsidRPr="00531842">
        <w:t>demand</w:t>
      </w:r>
      <w:r>
        <w:t>-</w:t>
      </w:r>
      <w:r w:rsidRPr="00531842">
        <w:t>side resources</w:t>
      </w:r>
      <w:r>
        <w:t xml:space="preserve"> or </w:t>
      </w:r>
      <w:r w:rsidRPr="00531842">
        <w:t>new</w:t>
      </w:r>
      <w:r>
        <w:t xml:space="preserve"> or previously unavailable generators; or generator </w:t>
      </w:r>
      <w:r w:rsidRPr="00531842">
        <w:t>retire</w:t>
      </w:r>
      <w:r>
        <w:t>ments</w:t>
      </w:r>
    </w:p>
    <w:p w:rsidR="009743D6" w:rsidRDefault="009743D6" w:rsidP="0050746D">
      <w:pPr>
        <w:pStyle w:val="Bullet-Solid"/>
      </w:pPr>
      <w:r>
        <w:t>L</w:t>
      </w:r>
      <w:r w:rsidRPr="00176E3E">
        <w:t>oad growth</w:t>
      </w:r>
    </w:p>
    <w:p w:rsidR="009743D6" w:rsidRDefault="009743D6" w:rsidP="0050746D">
      <w:pPr>
        <w:pStyle w:val="Bullet-Solid"/>
      </w:pPr>
      <w:r>
        <w:t>F</w:t>
      </w:r>
      <w:r w:rsidRPr="00176E3E">
        <w:t>uel costs</w:t>
      </w:r>
    </w:p>
    <w:p w:rsidR="009743D6" w:rsidRDefault="009743D6" w:rsidP="0050746D">
      <w:pPr>
        <w:pStyle w:val="Bullet-Solid"/>
      </w:pPr>
      <w:r>
        <w:t>F</w:t>
      </w:r>
      <w:r w:rsidRPr="00176E3E">
        <w:t>uel availability</w:t>
      </w:r>
    </w:p>
    <w:p w:rsidR="009743D6" w:rsidRDefault="009743D6" w:rsidP="0050746D">
      <w:pPr>
        <w:pStyle w:val="Bullet-Solid"/>
      </w:pPr>
      <w:r>
        <w:t>G</w:t>
      </w:r>
      <w:r w:rsidRPr="00176E3E">
        <w:t>enerator availability</w:t>
      </w:r>
    </w:p>
    <w:p w:rsidR="009743D6" w:rsidRDefault="009743D6" w:rsidP="0050746D">
      <w:pPr>
        <w:pStyle w:val="Bullet-Solid"/>
      </w:pPr>
      <w:r>
        <w:t>Release of locked-in</w:t>
      </w:r>
      <w:r w:rsidRPr="00176E3E">
        <w:t xml:space="preserve"> generating resources</w:t>
      </w:r>
    </w:p>
    <w:p w:rsidR="009743D6" w:rsidRDefault="009743D6" w:rsidP="0050746D">
      <w:pPr>
        <w:pStyle w:val="Bullet-Solid"/>
      </w:pPr>
      <w:r>
        <w:t>P</w:t>
      </w:r>
      <w:r w:rsidRPr="00176E3E">
        <w:t>resent</w:t>
      </w:r>
      <w:r>
        <w:t>-</w:t>
      </w:r>
      <w:r w:rsidRPr="00176E3E">
        <w:t>worth factors for each project specific to the owner of the project</w:t>
      </w:r>
    </w:p>
    <w:p w:rsidR="009743D6" w:rsidRDefault="009743D6" w:rsidP="0050746D">
      <w:pPr>
        <w:pStyle w:val="Bullet-Solid"/>
      </w:pPr>
      <w:r>
        <w:t>P</w:t>
      </w:r>
      <w:r w:rsidRPr="00176E3E">
        <w:t>resent</w:t>
      </w:r>
      <w:r>
        <w:t>-</w:t>
      </w:r>
      <w:r w:rsidRPr="00176E3E">
        <w:t xml:space="preserve">worth period not to exceed </w:t>
      </w:r>
      <w:r>
        <w:t>10</w:t>
      </w:r>
      <w:r w:rsidRPr="00176E3E">
        <w:t xml:space="preserve"> years</w:t>
      </w:r>
    </w:p>
    <w:p w:rsidR="009743D6" w:rsidRDefault="009743D6" w:rsidP="0050746D">
      <w:pPr>
        <w:pStyle w:val="Bullet-Solid"/>
      </w:pPr>
      <w:r>
        <w:t>C</w:t>
      </w:r>
      <w:r w:rsidRPr="00176E3E">
        <w:t>ost of the project</w:t>
      </w:r>
    </w:p>
    <w:p w:rsidR="009743D6" w:rsidRPr="00473929" w:rsidRDefault="009743D6" w:rsidP="0050746D">
      <w:pPr>
        <w:spacing w:after="0"/>
      </w:pPr>
    </w:p>
    <w:p w:rsidR="009743D6" w:rsidRPr="00F51C5F" w:rsidRDefault="009743D6" w:rsidP="00073277">
      <w:r w:rsidRPr="00176E3E">
        <w:t>Analys</w:t>
      </w:r>
      <w:r w:rsidR="00777D68">
        <w:t>e</w:t>
      </w:r>
      <w:r w:rsidRPr="00176E3E">
        <w:t xml:space="preserve">s may include </w:t>
      </w:r>
      <w:r>
        <w:t xml:space="preserve">the use </w:t>
      </w:r>
      <w:r w:rsidRPr="00176E3E">
        <w:t>of historical information</w:t>
      </w:r>
      <w:r>
        <w:t>,</w:t>
      </w:r>
      <w:r w:rsidRPr="00176E3E">
        <w:t xml:space="preserve"> such as </w:t>
      </w:r>
      <w:r>
        <w:t xml:space="preserve">information </w:t>
      </w:r>
      <w:r w:rsidRPr="00176E3E">
        <w:t>in</w:t>
      </w:r>
      <w:r>
        <w:t xml:space="preserve"> market reports, and </w:t>
      </w:r>
      <w:r w:rsidRPr="00176E3E">
        <w:t>special studies</w:t>
      </w:r>
      <w:r>
        <w:t>,</w:t>
      </w:r>
      <w:r w:rsidRPr="00176E3E">
        <w:t xml:space="preserve"> and </w:t>
      </w:r>
      <w:r w:rsidR="00777D68" w:rsidRPr="0077257B">
        <w:t>they</w:t>
      </w:r>
      <w:r w:rsidRPr="0077257B">
        <w:t xml:space="preserve"> </w:t>
      </w:r>
      <w:r w:rsidR="00EF25EB" w:rsidRPr="0077257B">
        <w:t>should</w:t>
      </w:r>
      <w:r w:rsidRPr="0077257B">
        <w:t xml:space="preserve"> report</w:t>
      </w:r>
      <w:r w:rsidRPr="00176E3E">
        <w:t xml:space="preserve"> cumulative net present value annually</w:t>
      </w:r>
      <w:r>
        <w:t xml:space="preserve"> </w:t>
      </w:r>
      <w:r w:rsidRPr="00F51C5F">
        <w:t>over the study period.</w:t>
      </w:r>
    </w:p>
    <w:p w:rsidR="00FC0261" w:rsidRDefault="009743D6" w:rsidP="00235A65">
      <w:pPr>
        <w:pStyle w:val="Heading4"/>
      </w:pPr>
      <w:r w:rsidRPr="00F51C5F">
        <w:t xml:space="preserve">Generator Interconnection Upgrades and </w:t>
      </w:r>
      <w:r w:rsidRPr="00F35E0F">
        <w:t>Generator Interconnection-Related Upgrades</w:t>
      </w:r>
    </w:p>
    <w:p w:rsidR="00A73FE0" w:rsidRPr="0088026B" w:rsidRDefault="009743D6" w:rsidP="0088026B">
      <w:pPr>
        <w:pStyle w:val="CommentText"/>
        <w:spacing w:line="260" w:lineRule="atLeast"/>
        <w:rPr>
          <w:sz w:val="22"/>
          <w:szCs w:val="22"/>
        </w:rPr>
      </w:pPr>
      <w:r w:rsidRPr="0088026B">
        <w:rPr>
          <w:sz w:val="22"/>
          <w:szCs w:val="22"/>
        </w:rPr>
        <w:t xml:space="preserve">A Generator Interconnection Upgrade is an addition to or modification of the New England transmission system </w:t>
      </w:r>
      <w:r w:rsidR="00AB3D6D" w:rsidRPr="0088026B">
        <w:rPr>
          <w:sz w:val="22"/>
          <w:szCs w:val="22"/>
        </w:rPr>
        <w:t xml:space="preserve">for </w:t>
      </w:r>
      <w:r w:rsidRPr="0088026B">
        <w:rPr>
          <w:sz w:val="22"/>
          <w:szCs w:val="22"/>
        </w:rPr>
        <w:t>interconnecti</w:t>
      </w:r>
      <w:r w:rsidR="00AB3D6D" w:rsidRPr="0088026B">
        <w:rPr>
          <w:sz w:val="22"/>
          <w:szCs w:val="22"/>
        </w:rPr>
        <w:t xml:space="preserve">ng </w:t>
      </w:r>
      <w:r w:rsidRPr="0088026B">
        <w:rPr>
          <w:sz w:val="22"/>
          <w:szCs w:val="22"/>
        </w:rPr>
        <w:t xml:space="preserve">a new or existing generating unit whose </w:t>
      </w:r>
      <w:r w:rsidR="000C0535" w:rsidRPr="0088026B">
        <w:rPr>
          <w:sz w:val="22"/>
          <w:szCs w:val="22"/>
        </w:rPr>
        <w:t xml:space="preserve">energy </w:t>
      </w:r>
      <w:r w:rsidR="00FF2FA3" w:rsidRPr="0088026B">
        <w:rPr>
          <w:sz w:val="22"/>
          <w:szCs w:val="22"/>
        </w:rPr>
        <w:t xml:space="preserve">or </w:t>
      </w:r>
      <w:r w:rsidRPr="0088026B">
        <w:rPr>
          <w:sz w:val="22"/>
          <w:szCs w:val="22"/>
        </w:rPr>
        <w:t xml:space="preserve">capacity </w:t>
      </w:r>
      <w:r w:rsidR="000C0535" w:rsidRPr="0088026B">
        <w:rPr>
          <w:sz w:val="22"/>
          <w:szCs w:val="22"/>
        </w:rPr>
        <w:t xml:space="preserve">capability </w:t>
      </w:r>
      <w:r w:rsidRPr="0088026B">
        <w:rPr>
          <w:sz w:val="22"/>
          <w:szCs w:val="22"/>
        </w:rPr>
        <w:t xml:space="preserve">is </w:t>
      </w:r>
      <w:r w:rsidR="00EF25EB" w:rsidRPr="0088026B">
        <w:rPr>
          <w:sz w:val="22"/>
          <w:szCs w:val="22"/>
        </w:rPr>
        <w:t>materially chang</w:t>
      </w:r>
      <w:r w:rsidR="00801317" w:rsidRPr="0088026B">
        <w:rPr>
          <w:sz w:val="22"/>
          <w:szCs w:val="22"/>
        </w:rPr>
        <w:t>ing</w:t>
      </w:r>
      <w:r w:rsidR="00EF25EB" w:rsidRPr="0088026B">
        <w:rPr>
          <w:sz w:val="22"/>
          <w:szCs w:val="22"/>
        </w:rPr>
        <w:t xml:space="preserve"> and increas</w:t>
      </w:r>
      <w:r w:rsidR="00801317" w:rsidRPr="0088026B">
        <w:rPr>
          <w:sz w:val="22"/>
          <w:szCs w:val="22"/>
        </w:rPr>
        <w:t>ing</w:t>
      </w:r>
      <w:r w:rsidRPr="0088026B">
        <w:rPr>
          <w:sz w:val="22"/>
          <w:szCs w:val="22"/>
        </w:rPr>
        <w:t xml:space="preserve">, whether or not the interconnection is for meeting the </w:t>
      </w:r>
      <w:r w:rsidR="00EF25EB" w:rsidRPr="0088026B">
        <w:rPr>
          <w:i/>
          <w:sz w:val="22"/>
          <w:szCs w:val="22"/>
        </w:rPr>
        <w:t>Network Capability Interconnection Standard</w:t>
      </w:r>
      <w:r w:rsidR="00801317" w:rsidRPr="0088026B">
        <w:rPr>
          <w:i/>
          <w:sz w:val="22"/>
          <w:szCs w:val="22"/>
        </w:rPr>
        <w:t xml:space="preserve"> </w:t>
      </w:r>
      <w:r w:rsidR="00342F41" w:rsidRPr="0088026B">
        <w:rPr>
          <w:sz w:val="22"/>
          <w:szCs w:val="22"/>
        </w:rPr>
        <w:t xml:space="preserve">or the </w:t>
      </w:r>
      <w:r w:rsidR="00342F41" w:rsidRPr="0088026B">
        <w:rPr>
          <w:i/>
          <w:sz w:val="22"/>
          <w:szCs w:val="22"/>
        </w:rPr>
        <w:t>Capacity Capability Interconnection Standard</w:t>
      </w:r>
      <w:r w:rsidR="00342F41" w:rsidRPr="0088026B">
        <w:rPr>
          <w:sz w:val="22"/>
          <w:szCs w:val="22"/>
        </w:rPr>
        <w:t>.</w:t>
      </w:r>
      <w:r w:rsidR="00342F41" w:rsidRPr="0088026B">
        <w:rPr>
          <w:rStyle w:val="FootnoteReference"/>
          <w:sz w:val="22"/>
          <w:szCs w:val="22"/>
        </w:rPr>
        <w:footnoteReference w:id="117"/>
      </w:r>
      <w:r w:rsidR="00342F41" w:rsidRPr="0088026B">
        <w:rPr>
          <w:sz w:val="22"/>
          <w:szCs w:val="22"/>
        </w:rPr>
        <w:t xml:space="preserve"> </w:t>
      </w:r>
      <w:r w:rsidR="00A73FE0" w:rsidRPr="0088026B">
        <w:rPr>
          <w:sz w:val="22"/>
          <w:szCs w:val="22"/>
        </w:rPr>
        <w:t xml:space="preserve">Generator Interconnection-Related Upgrades to the New England transmission system are included in the </w:t>
      </w:r>
      <w:r w:rsidR="00A73FE0" w:rsidRPr="0088026B">
        <w:rPr>
          <w:i/>
          <w:sz w:val="22"/>
          <w:szCs w:val="22"/>
        </w:rPr>
        <w:t>RSP Project List</w:t>
      </w:r>
      <w:r w:rsidR="00FE253A">
        <w:rPr>
          <w:i/>
          <w:sz w:val="22"/>
          <w:szCs w:val="22"/>
        </w:rPr>
        <w:t xml:space="preserve"> </w:t>
      </w:r>
      <w:r w:rsidR="00FE253A">
        <w:rPr>
          <w:sz w:val="22"/>
          <w:szCs w:val="22"/>
        </w:rPr>
        <w:t xml:space="preserve">(see Section </w:t>
      </w:r>
      <w:r w:rsidR="00832C7A">
        <w:rPr>
          <w:sz w:val="22"/>
          <w:szCs w:val="22"/>
        </w:rPr>
        <w:fldChar w:fldCharType="begin"/>
      </w:r>
      <w:r w:rsidR="00FE253A">
        <w:rPr>
          <w:sz w:val="22"/>
          <w:szCs w:val="22"/>
        </w:rPr>
        <w:instrText xml:space="preserve"> REF _Ref271287668 \r \h </w:instrText>
      </w:r>
      <w:r w:rsidR="00832C7A">
        <w:rPr>
          <w:sz w:val="22"/>
          <w:szCs w:val="22"/>
        </w:rPr>
      </w:r>
      <w:r w:rsidR="00832C7A">
        <w:rPr>
          <w:sz w:val="22"/>
          <w:szCs w:val="22"/>
        </w:rPr>
        <w:fldChar w:fldCharType="separate"/>
      </w:r>
      <w:r w:rsidR="00E5699E">
        <w:rPr>
          <w:sz w:val="22"/>
          <w:szCs w:val="22"/>
        </w:rPr>
        <w:t>6.3</w:t>
      </w:r>
      <w:r w:rsidR="00832C7A">
        <w:rPr>
          <w:sz w:val="22"/>
          <w:szCs w:val="22"/>
        </w:rPr>
        <w:fldChar w:fldCharType="end"/>
      </w:r>
      <w:r w:rsidR="00FE253A">
        <w:rPr>
          <w:sz w:val="22"/>
          <w:szCs w:val="22"/>
        </w:rPr>
        <w:t>)</w:t>
      </w:r>
      <w:r w:rsidR="00A73FE0" w:rsidRPr="0088026B">
        <w:rPr>
          <w:sz w:val="22"/>
          <w:szCs w:val="22"/>
        </w:rPr>
        <w:t>.</w:t>
      </w:r>
    </w:p>
    <w:p w:rsidR="00FC0261" w:rsidRDefault="00EF25EB" w:rsidP="00235A65">
      <w:pPr>
        <w:pStyle w:val="Heading4"/>
      </w:pPr>
      <w:bookmarkStart w:id="398" w:name="_Ref266444974"/>
      <w:r w:rsidRPr="00EF25EB">
        <w:t>Elective Transmission Upgrades and Merchant Transmission Facilities</w:t>
      </w:r>
      <w:bookmarkEnd w:id="398"/>
    </w:p>
    <w:p w:rsidR="009743D6" w:rsidRDefault="009743D6" w:rsidP="00633B61">
      <w:pPr>
        <w:keepNext/>
        <w:keepLines/>
      </w:pPr>
      <w:r w:rsidRPr="00176E3E">
        <w:t>A</w:t>
      </w:r>
      <w:r>
        <w:t xml:space="preserve">n Elective Transmission Upgrade </w:t>
      </w:r>
      <w:r w:rsidR="00C10455">
        <w:t xml:space="preserve">(ETU) </w:t>
      </w:r>
      <w:r>
        <w:t>is an upgrade to the</w:t>
      </w:r>
      <w:r w:rsidRPr="005B2B8C">
        <w:t xml:space="preserve"> </w:t>
      </w:r>
      <w:r w:rsidRPr="001B0EF4">
        <w:t xml:space="preserve">New England </w:t>
      </w:r>
      <w:r>
        <w:t>t</w:t>
      </w:r>
      <w:r w:rsidRPr="001B0EF4">
        <w:t xml:space="preserve">ransmission </w:t>
      </w:r>
      <w:r>
        <w:t>s</w:t>
      </w:r>
      <w:r w:rsidRPr="001B0EF4">
        <w:t>ystem</w:t>
      </w:r>
      <w:r w:rsidRPr="00176E3E">
        <w:t xml:space="preserve"> that is voluntarily funded by </w:t>
      </w:r>
      <w:r>
        <w:t xml:space="preserve">one or more participants </w:t>
      </w:r>
      <w:r w:rsidRPr="00176E3E">
        <w:t>that have agreed to pay</w:t>
      </w:r>
      <w:r>
        <w:t xml:space="preserve"> </w:t>
      </w:r>
      <w:r w:rsidRPr="00176E3E">
        <w:t xml:space="preserve">for all the costs of </w:t>
      </w:r>
      <w:r>
        <w:t>the u</w:t>
      </w:r>
      <w:r w:rsidRPr="00176E3E">
        <w:t>pgrade and is not</w:t>
      </w:r>
      <w:r>
        <w:t xml:space="preserve"> one of the following types of other upgrades</w:t>
      </w:r>
      <w:r w:rsidRPr="00176E3E">
        <w:t>:</w:t>
      </w:r>
    </w:p>
    <w:p w:rsidR="009743D6" w:rsidRDefault="00832C7A" w:rsidP="0050746D">
      <w:pPr>
        <w:pStyle w:val="Bullet-Solid"/>
      </w:pPr>
      <w:r>
        <w:rPr>
          <w:noProof/>
        </w:rPr>
        <w:pict>
          <v:shape id="_x0000_s1044" type="#_x0000_t202" style="position:absolute;left:0;text-align:left;margin-left:1642.2pt;margin-top:77.4pt;width:150.4pt;height:88.2pt;z-index:251752448;mso-wrap-distance-top:7.2pt;mso-wrap-distance-bottom:7.2pt;mso-position-horizontal:right;mso-position-horizontal-relative:margin;mso-position-vertical-relative:margin;mso-width-relative:margin;mso-height-relative:margin;v-text-anchor:middle" fillcolor="#ebe8e6 [665]" strokecolor="black [3213]" strokeweight=".25pt">
            <v:textbox style="mso-next-textbox:#_x0000_s1044" inset="8.64pt,8.64pt,8.64pt,8.64pt">
              <w:txbxContent>
                <w:p w:rsidR="003C78A4" w:rsidRDefault="003C78A4" w:rsidP="002A06A3">
                  <w:pPr>
                    <w:pStyle w:val="BodyText1"/>
                  </w:pPr>
                  <w:r w:rsidRPr="00AE75AD">
                    <w:t>“The ISO shall reflect proposed market responses in the regional system planning process. Market responses may include, but are not limited to, resources</w:t>
                  </w:r>
                  <w:r>
                    <w:t xml:space="preserve"> . . . </w:t>
                  </w:r>
                  <w:r w:rsidRPr="00AE75AD">
                    <w:t>and Merchant Transmission Facilities.” (Attachment</w:t>
                  </w:r>
                  <w:r>
                    <w:t> </w:t>
                  </w:r>
                  <w:r w:rsidRPr="00AE75AD">
                    <w:t>K, § 4.2(a))</w:t>
                  </w:r>
                </w:p>
                <w:p w:rsidR="003C78A4" w:rsidRDefault="003C78A4" w:rsidP="002A06A3"/>
              </w:txbxContent>
            </v:textbox>
            <w10:wrap type="square" anchorx="margin" anchory="margin"/>
          </v:shape>
        </w:pict>
      </w:r>
      <w:r w:rsidR="009743D6" w:rsidRPr="00176E3E">
        <w:t>Generator</w:t>
      </w:r>
      <w:r w:rsidR="009743D6">
        <w:t xml:space="preserve"> </w:t>
      </w:r>
      <w:r w:rsidR="009743D6" w:rsidRPr="00176E3E">
        <w:t>Interconnection</w:t>
      </w:r>
      <w:r w:rsidR="009743D6">
        <w:t>-</w:t>
      </w:r>
      <w:r w:rsidR="009743D6" w:rsidRPr="00176E3E">
        <w:t>Rela</w:t>
      </w:r>
      <w:r w:rsidR="009743D6">
        <w:t>ted Upgrade</w:t>
      </w:r>
    </w:p>
    <w:p w:rsidR="009743D6" w:rsidRPr="00940B37" w:rsidRDefault="009743D6" w:rsidP="0050746D">
      <w:pPr>
        <w:pStyle w:val="Bullet-Solid"/>
      </w:pPr>
      <w:r w:rsidRPr="00940B37">
        <w:t xml:space="preserve">Reliability Transmission Upgrade (including a NEMA </w:t>
      </w:r>
      <w:r w:rsidR="008B1E44">
        <w:t>U</w:t>
      </w:r>
      <w:r w:rsidRPr="00940B37">
        <w:t>pgrade, as appropriate)</w:t>
      </w:r>
      <w:r w:rsidR="008B1E44" w:rsidRPr="008B1E44">
        <w:rPr>
          <w:rStyle w:val="FootnoteReference"/>
          <w:sz w:val="22"/>
        </w:rPr>
        <w:footnoteReference w:id="118"/>
      </w:r>
    </w:p>
    <w:p w:rsidR="009743D6" w:rsidRPr="00940B37" w:rsidRDefault="009743D6" w:rsidP="0050746D">
      <w:pPr>
        <w:pStyle w:val="Bullet-Solid"/>
      </w:pPr>
      <w:r w:rsidRPr="00940B37">
        <w:t xml:space="preserve">Market Efficiency Transmission Upgrade (including a NEMA </w:t>
      </w:r>
      <w:r w:rsidR="008B1E44">
        <w:t>U</w:t>
      </w:r>
      <w:r w:rsidRPr="00940B37">
        <w:t>pgrade,</w:t>
      </w:r>
      <w:r w:rsidR="00777D68" w:rsidRPr="00940B37">
        <w:t xml:space="preserve"> </w:t>
      </w:r>
      <w:r w:rsidRPr="00940B37">
        <w:t>as appropriate)</w:t>
      </w:r>
    </w:p>
    <w:p w:rsidR="00940B37" w:rsidRPr="00940B37" w:rsidRDefault="00940B37" w:rsidP="00BB34F0">
      <w:pPr>
        <w:pStyle w:val="Bullet-Solid"/>
        <w:numPr>
          <w:ilvl w:val="0"/>
          <w:numId w:val="35"/>
        </w:numPr>
        <w:spacing w:after="240"/>
        <w:ind w:left="720"/>
      </w:pPr>
      <w:r w:rsidRPr="00940B37">
        <w:t>Project proposed as an ETU but that was already identified as a transmission project in the RSP before its proposal as an ETU</w:t>
      </w:r>
      <w:r w:rsidR="00BD5091" w:rsidRPr="00A222C6">
        <w:rPr>
          <w:rStyle w:val="FootnoteReference"/>
          <w:sz w:val="22"/>
        </w:rPr>
        <w:footnoteReference w:id="119"/>
      </w:r>
      <w:r w:rsidR="00BD5091" w:rsidRPr="00940B37">
        <w:t xml:space="preserve"> </w:t>
      </w:r>
    </w:p>
    <w:p w:rsidR="000A76E4" w:rsidRPr="00AD77A8" w:rsidRDefault="00E2530F">
      <w:pPr>
        <w:rPr>
          <w:color w:val="000000" w:themeColor="text1"/>
        </w:rPr>
      </w:pPr>
      <w:r w:rsidRPr="00E2530F">
        <w:rPr>
          <w:color w:val="000000" w:themeColor="text1"/>
        </w:rPr>
        <w:t xml:space="preserve">The Elective Transmission Upgrades study process is also the mechanism </w:t>
      </w:r>
      <w:r w:rsidR="00A75E72">
        <w:rPr>
          <w:color w:val="000000" w:themeColor="text1"/>
        </w:rPr>
        <w:t xml:space="preserve">available </w:t>
      </w:r>
      <w:r w:rsidRPr="00E2530F">
        <w:rPr>
          <w:color w:val="000000" w:themeColor="text1"/>
        </w:rPr>
        <w:t xml:space="preserve">to integrate merchant </w:t>
      </w:r>
      <w:r w:rsidR="00BD5091" w:rsidRPr="00BD5091">
        <w:rPr>
          <w:color w:val="000000" w:themeColor="text1"/>
        </w:rPr>
        <w:t xml:space="preserve">transmission facilities into the regional transmission system. Merchant transmission facilities are independently developed and funded </w:t>
      </w:r>
      <w:r w:rsidR="00B83EE6">
        <w:rPr>
          <w:color w:val="000000" w:themeColor="text1"/>
        </w:rPr>
        <w:t xml:space="preserve">and </w:t>
      </w:r>
      <w:r w:rsidR="00BD5091" w:rsidRPr="00BD5091">
        <w:rPr>
          <w:color w:val="000000" w:themeColor="text1"/>
        </w:rPr>
        <w:t>subject to the operational control of the ISO, pursuant to an operating agreement specific to each of these facilities.</w:t>
      </w:r>
    </w:p>
    <w:p w:rsidR="001B3090" w:rsidRDefault="00D4331C">
      <w:pPr>
        <w:pStyle w:val="Heading2"/>
      </w:pPr>
      <w:bookmarkStart w:id="399" w:name="_Ref267384963"/>
      <w:bookmarkStart w:id="400" w:name="_Ref271287668"/>
      <w:bookmarkStart w:id="401" w:name="_Toc271632241"/>
      <w:r w:rsidRPr="00D4331C">
        <w:rPr>
          <w:i/>
        </w:rPr>
        <w:t>RSP Project List</w:t>
      </w:r>
      <w:r w:rsidR="00B77204">
        <w:t xml:space="preserve"> and </w:t>
      </w:r>
      <w:r w:rsidRPr="00D4331C">
        <w:t>Projected Transmission Project</w:t>
      </w:r>
      <w:r w:rsidR="00B77204">
        <w:t xml:space="preserve"> Costs</w:t>
      </w:r>
      <w:bookmarkEnd w:id="399"/>
      <w:bookmarkEnd w:id="400"/>
      <w:bookmarkEnd w:id="401"/>
    </w:p>
    <w:p w:rsidR="00EE32C6" w:rsidRDefault="00832C7A" w:rsidP="00EE32C6">
      <w:pPr>
        <w:pStyle w:val="Default"/>
      </w:pPr>
      <w:r w:rsidRPr="00832C7A">
        <w:rPr>
          <w:noProof/>
          <w:highlight w:val="yellow"/>
          <w:lang w:eastAsia="zh-TW"/>
        </w:rPr>
        <w:pict>
          <v:shape id="_x0000_s1042" type="#_x0000_t202" style="position:absolute;margin-left:9808.85pt;margin-top:327pt;width:231.45pt;height:155.4pt;z-index:251747328;mso-wrap-distance-top:7.2pt;mso-wrap-distance-bottom:7.2pt;mso-position-horizontal:right;mso-position-horizontal-relative:margin;mso-position-vertical-relative:margin;mso-width-relative:margin;mso-height-relative:margin;v-text-anchor:middle" fillcolor="#ebe8e6 [665]" strokecolor="black [3213]" strokeweight=".25pt">
            <v:textbox style="mso-next-textbox:#_x0000_s1042" inset="8.64pt,8.64pt,8.64pt,8.64pt">
              <w:txbxContent>
                <w:p w:rsidR="003C78A4" w:rsidRPr="00AE75AD" w:rsidRDefault="003C78A4" w:rsidP="00EE32C6">
                  <w:pPr>
                    <w:pStyle w:val="BodyText1"/>
                  </w:pPr>
                  <w:r w:rsidRPr="00AE75AD">
                    <w:t>“The RSP Project List shall identify regulated transmission solutions proposed in response to the needs identified in a RSP or Needs Assessments conducted pursuant to Section</w:t>
                  </w:r>
                  <w:r>
                    <w:t> </w:t>
                  </w:r>
                  <w:r w:rsidRPr="00AE75AD">
                    <w:t>4.1 of this Attachment</w:t>
                  </w:r>
                  <w:r>
                    <w:t xml:space="preserve">. </w:t>
                  </w:r>
                  <w:r w:rsidRPr="00AE75AD">
                    <w:t>The RSP Project List shall identify the proposed regulated transmission solutions separately as either a Reliability Transmission Upgrade or a Market Efficiency Transmission Upgrade</w:t>
                  </w:r>
                  <w:r>
                    <w:t xml:space="preserve">. </w:t>
                  </w:r>
                </w:p>
                <w:p w:rsidR="003C78A4" w:rsidRDefault="003C78A4" w:rsidP="00EE32C6">
                  <w:pPr>
                    <w:pStyle w:val="BodyText1"/>
                  </w:pPr>
                  <w:r w:rsidRPr="00AE75AD">
                    <w:t>Within each category of the RSP Project List, the following subcategories will be utilized to indicate the status of each proposed regulated transmission solution in the evaluation process</w:t>
                  </w:r>
                  <w:r>
                    <w:t xml:space="preserve">. </w:t>
                  </w:r>
                  <w:r w:rsidRPr="00AE75AD">
                    <w:t>These subcategories include:  (i) Concept; (ii) Proposed; (iii) Planned; (iv) Under Construction; and (v) In-Service.” (Attachment K, §</w:t>
                  </w:r>
                  <w:r>
                    <w:t xml:space="preserve"> </w:t>
                  </w:r>
                  <w:r w:rsidRPr="00AE75AD">
                    <w:t>3.6(a))</w:t>
                  </w:r>
                </w:p>
              </w:txbxContent>
            </v:textbox>
            <w10:wrap type="square" anchorx="margin" anchory="margin"/>
          </v:shape>
        </w:pict>
      </w:r>
      <w:r w:rsidR="00D4331C" w:rsidRPr="00D4331C">
        <w:rPr>
          <w:sz w:val="22"/>
          <w:szCs w:val="22"/>
        </w:rPr>
        <w:t xml:space="preserve">The </w:t>
      </w:r>
      <w:r w:rsidR="00D4331C" w:rsidRPr="00D4331C">
        <w:rPr>
          <w:i/>
          <w:sz w:val="22"/>
          <w:szCs w:val="22"/>
        </w:rPr>
        <w:t xml:space="preserve">RSP Project List </w:t>
      </w:r>
      <w:r w:rsidR="00D4331C" w:rsidRPr="00D4331C">
        <w:rPr>
          <w:sz w:val="22"/>
          <w:szCs w:val="22"/>
        </w:rPr>
        <w:t>is a summary of needed transmission projects for the region and includes information on project type, the primary owner, the transmission upgrades and their status, and the estimated cost of the PTFs. The</w:t>
      </w:r>
      <w:r w:rsidR="00EE32C6" w:rsidRPr="006A1968">
        <w:rPr>
          <w:sz w:val="22"/>
          <w:szCs w:val="22"/>
        </w:rPr>
        <w:t xml:space="preserve"> list is updated at least three times per year, although the ISO regularly discusses the justification for transmission improvements with the PAC and the Reliability Committee, which provide guidance and comment on study scopes, assumptions, and results. The </w:t>
      </w:r>
      <w:r w:rsidR="00EE32C6">
        <w:rPr>
          <w:i/>
          <w:sz w:val="22"/>
          <w:szCs w:val="22"/>
        </w:rPr>
        <w:t>RSP</w:t>
      </w:r>
      <w:r w:rsidR="00EE32C6" w:rsidRPr="006A1968">
        <w:rPr>
          <w:i/>
          <w:sz w:val="22"/>
          <w:szCs w:val="22"/>
        </w:rPr>
        <w:t xml:space="preserve"> Project List</w:t>
      </w:r>
      <w:r w:rsidR="00EE32C6" w:rsidRPr="006A1968">
        <w:rPr>
          <w:sz w:val="22"/>
          <w:szCs w:val="22"/>
        </w:rPr>
        <w:t xml:space="preserve"> classifies projects as they progress through the study and stakeholder planning processes as follows:</w:t>
      </w:r>
    </w:p>
    <w:p w:rsidR="00EE32C6" w:rsidRDefault="00EE32C6" w:rsidP="00EE32C6">
      <w:pPr>
        <w:pStyle w:val="Default"/>
      </w:pPr>
    </w:p>
    <w:p w:rsidR="00EE32C6" w:rsidRPr="006A1968" w:rsidRDefault="00EE32C6" w:rsidP="00EE32C6">
      <w:pPr>
        <w:pStyle w:val="Bullet-Solid"/>
      </w:pPr>
      <w:r w:rsidRPr="006A1968">
        <w:rPr>
          <w:b/>
        </w:rPr>
        <w:t>Concept</w:t>
      </w:r>
      <w:r w:rsidRPr="006C160C">
        <w:t>—</w:t>
      </w:r>
      <w:r w:rsidRPr="006A1968">
        <w:t xml:space="preserve">a transmission project under consideration by its proponent as a potential solution to meet a need the ISO has identified in a </w:t>
      </w:r>
      <w:r>
        <w:t>N</w:t>
      </w:r>
      <w:r w:rsidRPr="006A1968">
        <w:t xml:space="preserve">eeds </w:t>
      </w:r>
      <w:r>
        <w:t>A</w:t>
      </w:r>
      <w:r w:rsidRPr="006A1968">
        <w:t>ssessment or the RSP but for which little or no analysis is available to support the transmission project.</w:t>
      </w:r>
    </w:p>
    <w:p w:rsidR="00EE32C6" w:rsidRPr="006A1968" w:rsidRDefault="00EE32C6" w:rsidP="00EE32C6">
      <w:pPr>
        <w:pStyle w:val="Bullet-Solid"/>
        <w:rPr>
          <w:color w:val="auto"/>
        </w:rPr>
      </w:pPr>
      <w:r w:rsidRPr="006A1968">
        <w:rPr>
          <w:b/>
        </w:rPr>
        <w:t>Proposed</w:t>
      </w:r>
      <w:r w:rsidRPr="006C160C">
        <w:t>—</w:t>
      </w:r>
      <w:r w:rsidRPr="006A1968">
        <w:rPr>
          <w:color w:val="auto"/>
        </w:rPr>
        <w:t xml:space="preserve">a regulated transmission solution that (1) has been proposed in response to a specific need the ISO identified in a </w:t>
      </w:r>
      <w:r>
        <w:rPr>
          <w:color w:val="auto"/>
        </w:rPr>
        <w:t>N</w:t>
      </w:r>
      <w:r w:rsidRPr="006A1968">
        <w:rPr>
          <w:color w:val="auto"/>
        </w:rPr>
        <w:t xml:space="preserve">eeds </w:t>
      </w:r>
      <w:r>
        <w:rPr>
          <w:color w:val="auto"/>
        </w:rPr>
        <w:t>A</w:t>
      </w:r>
      <w:r w:rsidRPr="006A1968">
        <w:rPr>
          <w:color w:val="auto"/>
        </w:rPr>
        <w:t xml:space="preserve">ssessment or the RSP, and (2) has been evaluated or further defined and developed in a </w:t>
      </w:r>
      <w:r>
        <w:rPr>
          <w:color w:val="auto"/>
        </w:rPr>
        <w:t>S</w:t>
      </w:r>
      <w:r w:rsidRPr="006A1968">
        <w:rPr>
          <w:color w:val="auto"/>
        </w:rPr>
        <w:t xml:space="preserve">olutions </w:t>
      </w:r>
      <w:r>
        <w:rPr>
          <w:color w:val="auto"/>
        </w:rPr>
        <w:t>S</w:t>
      </w:r>
      <w:r w:rsidRPr="006A1968">
        <w:rPr>
          <w:color w:val="auto"/>
        </w:rPr>
        <w:t>tudy, as specified in Section 4.2(b) of Attachment</w:t>
      </w:r>
      <w:r>
        <w:rPr>
          <w:color w:val="auto"/>
        </w:rPr>
        <w:t> </w:t>
      </w:r>
      <w:r w:rsidRPr="006A1968">
        <w:rPr>
          <w:color w:val="auto"/>
        </w:rPr>
        <w:t>K</w:t>
      </w:r>
      <w:r>
        <w:rPr>
          <w:color w:val="auto"/>
        </w:rPr>
        <w:t xml:space="preserve"> </w:t>
      </w:r>
      <w:r w:rsidRPr="006A1968">
        <w:rPr>
          <w:color w:val="auto"/>
        </w:rPr>
        <w:t xml:space="preserve">but has not received ISO approval </w:t>
      </w:r>
      <w:r w:rsidRPr="00702ABC">
        <w:rPr>
          <w:color w:val="auto"/>
        </w:rPr>
        <w:t>under Section I.3.9 of the</w:t>
      </w:r>
      <w:r w:rsidRPr="00502226">
        <w:rPr>
          <w:color w:val="auto"/>
        </w:rPr>
        <w:t xml:space="preserve"> </w:t>
      </w:r>
      <w:r w:rsidRPr="00702ABC">
        <w:rPr>
          <w:color w:val="auto"/>
        </w:rPr>
        <w:t>tariff.</w:t>
      </w:r>
      <w:r w:rsidRPr="00B2208D">
        <w:rPr>
          <w:rStyle w:val="FootnoteReference"/>
          <w:sz w:val="22"/>
        </w:rPr>
        <w:footnoteReference w:id="120"/>
      </w:r>
      <w:r w:rsidRPr="00B2208D">
        <w:rPr>
          <w:color w:val="auto"/>
        </w:rPr>
        <w:t xml:space="preserve"> </w:t>
      </w:r>
      <w:r w:rsidRPr="00702ABC">
        <w:rPr>
          <w:color w:val="auto"/>
        </w:rPr>
        <w:t>The</w:t>
      </w:r>
      <w:r w:rsidRPr="006A1968">
        <w:rPr>
          <w:color w:val="auto"/>
        </w:rPr>
        <w:t xml:space="preserve"> regulated transmission solution must include analysis sufficient to support an ISO determination, as communicated to the PAC, that it would likely meet the ISO-identified need included in the </w:t>
      </w:r>
      <w:r>
        <w:rPr>
          <w:color w:val="auto"/>
        </w:rPr>
        <w:t>N</w:t>
      </w:r>
      <w:r w:rsidRPr="006A1968">
        <w:rPr>
          <w:color w:val="auto"/>
        </w:rPr>
        <w:t xml:space="preserve">eeds </w:t>
      </w:r>
      <w:r>
        <w:rPr>
          <w:color w:val="auto"/>
        </w:rPr>
        <w:t>A</w:t>
      </w:r>
      <w:r w:rsidRPr="006A1968">
        <w:rPr>
          <w:color w:val="auto"/>
        </w:rPr>
        <w:t>ssessment or the RSP.</w:t>
      </w:r>
    </w:p>
    <w:p w:rsidR="00EE32C6" w:rsidRPr="006F532D" w:rsidRDefault="00EE32C6" w:rsidP="000B46D2">
      <w:pPr>
        <w:pStyle w:val="Bullet-Solid"/>
        <w:spacing w:after="240"/>
      </w:pPr>
      <w:r w:rsidRPr="006A1968">
        <w:rPr>
          <w:b/>
        </w:rPr>
        <w:t>Planned</w:t>
      </w:r>
      <w:r w:rsidRPr="006C160C">
        <w:t>—</w:t>
      </w:r>
      <w:r w:rsidRPr="006A1968">
        <w:t xml:space="preserve">a transmission upgrade the ISO has approved </w:t>
      </w:r>
      <w:r w:rsidRPr="005A7100">
        <w:t>under Section I.3.9 of</w:t>
      </w:r>
      <w:r w:rsidRPr="006A1968">
        <w:t xml:space="preserve"> the tariff. Both a </w:t>
      </w:r>
      <w:r w:rsidR="00D4331C" w:rsidRPr="00D4331C">
        <w:t>Needs Assessment and a Solution Study have been completed for planned projects.</w:t>
      </w:r>
    </w:p>
    <w:p w:rsidR="00EE32C6" w:rsidRDefault="00D4331C" w:rsidP="00EE32C6">
      <w:r w:rsidRPr="00D4331C">
        <w:t xml:space="preserve">The ISO regularly updates the PAC on study schedules, scopes of work, assumptions, draft results and final results, with the status of all projects compiled in the </w:t>
      </w:r>
      <w:r w:rsidRPr="00D4331C">
        <w:rPr>
          <w:i/>
        </w:rPr>
        <w:t>RSP Project List</w:t>
      </w:r>
      <w:r w:rsidRPr="00D4331C">
        <w:t>.</w:t>
      </w:r>
      <w:r w:rsidRPr="00A222C6">
        <w:rPr>
          <w:rStyle w:val="FootnoteReference"/>
          <w:sz w:val="22"/>
        </w:rPr>
        <w:footnoteReference w:id="121"/>
      </w:r>
      <w:r w:rsidRPr="00D4331C">
        <w:t xml:space="preserve"> Projects are considered part </w:t>
      </w:r>
      <w:r w:rsidRPr="00FE253A">
        <w:t>of the Regional System Plan consistent with their status and are subject to transmission</w:t>
      </w:r>
      <w:r w:rsidR="00EE32C6" w:rsidRPr="00FE253A">
        <w:t xml:space="preserve"> cost allocation for the region. </w:t>
      </w:r>
      <w:r w:rsidR="00FE253A" w:rsidRPr="00FE253A">
        <w:t>RSP10 incorporates information from t</w:t>
      </w:r>
      <w:r w:rsidR="00EF25EB" w:rsidRPr="00FE253A">
        <w:t>he June</w:t>
      </w:r>
      <w:r w:rsidR="00FE253A" w:rsidRPr="00FE253A">
        <w:t xml:space="preserve"> 2010</w:t>
      </w:r>
      <w:r w:rsidR="00EF25EB" w:rsidRPr="00FE253A">
        <w:t xml:space="preserve"> </w:t>
      </w:r>
      <w:r w:rsidR="00EF25EB" w:rsidRPr="00FE253A">
        <w:rPr>
          <w:i/>
        </w:rPr>
        <w:t>RSP Project List</w:t>
      </w:r>
      <w:r w:rsidR="00FE253A" w:rsidRPr="00FE253A">
        <w:t xml:space="preserve">, which can be accessed in </w:t>
      </w:r>
      <w:r w:rsidR="00EF25EB" w:rsidRPr="00FE253A">
        <w:rPr>
          <w:rFonts w:cs="Times New Roman"/>
          <w:color w:val="000000"/>
        </w:rPr>
        <w:t xml:space="preserve">Appendix </w:t>
      </w:r>
      <w:r w:rsidR="00AD77A8" w:rsidRPr="00FE253A">
        <w:rPr>
          <w:rFonts w:cs="Times New Roman"/>
          <w:color w:val="000000"/>
        </w:rPr>
        <w:t>A</w:t>
      </w:r>
      <w:r w:rsidR="002E3FB4" w:rsidRPr="00FE253A">
        <w:rPr>
          <w:rFonts w:cs="Times New Roman"/>
          <w:color w:val="000000"/>
        </w:rPr>
        <w:t xml:space="preserve"> of this document</w:t>
      </w:r>
      <w:r w:rsidR="00EF25EB" w:rsidRPr="00FE253A">
        <w:t>.</w:t>
      </w:r>
    </w:p>
    <w:p w:rsidR="00EC1309" w:rsidRDefault="00EE32C6">
      <w:r w:rsidRPr="00617EB1">
        <w:t xml:space="preserve">As of June 2010, the total </w:t>
      </w:r>
      <w:r>
        <w:t xml:space="preserve">estimated </w:t>
      </w:r>
      <w:r w:rsidRPr="00617EB1">
        <w:t>cost of transmission upgrades proposed</w:t>
      </w:r>
      <w:r>
        <w:t>,</w:t>
      </w:r>
      <w:r w:rsidRPr="00617EB1">
        <w:t xml:space="preserve"> planned</w:t>
      </w:r>
      <w:r>
        <w:t>, and under construction</w:t>
      </w:r>
      <w:r w:rsidRPr="00617EB1">
        <w:t xml:space="preserve"> was</w:t>
      </w:r>
      <w:r>
        <w:t xml:space="preserve"> </w:t>
      </w:r>
      <w:r w:rsidR="00D4331C" w:rsidRPr="00D4331C">
        <w:t>approximately $5 billion.</w:t>
      </w:r>
      <w:r w:rsidR="00D4331C" w:rsidRPr="00A222C6">
        <w:rPr>
          <w:rStyle w:val="FootnoteReference"/>
          <w:sz w:val="22"/>
        </w:rPr>
        <w:footnoteReference w:id="122"/>
      </w:r>
      <w:r w:rsidR="00D4331C" w:rsidRPr="00A222C6">
        <w:t xml:space="preserve"> </w:t>
      </w:r>
      <w:r w:rsidR="00D4331C" w:rsidRPr="00D4331C">
        <w:t>The</w:t>
      </w:r>
      <w:r w:rsidRPr="00617EB1">
        <w:t xml:space="preserve"> </w:t>
      </w:r>
      <w:r w:rsidR="00225247">
        <w:t>p</w:t>
      </w:r>
      <w:r w:rsidRPr="00617EB1">
        <w:t xml:space="preserve">articipating </w:t>
      </w:r>
      <w:r w:rsidR="00225247">
        <w:t>t</w:t>
      </w:r>
      <w:r w:rsidRPr="00617EB1">
        <w:t xml:space="preserve">ransmission </w:t>
      </w:r>
      <w:r w:rsidR="00225247">
        <w:t>o</w:t>
      </w:r>
      <w:r w:rsidRPr="00617EB1">
        <w:t xml:space="preserve">wner </w:t>
      </w:r>
      <w:r w:rsidR="00225247">
        <w:t xml:space="preserve">(PTO) </w:t>
      </w:r>
      <w:r w:rsidRPr="00617EB1">
        <w:t xml:space="preserve">Administrative Committee </w:t>
      </w:r>
      <w:r w:rsidR="00225247">
        <w:t xml:space="preserve">(AC) </w:t>
      </w:r>
      <w:r w:rsidRPr="00617EB1">
        <w:t xml:space="preserve">provides annual </w:t>
      </w:r>
      <w:r w:rsidRPr="0077257B">
        <w:t xml:space="preserve">updates </w:t>
      </w:r>
      <w:r w:rsidR="00821C68" w:rsidRPr="0077257B">
        <w:t xml:space="preserve">to the </w:t>
      </w:r>
      <w:r w:rsidR="00CB6C90">
        <w:t xml:space="preserve">ISO and NEPOOL </w:t>
      </w:r>
      <w:r w:rsidRPr="0077257B">
        <w:t>o</w:t>
      </w:r>
      <w:r w:rsidR="00200BC2">
        <w:t>n</w:t>
      </w:r>
      <w:r w:rsidRPr="0077257B">
        <w:t xml:space="preserve"> p</w:t>
      </w:r>
      <w:r w:rsidRPr="00617EB1">
        <w:t xml:space="preserve">rojected regional </w:t>
      </w:r>
      <w:r w:rsidR="00200BC2">
        <w:t xml:space="preserve">network service (RNS) </w:t>
      </w:r>
      <w:r w:rsidRPr="00617EB1">
        <w:t xml:space="preserve">transmission rates. </w:t>
      </w:r>
      <w:r w:rsidR="008210C2">
        <w:t>The RNS transmission rate effective June 1, 2010, is $64.83/kW-year.</w:t>
      </w:r>
      <w:r w:rsidR="008210C2" w:rsidRPr="00A222C6">
        <w:rPr>
          <w:rStyle w:val="FootnoteReference"/>
          <w:sz w:val="22"/>
        </w:rPr>
        <w:footnoteReference w:id="123"/>
      </w:r>
      <w:r w:rsidR="008210C2" w:rsidRPr="00A222C6">
        <w:t xml:space="preserve"> </w:t>
      </w:r>
      <w:r w:rsidRPr="00617EB1">
        <w:t>The updated projected transmission rate</w:t>
      </w:r>
      <w:r w:rsidR="00833517">
        <w:t>s</w:t>
      </w:r>
      <w:r w:rsidRPr="00617EB1">
        <w:t xml:space="preserve"> </w:t>
      </w:r>
      <w:r w:rsidR="00D914FA">
        <w:t xml:space="preserve">for 2011 to 2014 </w:t>
      </w:r>
      <w:r w:rsidR="00833517">
        <w:t>are</w:t>
      </w:r>
      <w:r w:rsidRPr="00617EB1">
        <w:t xml:space="preserve"> included </w:t>
      </w:r>
      <w:r w:rsidRPr="00833517">
        <w:t xml:space="preserve">in </w:t>
      </w:r>
      <w:fldSimple w:instr=" REF _Ref267296695 \h  \* MERGEFORMAT ">
        <w:r w:rsidR="00E5699E">
          <w:t xml:space="preserve">Table </w:t>
        </w:r>
        <w:r w:rsidR="00E5699E">
          <w:rPr>
            <w:noProof/>
          </w:rPr>
          <w:t>6</w:t>
        </w:r>
        <w:r w:rsidR="00E5699E">
          <w:rPr>
            <w:noProof/>
          </w:rPr>
          <w:noBreakHyphen/>
          <w:t>1</w:t>
        </w:r>
      </w:fldSimple>
      <w:r w:rsidR="008210C2">
        <w:t xml:space="preserve">. </w:t>
      </w:r>
      <w:r w:rsidR="000825F7">
        <w:t>On the b</w:t>
      </w:r>
      <w:r w:rsidR="000825F7" w:rsidRPr="00D4331C">
        <w:t>as</w:t>
      </w:r>
      <w:r w:rsidR="000825F7">
        <w:t xml:space="preserve">is of these costs, </w:t>
      </w:r>
      <w:r w:rsidR="000825F7" w:rsidRPr="003C51A4">
        <w:t xml:space="preserve">the RNS transmission rate is expected to increase </w:t>
      </w:r>
      <w:r w:rsidR="000825F7">
        <w:t xml:space="preserve">almost </w:t>
      </w:r>
      <w:r w:rsidR="000825F7" w:rsidRPr="00D4331C">
        <w:t>70%</w:t>
      </w:r>
      <w:r w:rsidR="008210C2">
        <w:t xml:space="preserve"> </w:t>
      </w:r>
      <w:r w:rsidR="005D54B1">
        <w:t xml:space="preserve">from </w:t>
      </w:r>
      <w:r w:rsidR="00486C18">
        <w:t>2010</w:t>
      </w:r>
      <w:r w:rsidR="008210C2">
        <w:t xml:space="preserve"> </w:t>
      </w:r>
      <w:r w:rsidR="005D54B1">
        <w:t xml:space="preserve">to </w:t>
      </w:r>
      <w:r w:rsidR="008210C2">
        <w:t>2014</w:t>
      </w:r>
      <w:r w:rsidR="000825F7" w:rsidRPr="006867C0">
        <w:t>.</w:t>
      </w:r>
    </w:p>
    <w:p w:rsidR="00833517" w:rsidRDefault="00833517" w:rsidP="00EB4625">
      <w:pPr>
        <w:pStyle w:val="Caption"/>
      </w:pPr>
      <w:bookmarkStart w:id="402" w:name="_Ref267296695"/>
      <w:bookmarkStart w:id="403" w:name="_Toc271552417"/>
      <w:r>
        <w:t xml:space="preserve">Table </w:t>
      </w:r>
      <w:r w:rsidR="00832C7A">
        <w:fldChar w:fldCharType="begin"/>
      </w:r>
      <w:r w:rsidR="00B2406F">
        <w:instrText xml:space="preserve"> STYLEREF 1 \s </w:instrText>
      </w:r>
      <w:r w:rsidR="00832C7A">
        <w:fldChar w:fldCharType="separate"/>
      </w:r>
      <w:r w:rsidR="00E5699E">
        <w:rPr>
          <w:noProof/>
        </w:rPr>
        <w:t>6</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402"/>
      <w:r>
        <w:br/>
        <w:t xml:space="preserve">Regional </w:t>
      </w:r>
      <w:r w:rsidR="00ED42E1">
        <w:t xml:space="preserve">Network Service </w:t>
      </w:r>
      <w:r>
        <w:t>Rate</w:t>
      </w:r>
      <w:r w:rsidR="00ED42E1">
        <w:t xml:space="preserve"> Forecast, </w:t>
      </w:r>
      <w:r>
        <w:t>201</w:t>
      </w:r>
      <w:r w:rsidR="00ED42E1">
        <w:t>1 to 2014</w:t>
      </w:r>
      <w:r w:rsidR="00EB4625" w:rsidRPr="00EB4625">
        <w:rPr>
          <w:vertAlign w:val="superscript"/>
        </w:rPr>
        <w:t>(a</w:t>
      </w:r>
      <w:r w:rsidR="0012183D">
        <w:rPr>
          <w:vertAlign w:val="superscript"/>
        </w:rPr>
        <w:t>. b. c</w:t>
      </w:r>
      <w:r w:rsidR="00EB4625" w:rsidRPr="00EB4625">
        <w:rPr>
          <w:vertAlign w:val="superscript"/>
        </w:rPr>
        <w:t>)</w:t>
      </w:r>
      <w:bookmarkEnd w:id="403"/>
    </w:p>
    <w:tbl>
      <w:tblPr>
        <w:tblW w:w="82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Look w:val="04A0"/>
      </w:tblPr>
      <w:tblGrid>
        <w:gridCol w:w="4141"/>
        <w:gridCol w:w="1057"/>
        <w:gridCol w:w="900"/>
        <w:gridCol w:w="1170"/>
        <w:gridCol w:w="990"/>
      </w:tblGrid>
      <w:tr w:rsidR="004D6E96" w:rsidRPr="0012183D" w:rsidTr="00D77C66">
        <w:trPr>
          <w:cantSplit/>
          <w:jc w:val="center"/>
        </w:trPr>
        <w:tc>
          <w:tcPr>
            <w:tcW w:w="4141" w:type="dxa"/>
            <w:shd w:val="clear" w:color="auto" w:fill="FBCE76" w:themeFill="background2" w:themeFillTint="99"/>
            <w:tcMar>
              <w:top w:w="58" w:type="dxa"/>
              <w:left w:w="115" w:type="dxa"/>
              <w:bottom w:w="58" w:type="dxa"/>
              <w:right w:w="115" w:type="dxa"/>
            </w:tcMar>
            <w:vAlign w:val="center"/>
            <w:hideMark/>
          </w:tcPr>
          <w:p w:rsidR="00ED42E1" w:rsidRPr="0012183D" w:rsidRDefault="00ED42E1" w:rsidP="0065374D">
            <w:pPr>
              <w:keepNext/>
              <w:keepLines/>
              <w:spacing w:after="0" w:line="240" w:lineRule="atLeast"/>
              <w:outlineLvl w:val="0"/>
              <w:rPr>
                <w:rFonts w:ascii="Arial" w:hAnsi="Arial" w:cs="Arial"/>
                <w:sz w:val="18"/>
                <w:szCs w:val="18"/>
              </w:rPr>
            </w:pPr>
          </w:p>
        </w:tc>
        <w:tc>
          <w:tcPr>
            <w:tcW w:w="1057" w:type="dxa"/>
            <w:shd w:val="clear" w:color="auto" w:fill="FBCE76" w:themeFill="background2" w:themeFillTint="99"/>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center"/>
              <w:rPr>
                <w:rFonts w:ascii="Arial" w:hAnsi="Arial" w:cs="Arial"/>
                <w:sz w:val="18"/>
                <w:szCs w:val="18"/>
              </w:rPr>
            </w:pPr>
            <w:r w:rsidRPr="00D4331C">
              <w:rPr>
                <w:rFonts w:ascii="Arial" w:hAnsi="Arial" w:cs="Arial"/>
                <w:b/>
                <w:bCs/>
                <w:sz w:val="18"/>
                <w:szCs w:val="18"/>
              </w:rPr>
              <w:t>2011</w:t>
            </w:r>
          </w:p>
        </w:tc>
        <w:tc>
          <w:tcPr>
            <w:tcW w:w="900" w:type="dxa"/>
            <w:shd w:val="clear" w:color="auto" w:fill="FBCE76" w:themeFill="background2" w:themeFillTint="99"/>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center"/>
              <w:rPr>
                <w:rFonts w:ascii="Arial" w:hAnsi="Arial" w:cs="Arial"/>
                <w:sz w:val="18"/>
                <w:szCs w:val="18"/>
              </w:rPr>
            </w:pPr>
            <w:r w:rsidRPr="00D4331C">
              <w:rPr>
                <w:rFonts w:ascii="Arial" w:hAnsi="Arial" w:cs="Arial"/>
                <w:b/>
                <w:bCs/>
                <w:sz w:val="18"/>
                <w:szCs w:val="18"/>
              </w:rPr>
              <w:t>2012</w:t>
            </w:r>
          </w:p>
        </w:tc>
        <w:tc>
          <w:tcPr>
            <w:tcW w:w="1170" w:type="dxa"/>
            <w:shd w:val="clear" w:color="auto" w:fill="FBCE76" w:themeFill="background2" w:themeFillTint="99"/>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center"/>
              <w:rPr>
                <w:rFonts w:ascii="Arial" w:hAnsi="Arial" w:cs="Arial"/>
                <w:sz w:val="18"/>
                <w:szCs w:val="18"/>
              </w:rPr>
            </w:pPr>
            <w:r w:rsidRPr="00D4331C">
              <w:rPr>
                <w:rFonts w:ascii="Arial" w:hAnsi="Arial" w:cs="Arial"/>
                <w:b/>
                <w:bCs/>
                <w:sz w:val="18"/>
                <w:szCs w:val="18"/>
              </w:rPr>
              <w:t>2013</w:t>
            </w:r>
          </w:p>
        </w:tc>
        <w:tc>
          <w:tcPr>
            <w:tcW w:w="990" w:type="dxa"/>
            <w:shd w:val="clear" w:color="auto" w:fill="FBCE76" w:themeFill="background2" w:themeFillTint="99"/>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center"/>
              <w:rPr>
                <w:rFonts w:ascii="Arial" w:hAnsi="Arial" w:cs="Arial"/>
                <w:sz w:val="18"/>
                <w:szCs w:val="18"/>
              </w:rPr>
            </w:pPr>
            <w:r w:rsidRPr="00D4331C">
              <w:rPr>
                <w:rFonts w:ascii="Arial" w:hAnsi="Arial" w:cs="Arial"/>
                <w:b/>
                <w:bCs/>
                <w:sz w:val="18"/>
                <w:szCs w:val="18"/>
              </w:rPr>
              <w:t>2014</w:t>
            </w:r>
          </w:p>
        </w:tc>
      </w:tr>
      <w:tr w:rsidR="007364D5" w:rsidRPr="0012183D" w:rsidTr="00D77C66">
        <w:trPr>
          <w:cantSplit/>
          <w:jc w:val="center"/>
        </w:trPr>
        <w:tc>
          <w:tcPr>
            <w:tcW w:w="4141" w:type="dxa"/>
            <w:shd w:val="clear" w:color="auto" w:fill="auto"/>
            <w:tcMar>
              <w:top w:w="58" w:type="dxa"/>
              <w:left w:w="115" w:type="dxa"/>
              <w:bottom w:w="58" w:type="dxa"/>
              <w:right w:w="115" w:type="dxa"/>
            </w:tcMar>
            <w:vAlign w:val="center"/>
            <w:hideMark/>
          </w:tcPr>
          <w:p w:rsidR="003F3D84" w:rsidRDefault="00D4331C">
            <w:pPr>
              <w:keepNext/>
              <w:keepLines/>
              <w:spacing w:after="0" w:line="240" w:lineRule="atLeast"/>
              <w:rPr>
                <w:rFonts w:ascii="Arial" w:hAnsi="Arial" w:cs="Arial"/>
                <w:b/>
                <w:sz w:val="18"/>
                <w:szCs w:val="18"/>
              </w:rPr>
            </w:pPr>
            <w:r w:rsidRPr="00D4331C">
              <w:rPr>
                <w:rFonts w:ascii="Arial" w:hAnsi="Arial" w:cs="Arial"/>
                <w:b/>
                <w:sz w:val="18"/>
                <w:szCs w:val="18"/>
              </w:rPr>
              <w:t>Estimated additions in-service</w:t>
            </w:r>
            <w:r w:rsidR="0012183D">
              <w:rPr>
                <w:rFonts w:ascii="Arial" w:hAnsi="Arial" w:cs="Arial"/>
                <w:b/>
                <w:sz w:val="18"/>
                <w:szCs w:val="18"/>
              </w:rPr>
              <w:t xml:space="preserve"> </w:t>
            </w:r>
            <w:r w:rsidRPr="00D4331C">
              <w:rPr>
                <w:rFonts w:ascii="Arial" w:hAnsi="Arial" w:cs="Arial"/>
                <w:b/>
                <w:sz w:val="18"/>
                <w:szCs w:val="18"/>
              </w:rPr>
              <w:t>($ millions)</w:t>
            </w:r>
          </w:p>
        </w:tc>
        <w:tc>
          <w:tcPr>
            <w:tcW w:w="1057"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766</w:t>
            </w:r>
          </w:p>
        </w:tc>
        <w:tc>
          <w:tcPr>
            <w:tcW w:w="90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1,683</w:t>
            </w:r>
          </w:p>
        </w:tc>
        <w:tc>
          <w:tcPr>
            <w:tcW w:w="117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2,336</w:t>
            </w:r>
          </w:p>
        </w:tc>
        <w:tc>
          <w:tcPr>
            <w:tcW w:w="99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454</w:t>
            </w:r>
          </w:p>
        </w:tc>
      </w:tr>
      <w:tr w:rsidR="0012183D" w:rsidRPr="0012183D" w:rsidTr="00D77C66">
        <w:trPr>
          <w:cantSplit/>
          <w:jc w:val="center"/>
        </w:trPr>
        <w:tc>
          <w:tcPr>
            <w:tcW w:w="4141"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rPr>
                <w:rFonts w:ascii="Arial" w:hAnsi="Arial" w:cs="Arial"/>
                <w:b/>
                <w:sz w:val="18"/>
                <w:szCs w:val="18"/>
              </w:rPr>
            </w:pPr>
            <w:r w:rsidRPr="00D4331C">
              <w:rPr>
                <w:rFonts w:ascii="Arial" w:hAnsi="Arial" w:cs="Arial"/>
                <w:b/>
                <w:sz w:val="18"/>
                <w:szCs w:val="18"/>
              </w:rPr>
              <w:t>Forecasted revenue requirement ($ millions)</w:t>
            </w:r>
          </w:p>
        </w:tc>
        <w:tc>
          <w:tcPr>
            <w:tcW w:w="1057"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127</w:t>
            </w:r>
          </w:p>
        </w:tc>
        <w:tc>
          <w:tcPr>
            <w:tcW w:w="90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281</w:t>
            </w:r>
          </w:p>
        </w:tc>
        <w:tc>
          <w:tcPr>
            <w:tcW w:w="117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400</w:t>
            </w:r>
          </w:p>
        </w:tc>
        <w:tc>
          <w:tcPr>
            <w:tcW w:w="99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73</w:t>
            </w:r>
          </w:p>
        </w:tc>
      </w:tr>
      <w:tr w:rsidR="007364D5" w:rsidRPr="0012183D" w:rsidTr="00D77C66">
        <w:trPr>
          <w:cantSplit/>
          <w:jc w:val="center"/>
        </w:trPr>
        <w:tc>
          <w:tcPr>
            <w:tcW w:w="4141" w:type="dxa"/>
            <w:shd w:val="clear" w:color="auto" w:fill="auto"/>
            <w:tcMar>
              <w:top w:w="58" w:type="dxa"/>
              <w:left w:w="115" w:type="dxa"/>
              <w:bottom w:w="58" w:type="dxa"/>
              <w:right w:w="115" w:type="dxa"/>
            </w:tcMar>
            <w:vAlign w:val="center"/>
            <w:hideMark/>
          </w:tcPr>
          <w:p w:rsidR="003F3D84" w:rsidRDefault="00D4331C">
            <w:pPr>
              <w:keepNext/>
              <w:keepLines/>
              <w:spacing w:after="0" w:line="240" w:lineRule="atLeast"/>
              <w:rPr>
                <w:rFonts w:ascii="Arial" w:hAnsi="Arial" w:cs="Arial"/>
                <w:b/>
                <w:sz w:val="18"/>
                <w:szCs w:val="18"/>
              </w:rPr>
            </w:pPr>
            <w:r w:rsidRPr="00D4331C">
              <w:rPr>
                <w:rFonts w:ascii="Arial" w:hAnsi="Arial" w:cs="Arial"/>
                <w:b/>
                <w:sz w:val="18"/>
                <w:szCs w:val="18"/>
              </w:rPr>
              <w:t>Estimated RNS rate impact</w:t>
            </w:r>
            <w:r w:rsidR="0012183D">
              <w:rPr>
                <w:rFonts w:ascii="Arial" w:hAnsi="Arial" w:cs="Arial"/>
                <w:b/>
                <w:sz w:val="18"/>
                <w:szCs w:val="18"/>
              </w:rPr>
              <w:t xml:space="preserve"> </w:t>
            </w:r>
            <w:r w:rsidRPr="00D4331C">
              <w:rPr>
                <w:rFonts w:ascii="Arial" w:hAnsi="Arial" w:cs="Arial"/>
                <w:b/>
                <w:sz w:val="18"/>
                <w:szCs w:val="18"/>
              </w:rPr>
              <w:t>($/kW-year)</w:t>
            </w:r>
          </w:p>
        </w:tc>
        <w:tc>
          <w:tcPr>
            <w:tcW w:w="1057"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7</w:t>
            </w:r>
          </w:p>
        </w:tc>
        <w:tc>
          <w:tcPr>
            <w:tcW w:w="90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14</w:t>
            </w:r>
          </w:p>
        </w:tc>
        <w:tc>
          <w:tcPr>
            <w:tcW w:w="117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21</w:t>
            </w:r>
          </w:p>
        </w:tc>
        <w:tc>
          <w:tcPr>
            <w:tcW w:w="990"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4</w:t>
            </w:r>
          </w:p>
        </w:tc>
      </w:tr>
      <w:tr w:rsidR="0012183D" w:rsidRPr="0012183D" w:rsidTr="00D77C66">
        <w:trPr>
          <w:cantSplit/>
          <w:jc w:val="center"/>
        </w:trPr>
        <w:tc>
          <w:tcPr>
            <w:tcW w:w="4141"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rPr>
                <w:rFonts w:ascii="Arial" w:hAnsi="Arial" w:cs="Arial"/>
                <w:b/>
                <w:sz w:val="18"/>
                <w:szCs w:val="18"/>
              </w:rPr>
            </w:pPr>
            <w:r w:rsidRPr="00D4331C">
              <w:rPr>
                <w:rFonts w:ascii="Arial" w:hAnsi="Arial" w:cs="Arial"/>
                <w:b/>
                <w:sz w:val="18"/>
                <w:szCs w:val="18"/>
              </w:rPr>
              <w:t>Estimated RNS rate forecast ($/kW-year)</w:t>
            </w:r>
          </w:p>
        </w:tc>
        <w:tc>
          <w:tcPr>
            <w:tcW w:w="1057"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71</w:t>
            </w:r>
          </w:p>
        </w:tc>
        <w:tc>
          <w:tcPr>
            <w:tcW w:w="90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86</w:t>
            </w:r>
          </w:p>
        </w:tc>
        <w:tc>
          <w:tcPr>
            <w:tcW w:w="117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106</w:t>
            </w:r>
          </w:p>
        </w:tc>
        <w:tc>
          <w:tcPr>
            <w:tcW w:w="990" w:type="dxa"/>
            <w:shd w:val="clear" w:color="auto" w:fill="FDEED1" w:themeFill="background2" w:themeFillTint="33"/>
            <w:tcMar>
              <w:top w:w="58" w:type="dxa"/>
              <w:left w:w="115" w:type="dxa"/>
              <w:bottom w:w="58" w:type="dxa"/>
              <w:right w:w="115" w:type="dxa"/>
            </w:tcMar>
            <w:vAlign w:val="center"/>
            <w:hideMark/>
          </w:tcPr>
          <w:p w:rsidR="00ED42E1" w:rsidRPr="0012183D" w:rsidRDefault="00D4331C" w:rsidP="00EB4625">
            <w:pPr>
              <w:keepNext/>
              <w:keepLines/>
              <w:spacing w:after="0" w:line="240" w:lineRule="atLeast"/>
              <w:jc w:val="right"/>
              <w:rPr>
                <w:rFonts w:ascii="Arial" w:hAnsi="Arial" w:cs="Arial"/>
                <w:sz w:val="18"/>
                <w:szCs w:val="18"/>
              </w:rPr>
            </w:pPr>
            <w:r w:rsidRPr="00D4331C">
              <w:rPr>
                <w:rFonts w:ascii="Arial" w:hAnsi="Arial" w:cs="Arial"/>
                <w:sz w:val="18"/>
                <w:szCs w:val="18"/>
              </w:rPr>
              <w:t>110</w:t>
            </w:r>
          </w:p>
        </w:tc>
      </w:tr>
      <w:tr w:rsidR="007364D5" w:rsidRPr="0012183D" w:rsidTr="00D77C66">
        <w:trPr>
          <w:cantSplit/>
          <w:jc w:val="center"/>
        </w:trPr>
        <w:tc>
          <w:tcPr>
            <w:tcW w:w="4141" w:type="dxa"/>
            <w:shd w:val="clear" w:color="auto" w:fill="auto"/>
            <w:tcMar>
              <w:top w:w="58" w:type="dxa"/>
              <w:left w:w="115" w:type="dxa"/>
              <w:bottom w:w="58" w:type="dxa"/>
              <w:right w:w="115" w:type="dxa"/>
            </w:tcMar>
            <w:vAlign w:val="center"/>
            <w:hideMark/>
          </w:tcPr>
          <w:p w:rsidR="00ED42E1" w:rsidRPr="0012183D" w:rsidRDefault="00D4331C" w:rsidP="00EB4625">
            <w:pPr>
              <w:keepNext/>
              <w:keepLines/>
              <w:spacing w:after="0" w:line="240" w:lineRule="atLeast"/>
              <w:rPr>
                <w:rFonts w:ascii="Arial" w:hAnsi="Arial" w:cs="Arial"/>
                <w:sz w:val="18"/>
                <w:szCs w:val="18"/>
              </w:rPr>
            </w:pPr>
            <w:r w:rsidRPr="00BD0CDC">
              <w:rPr>
                <w:rFonts w:ascii="Arial" w:hAnsi="Arial" w:cs="Arial"/>
                <w:b/>
                <w:sz w:val="18"/>
                <w:szCs w:val="18"/>
              </w:rPr>
              <w:t>Estimated RNS rate forecast ($/kWh)</w:t>
            </w:r>
            <w:r w:rsidRPr="00BD0CDC">
              <w:rPr>
                <w:rFonts w:ascii="Arial" w:hAnsi="Arial" w:cs="Arial"/>
                <w:b/>
                <w:sz w:val="18"/>
                <w:szCs w:val="18"/>
                <w:vertAlign w:val="superscript"/>
              </w:rPr>
              <w:t>(</w:t>
            </w:r>
            <w:r w:rsidR="001614A6" w:rsidRPr="00BD0CDC">
              <w:rPr>
                <w:rFonts w:ascii="Arial" w:hAnsi="Arial" w:cs="Arial"/>
                <w:b/>
                <w:sz w:val="18"/>
                <w:szCs w:val="18"/>
                <w:vertAlign w:val="superscript"/>
              </w:rPr>
              <w:t>d</w:t>
            </w:r>
            <w:r w:rsidRPr="00BD0CDC">
              <w:rPr>
                <w:rFonts w:ascii="Arial" w:hAnsi="Arial" w:cs="Arial"/>
                <w:b/>
                <w:sz w:val="18"/>
                <w:szCs w:val="18"/>
                <w:vertAlign w:val="superscript"/>
              </w:rPr>
              <w:t>)</w:t>
            </w:r>
          </w:p>
        </w:tc>
        <w:tc>
          <w:tcPr>
            <w:tcW w:w="1057" w:type="dxa"/>
            <w:shd w:val="clear" w:color="auto" w:fill="auto"/>
            <w:tcMar>
              <w:top w:w="58" w:type="dxa"/>
              <w:left w:w="115" w:type="dxa"/>
              <w:bottom w:w="58" w:type="dxa"/>
              <w:right w:w="115" w:type="dxa"/>
            </w:tcMar>
            <w:vAlign w:val="center"/>
            <w:hideMark/>
          </w:tcPr>
          <w:p w:rsidR="00F158B9" w:rsidRDefault="00D4331C">
            <w:pPr>
              <w:keepNext/>
              <w:keepLines/>
              <w:spacing w:after="0" w:line="240" w:lineRule="atLeast"/>
              <w:jc w:val="right"/>
              <w:rPr>
                <w:rFonts w:ascii="Arial" w:hAnsi="Arial" w:cs="Arial"/>
                <w:sz w:val="18"/>
                <w:szCs w:val="18"/>
              </w:rPr>
            </w:pPr>
            <w:r w:rsidRPr="00D4331C">
              <w:rPr>
                <w:rFonts w:ascii="Arial" w:hAnsi="Arial" w:cs="Arial"/>
                <w:sz w:val="18"/>
                <w:szCs w:val="18"/>
              </w:rPr>
              <w:t>0.014</w:t>
            </w:r>
          </w:p>
        </w:tc>
        <w:tc>
          <w:tcPr>
            <w:tcW w:w="900" w:type="dxa"/>
            <w:shd w:val="clear" w:color="auto" w:fill="auto"/>
            <w:tcMar>
              <w:top w:w="58" w:type="dxa"/>
              <w:left w:w="115" w:type="dxa"/>
              <w:bottom w:w="58" w:type="dxa"/>
              <w:right w:w="115" w:type="dxa"/>
            </w:tcMar>
            <w:vAlign w:val="center"/>
            <w:hideMark/>
          </w:tcPr>
          <w:p w:rsidR="00F158B9" w:rsidRDefault="00D4331C">
            <w:pPr>
              <w:keepNext/>
              <w:keepLines/>
              <w:spacing w:after="0" w:line="240" w:lineRule="atLeast"/>
              <w:jc w:val="right"/>
              <w:rPr>
                <w:rFonts w:ascii="Arial" w:hAnsi="Arial" w:cs="Arial"/>
                <w:sz w:val="18"/>
                <w:szCs w:val="18"/>
              </w:rPr>
            </w:pPr>
            <w:r w:rsidRPr="00D4331C">
              <w:rPr>
                <w:rFonts w:ascii="Arial" w:hAnsi="Arial" w:cs="Arial"/>
                <w:sz w:val="18"/>
                <w:szCs w:val="18"/>
              </w:rPr>
              <w:t>0.016</w:t>
            </w:r>
          </w:p>
        </w:tc>
        <w:tc>
          <w:tcPr>
            <w:tcW w:w="1170" w:type="dxa"/>
            <w:shd w:val="clear" w:color="auto" w:fill="auto"/>
            <w:tcMar>
              <w:top w:w="58" w:type="dxa"/>
              <w:left w:w="115" w:type="dxa"/>
              <w:bottom w:w="58" w:type="dxa"/>
              <w:right w:w="115" w:type="dxa"/>
            </w:tcMar>
            <w:vAlign w:val="center"/>
            <w:hideMark/>
          </w:tcPr>
          <w:p w:rsidR="00F158B9" w:rsidRDefault="00D4331C">
            <w:pPr>
              <w:keepNext/>
              <w:keepLines/>
              <w:spacing w:after="0" w:line="240" w:lineRule="atLeast"/>
              <w:jc w:val="right"/>
              <w:rPr>
                <w:rFonts w:ascii="Arial" w:hAnsi="Arial" w:cs="Arial"/>
                <w:sz w:val="18"/>
                <w:szCs w:val="18"/>
              </w:rPr>
            </w:pPr>
            <w:r w:rsidRPr="00D4331C">
              <w:rPr>
                <w:rFonts w:ascii="Arial" w:hAnsi="Arial" w:cs="Arial"/>
                <w:sz w:val="18"/>
                <w:szCs w:val="18"/>
              </w:rPr>
              <w:t>0.020</w:t>
            </w:r>
          </w:p>
        </w:tc>
        <w:tc>
          <w:tcPr>
            <w:tcW w:w="990" w:type="dxa"/>
            <w:shd w:val="clear" w:color="auto" w:fill="auto"/>
            <w:tcMar>
              <w:top w:w="58" w:type="dxa"/>
              <w:left w:w="115" w:type="dxa"/>
              <w:bottom w:w="58" w:type="dxa"/>
              <w:right w:w="115" w:type="dxa"/>
            </w:tcMar>
            <w:vAlign w:val="center"/>
            <w:hideMark/>
          </w:tcPr>
          <w:p w:rsidR="00F158B9" w:rsidRDefault="00D4331C">
            <w:pPr>
              <w:keepNext/>
              <w:keepLines/>
              <w:spacing w:after="0" w:line="240" w:lineRule="atLeast"/>
              <w:jc w:val="right"/>
              <w:rPr>
                <w:rFonts w:ascii="Arial" w:hAnsi="Arial" w:cs="Arial"/>
                <w:sz w:val="18"/>
                <w:szCs w:val="18"/>
              </w:rPr>
            </w:pPr>
            <w:r w:rsidRPr="00D4331C">
              <w:rPr>
                <w:rFonts w:ascii="Arial" w:hAnsi="Arial" w:cs="Arial"/>
                <w:sz w:val="18"/>
                <w:szCs w:val="18"/>
              </w:rPr>
              <w:t>0.021</w:t>
            </w:r>
          </w:p>
        </w:tc>
      </w:tr>
    </w:tbl>
    <w:p w:rsidR="00F158B9" w:rsidRDefault="00D4331C" w:rsidP="00244858">
      <w:pPr>
        <w:keepNext/>
        <w:keepLines/>
        <w:tabs>
          <w:tab w:val="left" w:pos="8730"/>
        </w:tabs>
        <w:spacing w:before="120" w:after="80" w:line="240" w:lineRule="auto"/>
        <w:ind w:left="810" w:right="634" w:hanging="270"/>
        <w:rPr>
          <w:rFonts w:ascii="Arial" w:hAnsi="Arial" w:cs="Arial"/>
          <w:sz w:val="16"/>
          <w:szCs w:val="16"/>
        </w:rPr>
      </w:pPr>
      <w:r w:rsidRPr="00D4331C">
        <w:rPr>
          <w:rFonts w:ascii="Arial" w:hAnsi="Arial" w:cs="Arial"/>
          <w:sz w:val="16"/>
          <w:szCs w:val="16"/>
        </w:rPr>
        <w:t>(a)</w:t>
      </w:r>
      <w:r w:rsidR="0076739E">
        <w:rPr>
          <w:rFonts w:ascii="Arial" w:hAnsi="Arial" w:cs="Arial"/>
          <w:sz w:val="16"/>
          <w:szCs w:val="16"/>
        </w:rPr>
        <w:t xml:space="preserve"> </w:t>
      </w:r>
      <w:r w:rsidR="00D70F17">
        <w:rPr>
          <w:rFonts w:ascii="Arial" w:hAnsi="Arial" w:cs="Arial"/>
          <w:sz w:val="16"/>
          <w:szCs w:val="16"/>
        </w:rPr>
        <w:tab/>
      </w:r>
      <w:r w:rsidRPr="00D4331C">
        <w:rPr>
          <w:rFonts w:ascii="Arial" w:hAnsi="Arial" w:cs="Arial"/>
          <w:sz w:val="16"/>
          <w:szCs w:val="16"/>
        </w:rPr>
        <w:t>The forecast is preliminary and for illustrative purposes only. It reflects gross costs and is based on a number of assumptions and variables, including, among others, estimated project need, design, scope, and labor and materials costs; inflation; site and</w:t>
      </w:r>
      <w:r w:rsidR="0076739E">
        <w:rPr>
          <w:rFonts w:ascii="Arial" w:hAnsi="Arial" w:cs="Arial"/>
          <w:sz w:val="16"/>
          <w:szCs w:val="16"/>
        </w:rPr>
        <w:t xml:space="preserve"> </w:t>
      </w:r>
      <w:r w:rsidRPr="00D4331C">
        <w:rPr>
          <w:rFonts w:ascii="Arial" w:hAnsi="Arial" w:cs="Arial"/>
          <w:sz w:val="16"/>
          <w:szCs w:val="16"/>
        </w:rPr>
        <w:t xml:space="preserve">permitting approvals; transmission in-service dates; estimated carrying charges; and coincident peak network loads. It does not include assumptions pertaining to savings (e.g., those associated </w:t>
      </w:r>
      <w:r w:rsidRPr="00BB67D8">
        <w:rPr>
          <w:rFonts w:ascii="Arial" w:hAnsi="Arial" w:cs="Arial"/>
          <w:sz w:val="16"/>
          <w:szCs w:val="16"/>
        </w:rPr>
        <w:t xml:space="preserve">with </w:t>
      </w:r>
      <w:r w:rsidR="00BB67D8" w:rsidRPr="00BB67D8">
        <w:rPr>
          <w:rFonts w:ascii="Arial" w:hAnsi="Arial" w:cs="Arial"/>
          <w:sz w:val="16"/>
          <w:szCs w:val="16"/>
        </w:rPr>
        <w:t xml:space="preserve">reduced </w:t>
      </w:r>
      <w:r w:rsidRPr="00BB67D8">
        <w:rPr>
          <w:rFonts w:ascii="Arial" w:hAnsi="Arial" w:cs="Arial"/>
          <w:sz w:val="16"/>
          <w:szCs w:val="16"/>
        </w:rPr>
        <w:t>congestion or capacity</w:t>
      </w:r>
      <w:r w:rsidR="00BB67D8" w:rsidRPr="00BB67D8">
        <w:rPr>
          <w:rFonts w:ascii="Arial" w:hAnsi="Arial" w:cs="Arial"/>
          <w:sz w:val="16"/>
          <w:szCs w:val="16"/>
        </w:rPr>
        <w:t xml:space="preserve"> costs to load</w:t>
      </w:r>
      <w:r w:rsidRPr="00BB67D8">
        <w:rPr>
          <w:rFonts w:ascii="Arial" w:hAnsi="Arial" w:cs="Arial"/>
          <w:sz w:val="16"/>
          <w:szCs w:val="16"/>
        </w:rPr>
        <w:t>) or</w:t>
      </w:r>
      <w:r w:rsidRPr="00D4331C">
        <w:rPr>
          <w:rFonts w:ascii="Arial" w:hAnsi="Arial" w:cs="Arial"/>
          <w:sz w:val="16"/>
          <w:szCs w:val="16"/>
        </w:rPr>
        <w:t xml:space="preserve"> prior</w:t>
      </w:r>
      <w:r w:rsidR="00A222C6">
        <w:rPr>
          <w:rFonts w:ascii="Arial" w:hAnsi="Arial" w:cs="Arial"/>
          <w:sz w:val="16"/>
          <w:szCs w:val="16"/>
        </w:rPr>
        <w:t>-</w:t>
      </w:r>
      <w:r w:rsidRPr="00D4331C">
        <w:rPr>
          <w:rFonts w:ascii="Arial" w:hAnsi="Arial" w:cs="Arial"/>
          <w:sz w:val="16"/>
          <w:szCs w:val="16"/>
        </w:rPr>
        <w:t>year true-up adjustments. Therefore, such estimates and assumptions are expected to change as current data become available.</w:t>
      </w:r>
      <w:r w:rsidR="00200BC2">
        <w:rPr>
          <w:rFonts w:ascii="Arial" w:hAnsi="Arial" w:cs="Arial"/>
          <w:sz w:val="16"/>
          <w:szCs w:val="16"/>
        </w:rPr>
        <w:t xml:space="preserve"> Contact ISO Customer Service at </w:t>
      </w:r>
      <w:r w:rsidR="00200BC2" w:rsidRPr="00200BC2">
        <w:rPr>
          <w:rFonts w:ascii="Arial" w:hAnsi="Arial" w:cs="Arial"/>
          <w:sz w:val="16"/>
          <w:szCs w:val="16"/>
        </w:rPr>
        <w:t>(413) 540</w:t>
      </w:r>
      <w:r w:rsidR="00200BC2">
        <w:rPr>
          <w:rFonts w:ascii="Arial" w:hAnsi="Arial" w:cs="Arial"/>
          <w:sz w:val="16"/>
          <w:szCs w:val="16"/>
        </w:rPr>
        <w:t>-</w:t>
      </w:r>
      <w:r w:rsidR="00200BC2" w:rsidRPr="00200BC2">
        <w:rPr>
          <w:rFonts w:ascii="Arial" w:hAnsi="Arial" w:cs="Arial"/>
          <w:sz w:val="16"/>
          <w:szCs w:val="16"/>
        </w:rPr>
        <w:t>4220</w:t>
      </w:r>
      <w:r w:rsidR="00200BC2">
        <w:rPr>
          <w:rFonts w:ascii="Arial" w:hAnsi="Arial" w:cs="Arial"/>
          <w:sz w:val="16"/>
          <w:szCs w:val="16"/>
        </w:rPr>
        <w:t xml:space="preserve"> for additional information about the RNS rate forecast</w:t>
      </w:r>
      <w:r w:rsidR="00200BC2" w:rsidRPr="00200BC2">
        <w:rPr>
          <w:rFonts w:ascii="Arial" w:hAnsi="Arial" w:cs="Arial"/>
          <w:sz w:val="16"/>
          <w:szCs w:val="16"/>
        </w:rPr>
        <w:t>.</w:t>
      </w:r>
    </w:p>
    <w:p w:rsidR="00F158B9" w:rsidRDefault="00D4331C" w:rsidP="00244858">
      <w:pPr>
        <w:keepNext/>
        <w:keepLines/>
        <w:tabs>
          <w:tab w:val="left" w:pos="8730"/>
        </w:tabs>
        <w:spacing w:before="120" w:after="80" w:line="240" w:lineRule="auto"/>
        <w:ind w:left="810" w:right="634" w:hanging="270"/>
        <w:rPr>
          <w:rFonts w:ascii="Arial" w:hAnsi="Arial" w:cs="Arial"/>
          <w:sz w:val="16"/>
          <w:szCs w:val="16"/>
        </w:rPr>
      </w:pPr>
      <w:r w:rsidRPr="00D4331C">
        <w:rPr>
          <w:rFonts w:ascii="Arial" w:hAnsi="Arial" w:cs="Arial"/>
          <w:sz w:val="16"/>
          <w:szCs w:val="16"/>
        </w:rPr>
        <w:t xml:space="preserve">(b) </w:t>
      </w:r>
      <w:r w:rsidR="00D70F17">
        <w:rPr>
          <w:rFonts w:ascii="Arial" w:hAnsi="Arial" w:cs="Arial"/>
          <w:sz w:val="16"/>
          <w:szCs w:val="16"/>
        </w:rPr>
        <w:tab/>
      </w:r>
      <w:r w:rsidRPr="00D4331C">
        <w:rPr>
          <w:rFonts w:ascii="Arial" w:hAnsi="Arial" w:cs="Arial"/>
          <w:sz w:val="16"/>
          <w:szCs w:val="16"/>
        </w:rPr>
        <w:t>The figures may be off slightly because of rounding.</w:t>
      </w:r>
    </w:p>
    <w:p w:rsidR="00F158B9" w:rsidRDefault="00D4331C" w:rsidP="00244858">
      <w:pPr>
        <w:keepNext/>
        <w:keepLines/>
        <w:tabs>
          <w:tab w:val="left" w:pos="8910"/>
        </w:tabs>
        <w:spacing w:after="80" w:line="240" w:lineRule="auto"/>
        <w:ind w:left="810" w:right="634" w:hanging="270"/>
        <w:rPr>
          <w:rFonts w:ascii="Arial" w:hAnsi="Arial" w:cs="Arial"/>
          <w:sz w:val="16"/>
          <w:szCs w:val="16"/>
        </w:rPr>
      </w:pPr>
      <w:r w:rsidRPr="00D4331C">
        <w:rPr>
          <w:rFonts w:ascii="Arial" w:hAnsi="Arial" w:cs="Arial"/>
          <w:sz w:val="16"/>
          <w:szCs w:val="16"/>
        </w:rPr>
        <w:t>(c)</w:t>
      </w:r>
      <w:r w:rsidR="00D70F17">
        <w:rPr>
          <w:rFonts w:ascii="Arial" w:hAnsi="Arial" w:cs="Arial"/>
          <w:sz w:val="16"/>
          <w:szCs w:val="16"/>
        </w:rPr>
        <w:tab/>
      </w:r>
      <w:r w:rsidRPr="00D4331C">
        <w:rPr>
          <w:rFonts w:ascii="Arial" w:hAnsi="Arial" w:cs="Arial"/>
          <w:sz w:val="16"/>
          <w:szCs w:val="16"/>
        </w:rPr>
        <w:t xml:space="preserve"> Information was taken from the PTO AC Work Group Presentation at the NEPOOL Reliability Committee/</w:t>
      </w:r>
      <w:r w:rsidR="00244858">
        <w:rPr>
          <w:rFonts w:ascii="Arial" w:hAnsi="Arial" w:cs="Arial"/>
          <w:sz w:val="16"/>
          <w:szCs w:val="16"/>
        </w:rPr>
        <w:t xml:space="preserve"> </w:t>
      </w:r>
      <w:r w:rsidRPr="00D4331C">
        <w:rPr>
          <w:rFonts w:ascii="Arial" w:hAnsi="Arial" w:cs="Arial"/>
          <w:sz w:val="16"/>
          <w:szCs w:val="16"/>
        </w:rPr>
        <w:t xml:space="preserve">Transmission Committee Summer Meeting (August 16–17, 2010); further details are available at </w:t>
      </w:r>
      <w:hyperlink r:id="rId37" w:history="1">
        <w:r w:rsidRPr="00E6628F">
          <w:rPr>
            <w:rStyle w:val="Hyperlink"/>
            <w:rFonts w:ascii="Arial" w:hAnsi="Arial" w:cs="Arial"/>
            <w:color w:val="auto"/>
            <w:sz w:val="16"/>
            <w:szCs w:val="16"/>
            <w:u w:val="none"/>
          </w:rPr>
          <w:t>http://www.iso-ne.com/committees/comm_wkgrps/trans_comm/tariff_comm/mtrls/2010/aug16172010/a11_rns_rate_forecast_%202010_2014.pdf</w:t>
        </w:r>
      </w:hyperlink>
      <w:r w:rsidR="00B45083" w:rsidRPr="00E6628F">
        <w:rPr>
          <w:rFonts w:ascii="Arial" w:hAnsi="Arial" w:cs="Arial"/>
          <w:sz w:val="16"/>
          <w:szCs w:val="16"/>
        </w:rPr>
        <w:t>.</w:t>
      </w:r>
    </w:p>
    <w:p w:rsidR="009D1346" w:rsidRDefault="00D4331C" w:rsidP="00244858">
      <w:pPr>
        <w:tabs>
          <w:tab w:val="left" w:pos="8730"/>
        </w:tabs>
        <w:ind w:left="821" w:right="634" w:hanging="274"/>
        <w:rPr>
          <w:rFonts w:ascii="Arial" w:hAnsi="Arial" w:cs="Arial"/>
          <w:sz w:val="16"/>
          <w:szCs w:val="16"/>
        </w:rPr>
      </w:pPr>
      <w:r w:rsidRPr="00D4331C">
        <w:rPr>
          <w:rFonts w:ascii="Arial" w:hAnsi="Arial" w:cs="Arial"/>
          <w:sz w:val="16"/>
          <w:szCs w:val="16"/>
        </w:rPr>
        <w:t>(d)</w:t>
      </w:r>
      <w:r w:rsidRPr="00D4331C">
        <w:rPr>
          <w:rFonts w:ascii="Arial" w:hAnsi="Arial" w:cs="Arial"/>
          <w:bCs/>
          <w:iCs/>
          <w:sz w:val="16"/>
          <w:szCs w:val="16"/>
        </w:rPr>
        <w:t xml:space="preserve"> </w:t>
      </w:r>
      <w:r w:rsidR="00D70F17">
        <w:rPr>
          <w:rFonts w:ascii="Arial" w:hAnsi="Arial" w:cs="Arial"/>
          <w:bCs/>
          <w:iCs/>
          <w:sz w:val="16"/>
          <w:szCs w:val="16"/>
        </w:rPr>
        <w:tab/>
      </w:r>
      <w:r w:rsidRPr="00D4331C">
        <w:rPr>
          <w:rFonts w:ascii="Arial" w:hAnsi="Arial" w:cs="Arial"/>
          <w:bCs/>
          <w:iCs/>
          <w:sz w:val="16"/>
          <w:szCs w:val="16"/>
        </w:rPr>
        <w:t>The estimated RNS rate forecast assumes a 60% load factor.</w:t>
      </w:r>
    </w:p>
    <w:p w:rsidR="002878A4" w:rsidRDefault="00D4331C" w:rsidP="009D1346">
      <w:pPr>
        <w:pStyle w:val="Heading2"/>
      </w:pPr>
      <w:bookmarkStart w:id="404" w:name="_Toc201669996"/>
      <w:bookmarkStart w:id="405" w:name="_Ref202093681"/>
      <w:bookmarkStart w:id="406" w:name="_Toc207531894"/>
      <w:bookmarkStart w:id="407" w:name="_Ref231194696"/>
      <w:bookmarkStart w:id="408" w:name="_Ref238982631"/>
      <w:bookmarkStart w:id="409" w:name="_Toc239157145"/>
      <w:bookmarkStart w:id="410" w:name="_Toc271632242"/>
      <w:r w:rsidRPr="00D4331C">
        <w:t>Transmission System Performance Nee</w:t>
      </w:r>
      <w:bookmarkEnd w:id="392"/>
      <w:bookmarkEnd w:id="393"/>
      <w:r w:rsidRPr="00D4331C">
        <w:t>ds</w:t>
      </w:r>
      <w:bookmarkEnd w:id="404"/>
      <w:bookmarkEnd w:id="405"/>
      <w:bookmarkEnd w:id="406"/>
      <w:bookmarkEnd w:id="407"/>
      <w:r w:rsidRPr="00D4331C">
        <w:t xml:space="preserve"> Assessments</w:t>
      </w:r>
      <w:r w:rsidRPr="00D4331C">
        <w:br/>
        <w:t>and Upgrade Approvals</w:t>
      </w:r>
      <w:bookmarkEnd w:id="408"/>
      <w:bookmarkEnd w:id="409"/>
      <w:bookmarkEnd w:id="410"/>
    </w:p>
    <w:p w:rsidR="009743D6" w:rsidRDefault="00832C7A" w:rsidP="009D1346">
      <w:pPr>
        <w:keepNext/>
        <w:keepLines/>
      </w:pPr>
      <w:r>
        <w:rPr>
          <w:noProof/>
          <w:lang w:eastAsia="zh-TW"/>
        </w:rPr>
        <w:pict>
          <v:shape id="_x0000_s1049" type="#_x0000_t202" style="position:absolute;margin-left:8227.3pt;margin-top:10.1pt;width:218.85pt;height:263.4pt;z-index:251758592;mso-wrap-distance-top:7.2pt;mso-wrap-distance-bottom:7.2pt;mso-position-horizontal:right;mso-position-horizontal-relative:margin;mso-width-relative:margin;mso-height-relative:margin;v-text-anchor:middle" fillcolor="#f2f2f2 [3052]" strokecolor="black [3213]" strokeweight=".25pt">
            <v:textbox style="mso-next-textbox:#_x0000_s1049">
              <w:txbxContent>
                <w:p w:rsidR="003C78A4" w:rsidRDefault="003C78A4" w:rsidP="00055DB2">
                  <w:pPr>
                    <w:pStyle w:val="BodyText1"/>
                    <w:rPr>
                      <w:rFonts w:cs="Arial"/>
                      <w:szCs w:val="16"/>
                    </w:rPr>
                  </w:pPr>
                  <w:r w:rsidRPr="00055DB2">
                    <w:rPr>
                      <w:rFonts w:cs="Arial"/>
                      <w:szCs w:val="16"/>
                    </w:rPr>
                    <w:t>“</w:t>
                  </w:r>
                  <w:r w:rsidRPr="00987991">
                    <w:rPr>
                      <w:rFonts w:cs="Arial"/>
                      <w:szCs w:val="16"/>
                    </w:rPr>
                    <w:t>The RSP shall, among other things:</w:t>
                  </w:r>
                  <w:r>
                    <w:rPr>
                      <w:rFonts w:cs="Arial"/>
                      <w:szCs w:val="16"/>
                    </w:rPr>
                    <w:t xml:space="preserve"> </w:t>
                  </w:r>
                </w:p>
                <w:p w:rsidR="003C78A4" w:rsidRPr="00055DB2" w:rsidRDefault="003C78A4" w:rsidP="00055DB2">
                  <w:pPr>
                    <w:pStyle w:val="BodyText1"/>
                    <w:rPr>
                      <w:rFonts w:cs="Arial"/>
                      <w:szCs w:val="16"/>
                    </w:rPr>
                  </w:pPr>
                  <w:r w:rsidRPr="00987991">
                    <w:rPr>
                      <w:rFonts w:cs="Arial"/>
                      <w:szCs w:val="16"/>
                    </w:rPr>
                    <w:t>describe, in a consolidated manner, the assessment of the PTF system needs, the results of such assessments, and the projected improvements;”</w:t>
                  </w:r>
                </w:p>
                <w:p w:rsidR="003C78A4" w:rsidRPr="00055DB2" w:rsidRDefault="003C78A4" w:rsidP="00055DB2">
                  <w:pPr>
                    <w:pStyle w:val="BodyText1"/>
                    <w:rPr>
                      <w:rFonts w:cs="Arial"/>
                      <w:szCs w:val="16"/>
                    </w:rPr>
                  </w:pPr>
                  <w:r w:rsidRPr="00987991">
                    <w:rPr>
                      <w:rFonts w:cs="Arial"/>
                      <w:szCs w:val="16"/>
                    </w:rPr>
                    <w:t>The following additional provisions are addressed by this section, which are supplemented by the detailed study documents referenced in this section,</w:t>
                  </w:r>
                </w:p>
                <w:p w:rsidR="003C78A4" w:rsidRPr="00055DB2" w:rsidRDefault="003C78A4" w:rsidP="00055DB2">
                  <w:pPr>
                    <w:pStyle w:val="BodyText1"/>
                    <w:rPr>
                      <w:rFonts w:cs="Arial"/>
                      <w:szCs w:val="16"/>
                    </w:rPr>
                  </w:pPr>
                  <w:r w:rsidRPr="00987991">
                    <w:rPr>
                      <w:rFonts w:cs="Arial"/>
                      <w:szCs w:val="16"/>
                    </w:rPr>
                    <w:t>“(iii) specify the physical characteristics of the physical solutions that can meet the needs defined in the Needs Assessments and include information on market responses that can address them; and</w:t>
                  </w:r>
                </w:p>
                <w:p w:rsidR="003C78A4" w:rsidRPr="00055DB2" w:rsidRDefault="003C78A4" w:rsidP="00055DB2">
                  <w:pPr>
                    <w:pStyle w:val="BodyText1"/>
                    <w:rPr>
                      <w:rFonts w:cs="Arial"/>
                      <w:szCs w:val="16"/>
                    </w:rPr>
                  </w:pPr>
                  <w:r w:rsidRPr="00987991">
                    <w:rPr>
                      <w:rFonts w:cs="Arial"/>
                      <w:szCs w:val="16"/>
                    </w:rPr>
                    <w:t>(iv) provide sufficient information to allow Market Participants to assess the quantity, general locations, operating characteristics and required availability criteria of the type of incremental supply or demand-side resources, or merchant transmission projects, that would satisfy the identified needs or that may serve to modify, offset or defer proposed regulated transmission upgrades.”</w:t>
                  </w:r>
                  <w:r w:rsidRPr="00D671D4">
                    <w:rPr>
                      <w:rFonts w:cs="Arial"/>
                      <w:szCs w:val="16"/>
                    </w:rPr>
                    <w:t xml:space="preserve"> </w:t>
                  </w:r>
                  <w:r w:rsidRPr="00987991">
                    <w:rPr>
                      <w:rFonts w:cs="Arial"/>
                      <w:szCs w:val="16"/>
                    </w:rPr>
                    <w:t>(Attachment K, §</w:t>
                  </w:r>
                  <w:r>
                    <w:rPr>
                      <w:rFonts w:cs="Arial"/>
                      <w:szCs w:val="16"/>
                    </w:rPr>
                    <w:t xml:space="preserve"> 3.1</w:t>
                  </w:r>
                  <w:r w:rsidRPr="00987991">
                    <w:rPr>
                      <w:rFonts w:cs="Arial"/>
                      <w:szCs w:val="16"/>
                    </w:rPr>
                    <w:t>)</w:t>
                  </w:r>
                </w:p>
                <w:p w:rsidR="003C78A4" w:rsidRPr="00BB009A" w:rsidRDefault="003C78A4" w:rsidP="00055DB2">
                  <w:pPr>
                    <w:pStyle w:val="BodyText1"/>
                    <w:rPr>
                      <w:rFonts w:cs="Arial"/>
                      <w:szCs w:val="16"/>
                    </w:rPr>
                  </w:pPr>
                  <w:r w:rsidRPr="00987991">
                    <w:rPr>
                      <w:rFonts w:cs="Arial"/>
                      <w:szCs w:val="16"/>
                    </w:rPr>
                    <w:t>Also, “The results of Solutions Studies will…be reflected in the RSP and/or its Project List</w:t>
                  </w:r>
                  <w:r>
                    <w:rPr>
                      <w:rFonts w:cs="Arial"/>
                      <w:szCs w:val="16"/>
                    </w:rPr>
                    <w:t xml:space="preserve"> . . . </w:t>
                  </w:r>
                  <w:r w:rsidRPr="00987991">
                    <w:rPr>
                      <w:rFonts w:cs="Arial"/>
                      <w:szCs w:val="16"/>
                    </w:rPr>
                    <w:t>” (Attachment K, §</w:t>
                  </w:r>
                  <w:r>
                    <w:rPr>
                      <w:rFonts w:cs="Arial"/>
                      <w:szCs w:val="16"/>
                    </w:rPr>
                    <w:t> </w:t>
                  </w:r>
                  <w:r w:rsidRPr="00987991">
                    <w:rPr>
                      <w:rFonts w:cs="Arial"/>
                      <w:szCs w:val="16"/>
                    </w:rPr>
                    <w:t>4.2(e))</w:t>
                  </w:r>
                </w:p>
                <w:p w:rsidR="003C78A4" w:rsidRDefault="003C78A4"/>
              </w:txbxContent>
            </v:textbox>
            <w10:wrap type="square" anchorx="margin"/>
          </v:shape>
        </w:pict>
      </w:r>
      <w:r w:rsidR="00FB5C0D" w:rsidRPr="00FB5C0D">
        <w:t>The New</w:t>
      </w:r>
      <w:r w:rsidR="009743D6">
        <w:t xml:space="preserve"> England power system provides electricity to a diverse region, ranging from rural agricultural areas to densely populated urban areas, and it integrates widely dispersed and varied types of power supply resources. The geographic distribution of New England’s summer and winter peak loads is approximately 20% in the northern states of </w:t>
      </w:r>
      <w:smartTag w:uri="urn:schemas-microsoft-com:office:smarttags" w:element="State">
        <w:r w:rsidR="009743D6">
          <w:t>Maine</w:t>
        </w:r>
      </w:smartTag>
      <w:r w:rsidR="009743D6">
        <w:t xml:space="preserve">, </w:t>
      </w:r>
      <w:smartTag w:uri="urn:schemas-microsoft-com:office:smarttags" w:element="State">
        <w:r w:rsidR="009743D6">
          <w:t>New Hampshire</w:t>
        </w:r>
      </w:smartTag>
      <w:r w:rsidR="009743D6">
        <w:t xml:space="preserve">, and Vermont and 80% in the southern states of </w:t>
      </w:r>
      <w:smartTag w:uri="urn:schemas-microsoft-com:office:smarttags" w:element="State">
        <w:r w:rsidR="009743D6">
          <w:t>Massachusetts</w:t>
        </w:r>
      </w:smartTag>
      <w:r w:rsidR="009743D6">
        <w:t xml:space="preserve">, </w:t>
      </w:r>
      <w:smartTag w:uri="urn:schemas-microsoft-com:office:smarttags" w:element="State">
        <w:r w:rsidR="009743D6">
          <w:t>Connecticut</w:t>
        </w:r>
      </w:smartTag>
      <w:r w:rsidR="009743D6">
        <w:t xml:space="preserve">, and </w:t>
      </w:r>
      <w:smartTag w:uri="urn:schemas-microsoft-com:office:smarttags" w:element="State">
        <w:smartTag w:uri="urn:schemas-microsoft-com:office:smarttags" w:element="place">
          <w:r w:rsidR="009743D6">
            <w:t>Rhode Island</w:t>
          </w:r>
        </w:smartTag>
      </w:smartTag>
      <w:r w:rsidR="009743D6">
        <w:t>. Although the land area in the northern states is larger than the land area in the southern states, the greater urban development in southern New England creates the relatively larger dema</w:t>
      </w:r>
      <w:r w:rsidR="009743D6" w:rsidRPr="00AA3DE1">
        <w:t>nd and corresponding transmission density.</w:t>
      </w:r>
    </w:p>
    <w:p w:rsidR="0058340D" w:rsidRDefault="009743D6">
      <w:r>
        <w:t xml:space="preserve">The New England transmission system </w:t>
      </w:r>
      <w:r w:rsidR="00CB6C90">
        <w:t xml:space="preserve">consists </w:t>
      </w:r>
      <w:r>
        <w:t>of mostly 115 kV, 230 kV, and 345 kV transmission lines, which in northern New England are generally longer and fewer in number than in southern New England. The New England area has nine interconnections with New York: two 345 kV ties, one 230 kV tie, one 138 kV tie, three 115 kV ties, one 69 kV tie, and one 330 MW</w:t>
      </w:r>
      <w:r w:rsidR="0049300D">
        <w:t xml:space="preserve">, </w:t>
      </w:r>
      <w:r w:rsidRPr="002E7A00">
        <w:t xml:space="preserve">+/-150 kV </w:t>
      </w:r>
      <w:r w:rsidR="001A45E2">
        <w:t>high-voltage direct-current (</w:t>
      </w:r>
      <w:smartTag w:uri="urn:schemas-microsoft-com:office:smarttags" w:element="stockticker">
        <w:r w:rsidRPr="002E7A00">
          <w:t>HV</w:t>
        </w:r>
      </w:smartTag>
      <w:r w:rsidRPr="002E7A00">
        <w:t>DC</w:t>
      </w:r>
      <w:r w:rsidR="001A45E2">
        <w:t>)</w:t>
      </w:r>
      <w:r w:rsidRPr="002E7A00">
        <w:t xml:space="preserve"> tie.</w:t>
      </w:r>
    </w:p>
    <w:p w:rsidR="009743D6" w:rsidRDefault="009743D6" w:rsidP="00073277">
      <w:r>
        <w:t xml:space="preserve">Currently, New England and New Brunswick are connected through two 345 kV ties, the second of which was placed in service in December </w:t>
      </w:r>
      <w:r w:rsidRPr="00AF6E3E">
        <w:t>2007.</w:t>
      </w:r>
      <w:r w:rsidRPr="00DE65EE">
        <w:rPr>
          <w:rStyle w:val="FootnoteReference"/>
          <w:sz w:val="22"/>
        </w:rPr>
        <w:footnoteReference w:id="124"/>
      </w:r>
      <w:r>
        <w:t xml:space="preserve"> New England also has tw</w:t>
      </w:r>
      <w:smartTag w:uri="urn:schemas-microsoft-com:office:smarttags" w:element="stockticker">
        <w:r>
          <w:t xml:space="preserve">o </w:t>
        </w:r>
        <w:smartTag w:uri="urn:schemas-microsoft-com:office:smarttags" w:element="stockticker">
          <w:r>
            <w:t>HV</w:t>
          </w:r>
        </w:smartTag>
      </w:smartTag>
      <w:r>
        <w:t>DC interconnections with Québec: a 225 MW back-to-back converter at Highgate in northern Vermont and a ±450 k</w:t>
      </w:r>
      <w:smartTag w:uri="urn:schemas-microsoft-com:office:smarttags" w:element="stockticker">
        <w:r>
          <w:t xml:space="preserve">V </w:t>
        </w:r>
        <w:smartTag w:uri="urn:schemas-microsoft-com:office:smarttags" w:element="stockticker">
          <w:r>
            <w:t>HV</w:t>
          </w:r>
        </w:smartTag>
      </w:smartTag>
      <w:r>
        <w:t>DC line with terminal configurations allowing up to 2,000 MW to be delivered at Sandy Pond in Massachusetts.</w:t>
      </w:r>
    </w:p>
    <w:p w:rsidR="009743D6" w:rsidRPr="00C323B0" w:rsidRDefault="009743D6" w:rsidP="00B36436">
      <w:r w:rsidRPr="002E7A00">
        <w:t xml:space="preserve">The following sections summarize the </w:t>
      </w:r>
      <w:r w:rsidRPr="004D1064">
        <w:t xml:space="preserve">July </w:t>
      </w:r>
      <w:r>
        <w:t>2010</w:t>
      </w:r>
      <w:r w:rsidRPr="002E7A00">
        <w:t xml:space="preserve"> status of several transmission planning studies and the need for upgrades.</w:t>
      </w:r>
      <w:bookmarkStart w:id="411" w:name="_Ref174434235"/>
      <w:bookmarkStart w:id="412" w:name="_Toc176245051"/>
      <w:r>
        <w:rPr>
          <w:rStyle w:val="FootnoteReference"/>
          <w:sz w:val="22"/>
        </w:rPr>
        <w:footnoteReference w:id="125"/>
      </w:r>
    </w:p>
    <w:p w:rsidR="00441298" w:rsidRDefault="009743D6">
      <w:pPr>
        <w:pStyle w:val="Heading3"/>
      </w:pPr>
      <w:bookmarkStart w:id="413" w:name="_Toc201669997"/>
      <w:bookmarkStart w:id="414" w:name="_Toc207531895"/>
      <w:bookmarkStart w:id="415" w:name="_Ref236376286"/>
      <w:bookmarkStart w:id="416" w:name="_Toc239157146"/>
      <w:bookmarkStart w:id="417" w:name="_Toc271632243"/>
      <w:bookmarkStart w:id="418" w:name="_Ref173300925"/>
      <w:bookmarkStart w:id="419" w:name="_Toc176245052"/>
      <w:bookmarkStart w:id="420" w:name="_Toc201669998"/>
      <w:bookmarkStart w:id="421" w:name="_Ref202260271"/>
      <w:bookmarkStart w:id="422" w:name="_Ref202452852"/>
      <w:bookmarkStart w:id="423" w:name="_Toc207531896"/>
      <w:bookmarkEnd w:id="411"/>
      <w:bookmarkEnd w:id="412"/>
      <w:r w:rsidRPr="004D1064">
        <w:t>N</w:t>
      </w:r>
      <w:r>
        <w:t xml:space="preserve">orthern New </w:t>
      </w:r>
      <w:r w:rsidRPr="00F51C5F">
        <w:t>England</w:t>
      </w:r>
      <w:bookmarkEnd w:id="413"/>
      <w:bookmarkEnd w:id="414"/>
      <w:bookmarkEnd w:id="415"/>
      <w:bookmarkEnd w:id="416"/>
      <w:bookmarkEnd w:id="417"/>
      <w:r w:rsidRPr="00F51C5F">
        <w:t xml:space="preserve"> </w:t>
      </w:r>
    </w:p>
    <w:p w:rsidR="009743D6" w:rsidRDefault="009743D6" w:rsidP="00073277">
      <w:r w:rsidRPr="00F51C5F">
        <w:t>The northern New England (NNE</w:t>
      </w:r>
      <w:r>
        <w:t xml:space="preserve">) area encompasses the transmission system in </w:t>
      </w:r>
      <w:smartTag w:uri="urn:schemas-microsoft-com:office:smarttags" w:element="State">
        <w:r>
          <w:t>Maine</w:t>
        </w:r>
      </w:smartTag>
      <w:r>
        <w:t xml:space="preserve">, </w:t>
      </w:r>
      <w:smartTag w:uri="urn:schemas-microsoft-com:office:smarttags" w:element="State">
        <w:r>
          <w:t>New Hampshire</w:t>
        </w:r>
      </w:smartTag>
      <w:r>
        <w:t xml:space="preserve">, and </w:t>
      </w:r>
      <w:smartTag w:uri="urn:schemas-microsoft-com:office:smarttags" w:element="place">
        <w:smartTag w:uri="urn:schemas-microsoft-com:office:smarttags" w:element="State">
          <w:r>
            <w:t>Vermont</w:t>
          </w:r>
        </w:smartTag>
      </w:smartTag>
      <w:r w:rsidRPr="00DD0074">
        <w:t xml:space="preserve">. </w:t>
      </w:r>
      <w:r>
        <w:t>Studies of each of these states are being conducted to address the transmission system’s short- and long-term needs</w:t>
      </w:r>
      <w:r w:rsidRPr="00772D3A">
        <w:t>.</w:t>
      </w:r>
      <w:bookmarkStart w:id="424" w:name="_Ref174434275"/>
      <w:r w:rsidRPr="001F408C">
        <w:t xml:space="preserve"> </w:t>
      </w:r>
    </w:p>
    <w:p w:rsidR="00FC0261" w:rsidRDefault="009743D6" w:rsidP="00235A65">
      <w:pPr>
        <w:pStyle w:val="Heading4"/>
      </w:pPr>
      <w:bookmarkStart w:id="425" w:name="_Ref202520854"/>
      <w:r>
        <w:t>Northern New England Transmissi</w:t>
      </w:r>
      <w:bookmarkEnd w:id="424"/>
      <w:r>
        <w:t>on</w:t>
      </w:r>
      <w:bookmarkEnd w:id="425"/>
    </w:p>
    <w:p w:rsidR="009743D6" w:rsidRPr="00017D42" w:rsidRDefault="009743D6" w:rsidP="00073277">
      <w:r w:rsidRPr="0071320E">
        <w:t>With the Northeast Reliability Interconnection in service, New England and New Brunswick now have two 345 kV interconnections lead</w:t>
      </w:r>
      <w:r>
        <w:t>ing</w:t>
      </w:r>
      <w:r w:rsidRPr="0071320E">
        <w:t xml:space="preserve"> into a 345 kV corridor at Orrington, Maine</w:t>
      </w:r>
      <w:r>
        <w:t xml:space="preserve">. The corridor </w:t>
      </w:r>
      <w:r w:rsidRPr="0071320E">
        <w:t xml:space="preserve">spans hundreds of miles and eventually ties into </w:t>
      </w:r>
      <w:smartTag w:uri="urn:schemas-microsoft-com:office:smarttags" w:element="place">
        <w:smartTag w:uri="urn:schemas-microsoft-com:office:smarttags" w:element="State">
          <w:r w:rsidRPr="0071320E">
            <w:t>Massachusetts</w:t>
          </w:r>
        </w:smartTag>
      </w:smartTag>
      <w:r w:rsidRPr="007772DF">
        <w:t>. The transmission system through</w:t>
      </w:r>
      <w:r>
        <w:t>out</w:t>
      </w:r>
      <w:r w:rsidRPr="007772DF">
        <w:t xml:space="preserve"> northern New England is limited in capacity; it is</w:t>
      </w:r>
      <w:r>
        <w:t xml:space="preserve"> </w:t>
      </w:r>
      <w:r w:rsidRPr="007772DF">
        <w:t>weak in places and faces numerous transmission security concerns. Underlying the limited number of 345 kV</w:t>
      </w:r>
      <w:r w:rsidRPr="0071320E">
        <w:t xml:space="preserve"> transmission facilities are a number of old, low-capacity, and long 115 kV lines. These lines serve a geographically dispersed </w:t>
      </w:r>
      <w:r w:rsidRPr="001012A7">
        <w:t>load</w:t>
      </w:r>
      <w:r>
        <w:t xml:space="preserve"> </w:t>
      </w:r>
      <w:r w:rsidRPr="001012A7">
        <w:t xml:space="preserve">as well as the concentrated, more developed load centers in southern </w:t>
      </w:r>
      <w:smartTag w:uri="urn:schemas-microsoft-com:office:smarttags" w:element="State">
        <w:r w:rsidRPr="001012A7">
          <w:t>Maine</w:t>
        </w:r>
      </w:smartTag>
      <w:r w:rsidRPr="001012A7">
        <w:t xml:space="preserve">, southern </w:t>
      </w:r>
      <w:smartTag w:uri="urn:schemas-microsoft-com:office:smarttags" w:element="State">
        <w:r w:rsidRPr="001012A7">
          <w:t>New Hampshire</w:t>
        </w:r>
      </w:smartTag>
      <w:r>
        <w:t xml:space="preserve">, and northwestern </w:t>
      </w:r>
      <w:smartTag w:uri="urn:schemas-microsoft-com:office:smarttags" w:element="place">
        <w:smartTag w:uri="urn:schemas-microsoft-com:office:smarttags" w:element="State">
          <w:r>
            <w:t>Vermont</w:t>
          </w:r>
        </w:smartTag>
      </w:smartTag>
      <w:r>
        <w:t>.</w:t>
      </w:r>
    </w:p>
    <w:p w:rsidR="009743D6" w:rsidRDefault="009743D6" w:rsidP="00073277">
      <w:r>
        <w:t xml:space="preserve">The two most significant issues facing the area have been to maintain the general performance of the long 345 kV corridor, particularly through Maine, and to maintain the reliability of supply to meet demand. The region faces thermal and voltage performance issues and stability concerns and is reliant on </w:t>
      </w:r>
      <w:r w:rsidRPr="00CF2448">
        <w:t xml:space="preserve">several </w:t>
      </w:r>
      <w:r w:rsidRPr="00D93D8A">
        <w:t xml:space="preserve">SPSs </w:t>
      </w:r>
      <w:r>
        <w:t xml:space="preserve">that may be </w:t>
      </w:r>
      <w:r w:rsidRPr="002776B0">
        <w:t>subject to incorrect or undesired operation.</w:t>
      </w:r>
      <w:r w:rsidRPr="00E17308">
        <w:t xml:space="preserve"> Rapid load growth has raised particular concerns in northwestern Vermont; the southern and seacoast areas of </w:t>
      </w:r>
      <w:r>
        <w:t xml:space="preserve">Maine and </w:t>
      </w:r>
      <w:r w:rsidRPr="00E17308">
        <w:t>New Hampshire; various localized areas across Maine;</w:t>
      </w:r>
      <w:r>
        <w:t xml:space="preserve"> and the tri-state “Monadnock” area of southeastern Vermont, southwestern New Hampshire, and north-central Massachusetts. The system of long 115 kV lines, with weak sources and high real- and reactive-power losses, is exceeding its ability to integrate generation and efficiently and effectively serve </w:t>
      </w:r>
      <w:r w:rsidRPr="00AE03B8">
        <w:t>load</w:t>
      </w:r>
      <w:r>
        <w:t>. In many instances, the underlying systems of 34.5 kV, 46 kV, and 69 kV lines also are exceeding their capabilities and are being upgraded, placing greater demands on an already stressed 115 kV system.</w:t>
      </w:r>
    </w:p>
    <w:p w:rsidR="009743D6" w:rsidRDefault="009743D6" w:rsidP="00073277">
      <w:r w:rsidRPr="00621B53">
        <w:t xml:space="preserve">Over the </w:t>
      </w:r>
      <w:r>
        <w:t>p</w:t>
      </w:r>
      <w:r w:rsidRPr="00621B53">
        <w:t xml:space="preserve">ast several years, the addition of generation in Maine and New Hampshire, in combination with the area’s limited transfer capability and limited transmission expansion, has increased the </w:t>
      </w:r>
      <w:r w:rsidRPr="00E0442D">
        <w:t xml:space="preserve">likelihood </w:t>
      </w:r>
      <w:r>
        <w:t xml:space="preserve">of </w:t>
      </w:r>
      <w:r w:rsidRPr="00E0442D">
        <w:t>many northern N</w:t>
      </w:r>
      <w:r>
        <w:t xml:space="preserve">ew </w:t>
      </w:r>
      <w:r w:rsidRPr="00E0442D">
        <w:t>E</w:t>
      </w:r>
      <w:r>
        <w:t>ngland</w:t>
      </w:r>
      <w:r w:rsidRPr="00E0442D">
        <w:t xml:space="preserve"> interfaces operat</w:t>
      </w:r>
      <w:r>
        <w:t>ing</w:t>
      </w:r>
      <w:r w:rsidRPr="00E0442D">
        <w:t xml:space="preserve"> near their limits</w:t>
      </w:r>
      <w:r>
        <w:t xml:space="preserve">, creating </w:t>
      </w:r>
      <w:r w:rsidRPr="00E0442D">
        <w:t>restrictions on northern resources.</w:t>
      </w:r>
      <w:r w:rsidRPr="00621B53">
        <w:t xml:space="preserve"> B</w:t>
      </w:r>
      <w:r w:rsidRPr="00A25DED">
        <w:t xml:space="preserve">ecause these interface limits depend on generation dispatch, the operation of the system becomes </w:t>
      </w:r>
      <w:r>
        <w:t xml:space="preserve">more </w:t>
      </w:r>
      <w:r w:rsidRPr="00A25DED">
        <w:t xml:space="preserve">complex. Additional concerns in northern </w:t>
      </w:r>
      <w:smartTag w:uri="urn:schemas-microsoft-com:office:smarttags" w:element="place">
        <w:r w:rsidRPr="00A25DED">
          <w:t>New England</w:t>
        </w:r>
      </w:smartTag>
      <w:r w:rsidRPr="00A25DED">
        <w:t xml:space="preserve"> include limited system flexibility to accommodate maintenance outages, limited dynamic reactive-power resources, and high real- and reactive-power losses</w:t>
      </w:r>
      <w:r>
        <w:t>. Howeve</w:t>
      </w:r>
      <w:r w:rsidRPr="00AA3DE1">
        <w:t>r,</w:t>
      </w:r>
      <w:r>
        <w:t xml:space="preserve"> load growth in the north, in combination with other system changes, is </w:t>
      </w:r>
      <w:r w:rsidRPr="00F17761">
        <w:t xml:space="preserve">easing the stresses on some northern New England interfaces, </w:t>
      </w:r>
      <w:r>
        <w:t xml:space="preserve">such as the interface between </w:t>
      </w:r>
      <w:smartTag w:uri="urn:schemas-microsoft-com:office:smarttags" w:element="State">
        <w:r w:rsidRPr="00F17761">
          <w:t>Maine</w:t>
        </w:r>
      </w:smartTag>
      <w:r w:rsidRPr="00F17761">
        <w:t xml:space="preserve"> </w:t>
      </w:r>
      <w:r>
        <w:t xml:space="preserve">and </w:t>
      </w:r>
      <w:smartTag w:uri="urn:schemas-microsoft-com:office:smarttags" w:element="place">
        <w:smartTag w:uri="urn:schemas-microsoft-com:office:smarttags" w:element="State">
          <w:r w:rsidRPr="00F17761">
            <w:t>New Hampshire</w:t>
          </w:r>
        </w:smartTag>
      </w:smartTag>
      <w:r w:rsidRPr="00F17761">
        <w:t xml:space="preserve">. In fact, the power flows on some interfaces, which historically have been from north to south, frequently </w:t>
      </w:r>
      <w:r>
        <w:t xml:space="preserve">have </w:t>
      </w:r>
      <w:r w:rsidRPr="00F17761">
        <w:t xml:space="preserve">reversed and are moving from south to north during a significant number of hours each year, highlighting new emerging system weaknesses </w:t>
      </w:r>
      <w:r>
        <w:t xml:space="preserve">in addition to </w:t>
      </w:r>
      <w:r w:rsidRPr="00F17761">
        <w:t xml:space="preserve">those </w:t>
      </w:r>
      <w:r w:rsidR="00CB6C90">
        <w:t xml:space="preserve">already identified </w:t>
      </w:r>
      <w:r w:rsidRPr="00F17761">
        <w:t>on the interfaces.</w:t>
      </w:r>
      <w:r w:rsidRPr="00DE65EE">
        <w:rPr>
          <w:rStyle w:val="FootnoteReference"/>
          <w:sz w:val="22"/>
        </w:rPr>
        <w:footnoteReference w:id="126"/>
      </w:r>
    </w:p>
    <w:p w:rsidR="009743D6" w:rsidRDefault="009743D6" w:rsidP="00073277">
      <w:r w:rsidRPr="00BB67D8">
        <w:t>Load growth also is causing reliability concerns and has led to new or worsening situations in areas with localized dependence on existing generation. Additionally, limitations in the ability of special protection systems to operate correctly are at times leading to requirements to operate generation out of merit to ensure adequate SPS functioning</w:t>
      </w:r>
      <w:bookmarkStart w:id="426" w:name="_Ref173553251"/>
      <w:r w:rsidRPr="00BB67D8">
        <w:t>.</w:t>
      </w:r>
      <w:bookmarkStart w:id="427" w:name="_Ref202520928"/>
    </w:p>
    <w:p w:rsidR="00FC0261" w:rsidRDefault="009743D6" w:rsidP="00235A65">
      <w:pPr>
        <w:pStyle w:val="Heading4"/>
      </w:pPr>
      <w:bookmarkStart w:id="428" w:name="_Ref205116411"/>
      <w:r w:rsidRPr="001F408C">
        <w:t>Northern New England Transmission System Studi</w:t>
      </w:r>
      <w:bookmarkEnd w:id="426"/>
      <w:r w:rsidRPr="001F408C">
        <w:t>es</w:t>
      </w:r>
      <w:bookmarkEnd w:id="427"/>
      <w:bookmarkEnd w:id="428"/>
    </w:p>
    <w:p w:rsidR="009743D6" w:rsidRDefault="009743D6" w:rsidP="00073277">
      <w:r w:rsidRPr="001F408C">
        <w:t xml:space="preserve">Study efforts are progressing in various portions of Maine, New Hampshire, and Vermont to address a number of </w:t>
      </w:r>
      <w:r>
        <w:t>transmission</w:t>
      </w:r>
      <w:r w:rsidRPr="001F408C">
        <w:t xml:space="preserve"> system concerns. Some of these studies have focused on defining short-term needs and developing solutions</w:t>
      </w:r>
      <w:r>
        <w:t>,</w:t>
      </w:r>
      <w:r w:rsidRPr="001F408C">
        <w:t xml:space="preserve"> while others have made significant progress in evaluating potential system conditions 10 years into the future. </w:t>
      </w:r>
    </w:p>
    <w:p w:rsidR="009743D6" w:rsidRDefault="009743D6" w:rsidP="00073277">
      <w:r>
        <w:rPr>
          <w:b/>
          <w:bCs/>
        </w:rPr>
        <w:t>Maine</w:t>
      </w:r>
      <w:r>
        <w:t>. The long-term system needs of Bangor Hydro Electric</w:t>
      </w:r>
      <w:smartTag w:uri="urn:schemas-microsoft-com:office:smarttags" w:element="stockticker">
        <w:r>
          <w:t xml:space="preserve"> (</w:t>
        </w:r>
        <w:smartTag w:uri="urn:schemas-microsoft-com:office:smarttags" w:element="stockticker">
          <w:r>
            <w:t>B</w:t>
          </w:r>
        </w:smartTag>
      </w:smartTag>
      <w:r>
        <w:t xml:space="preserve">HE) and Central Maine Power (CMP) have been identified. To improve the performance of the </w:t>
      </w:r>
      <w:smartTag w:uri="urn:schemas-microsoft-com:office:smarttags" w:element="place">
        <w:smartTag w:uri="urn:schemas-microsoft-com:office:smarttags" w:element="City">
          <w:r>
            <w:t>Bangor</w:t>
          </w:r>
        </w:smartTag>
      </w:smartTag>
      <w:r>
        <w:t xml:space="preserve"> system, 115 kV transmission lines have been proposed. CMP is proposing 115 kV expansions in western </w:t>
      </w:r>
      <w:smartTag w:uri="urn:schemas-microsoft-com:office:smarttags" w:element="place">
        <w:smartTag w:uri="urn:schemas-microsoft-com:office:smarttags" w:element="State">
          <w:r>
            <w:t>Maine</w:t>
          </w:r>
        </w:smartTag>
      </w:smartTag>
      <w:r>
        <w:t xml:space="preserve"> to address area thermal and voltage issues. Upgrades north of </w:t>
      </w:r>
      <w:smartTag w:uri="urn:schemas-microsoft-com:office:smarttags" w:element="place">
        <w:smartTag w:uri="urn:schemas-microsoft-com:office:smarttags" w:element="City">
          <w:r>
            <w:t>Augusta</w:t>
          </w:r>
        </w:smartTag>
      </w:smartTag>
      <w:r>
        <w:t xml:space="preserve"> and near Rumford, including a new 115 kV substation, will reduce potential voltage concerns. System reinforcements at 115 kV, including the addition of the new substation at Maguire Road in southern Maine, will help serve southern Maine load in the near term. Projects proposed as part of the Maine Power Reliability </w:t>
      </w:r>
      <w:r w:rsidRPr="00AE03B8">
        <w:t>Program</w:t>
      </w:r>
      <w:r>
        <w:t xml:space="preserve"> must meet reliability requirements and be consistent with long-term planning objectives in both </w:t>
      </w:r>
      <w:r w:rsidR="008254DE">
        <w:t>th</w:t>
      </w:r>
      <w:r w:rsidR="00282170">
        <w:t>e</w:t>
      </w:r>
      <w:r w:rsidR="008254DE">
        <w:t xml:space="preserve"> </w:t>
      </w:r>
      <w:smartTag w:uri="urn:schemas-microsoft-com:office:smarttags" w:element="stockticker">
        <w:r>
          <w:t>B</w:t>
        </w:r>
      </w:smartTag>
      <w:r>
        <w:t>HE and CMP service territories. These projects include the addition of significant new 345 kV and 115 kV transmission facilities and new 345 </w:t>
      </w:r>
      <w:r w:rsidR="00B47F86">
        <w:t>k</w:t>
      </w:r>
      <w:r>
        <w:t xml:space="preserve">V autotransformers at key locations. </w:t>
      </w:r>
    </w:p>
    <w:p w:rsidR="009743D6" w:rsidRDefault="009743D6" w:rsidP="00073277">
      <w:bookmarkStart w:id="429" w:name="OLE_LINK1"/>
      <w:bookmarkStart w:id="430" w:name="OLE_LINK2"/>
      <w:r>
        <w:rPr>
          <w:b/>
          <w:bCs/>
        </w:rPr>
        <w:t>New Hampshire</w:t>
      </w:r>
      <w:r>
        <w:t xml:space="preserve">. A number of studies of the </w:t>
      </w:r>
      <w:smartTag w:uri="urn:schemas-microsoft-com:office:smarttags" w:element="place">
        <w:smartTag w:uri="urn:schemas-microsoft-com:office:smarttags" w:element="State">
          <w:r>
            <w:t>New Hampshire</w:t>
          </w:r>
        </w:smartTag>
      </w:smartTag>
      <w:r>
        <w:t xml:space="preserve"> portion of the system have been conducted. The existing and midterm concerns of northern and central New Hampshire have been improved by closing the Y-138 tie with Maine (see below). A number of 115 kV transmission reinforcements already are under development in southern </w:t>
      </w:r>
      <w:smartTag w:uri="urn:schemas-microsoft-com:office:smarttags" w:element="place">
        <w:smartTag w:uri="urn:schemas-microsoft-com:office:smarttags" w:element="State">
          <w:r>
            <w:t>New Hampshire</w:t>
          </w:r>
        </w:smartTag>
      </w:smartTag>
      <w:r>
        <w:t xml:space="preserve">. Studies have indicated a midterm need for additional 345/115 kV area autotransformers at Deerfield. Longer-term studies are in progress to determine the reinforcements necessary to support load growth in these areas. </w:t>
      </w:r>
    </w:p>
    <w:p w:rsidR="009743D6" w:rsidRDefault="009743D6" w:rsidP="00073277">
      <w:r>
        <w:t xml:space="preserve">A 10-year, two-phase study of the New Hampshire area is in progress. </w:t>
      </w:r>
      <w:r w:rsidRPr="00226E70">
        <w:t>The focus of th</w:t>
      </w:r>
      <w:r>
        <w:t>is</w:t>
      </w:r>
      <w:r w:rsidRPr="00226E70">
        <w:t xml:space="preserve"> study is on serving New Hampshire loads </w:t>
      </w:r>
      <w:r>
        <w:t>while maintaining</w:t>
      </w:r>
      <w:r w:rsidRPr="00226E70">
        <w:t xml:space="preserve"> overall </w:t>
      </w:r>
      <w:r>
        <w:t xml:space="preserve">regional </w:t>
      </w:r>
      <w:r w:rsidRPr="00226E70">
        <w:t>system performance</w:t>
      </w:r>
      <w:r>
        <w:t xml:space="preserve">. The first phase </w:t>
      </w:r>
      <w:r w:rsidRPr="007E7E79">
        <w:t xml:space="preserve">of this study was </w:t>
      </w:r>
      <w:r w:rsidRPr="00D4294F">
        <w:t>the Needs Assessment, which</w:t>
      </w:r>
      <w:r w:rsidRPr="007E7E79">
        <w:t xml:space="preserve"> </w:t>
      </w:r>
      <w:bookmarkEnd w:id="429"/>
      <w:bookmarkEnd w:id="430"/>
      <w:r w:rsidRPr="007E7E79">
        <w:t xml:space="preserve">identified the needs for system improvements to serve load </w:t>
      </w:r>
      <w:r w:rsidR="008254DE">
        <w:t xml:space="preserve">reliably </w:t>
      </w:r>
      <w:r w:rsidRPr="007E7E79">
        <w:t xml:space="preserve">in New Hampshire. </w:t>
      </w:r>
    </w:p>
    <w:p w:rsidR="009743D6" w:rsidRDefault="009743D6" w:rsidP="00073277">
      <w:r>
        <w:t xml:space="preserve">The </w:t>
      </w:r>
      <w:r w:rsidRPr="00531842">
        <w:rPr>
          <w:i/>
        </w:rPr>
        <w:t xml:space="preserve">New Hampshire </w:t>
      </w:r>
      <w:r>
        <w:rPr>
          <w:i/>
        </w:rPr>
        <w:t xml:space="preserve">Transmission System </w:t>
      </w:r>
      <w:r w:rsidRPr="00531842">
        <w:rPr>
          <w:i/>
        </w:rPr>
        <w:t>Needs Assessment</w:t>
      </w:r>
      <w:r>
        <w:t xml:space="preserve"> identified several areas of weak performance and demonstrated the following transmission system needs:</w:t>
      </w:r>
      <w:r w:rsidRPr="00A614A6">
        <w:rPr>
          <w:rStyle w:val="FootnoteReference"/>
          <w:sz w:val="22"/>
        </w:rPr>
        <w:footnoteReference w:id="127"/>
      </w:r>
      <w:r w:rsidRPr="00A614A6">
        <w:t xml:space="preserve"> </w:t>
      </w:r>
    </w:p>
    <w:p w:rsidR="009743D6" w:rsidRPr="00EA477B" w:rsidRDefault="009743D6" w:rsidP="00C81636">
      <w:pPr>
        <w:pStyle w:val="Bullet-Solid"/>
      </w:pPr>
      <w:r w:rsidRPr="00C81636">
        <w:rPr>
          <w:b/>
        </w:rPr>
        <w:t>Insufficient 345/115 kV transformation capacity</w:t>
      </w:r>
      <w:r w:rsidRPr="00C81636">
        <w:rPr>
          <w:rFonts w:cs="Times New Roman"/>
          <w:b/>
        </w:rPr>
        <w:t>—</w:t>
      </w:r>
      <w:r>
        <w:t xml:space="preserve">Thermal </w:t>
      </w:r>
      <w:r w:rsidRPr="00CF5E5B">
        <w:t xml:space="preserve">overloads occurred </w:t>
      </w:r>
      <w:r w:rsidR="00CF5E5B">
        <w:t xml:space="preserve">in the simulations </w:t>
      </w:r>
      <w:r w:rsidRPr="00CF5E5B">
        <w:t>on</w:t>
      </w:r>
      <w:r>
        <w:t xml:space="preserve"> one of the Deerfield 345/115 kV autotransformers and one of the Scobie 345/</w:t>
      </w:r>
      <w:r w:rsidR="00D04F59">
        <w:t>115 </w:t>
      </w:r>
      <w:r>
        <w:t xml:space="preserve">kV autotransformers under certain </w:t>
      </w:r>
      <w:r w:rsidRPr="00F35E0F">
        <w:t>contingencies before</w:t>
      </w:r>
      <w:r>
        <w:t xml:space="preserve"> the Maine Power </w:t>
      </w:r>
      <w:r w:rsidRPr="00CF5E5B">
        <w:t>Reliability Pro</w:t>
      </w:r>
      <w:r w:rsidR="00CB6C90" w:rsidRPr="00CF5E5B">
        <w:t>gram</w:t>
      </w:r>
      <w:r>
        <w:t xml:space="preserve"> (MPRP)</w:t>
      </w:r>
      <w:r w:rsidR="00C854CA">
        <w:t xml:space="preserve"> </w:t>
      </w:r>
      <w:r>
        <w:t xml:space="preserve">(see </w:t>
      </w:r>
      <w:r w:rsidR="00CE7C4D" w:rsidRPr="00CE7C4D">
        <w:t xml:space="preserve">Section </w:t>
      </w:r>
      <w:fldSimple w:instr=" REF _Ref266095437 \r \h  \* MERGEFORMAT ">
        <w:r w:rsidR="00E5699E">
          <w:t>6.4.1.3</w:t>
        </w:r>
      </w:fldSimple>
      <w:r w:rsidR="00CE7C4D" w:rsidRPr="00CE7C4D">
        <w:t>)</w:t>
      </w:r>
      <w:r>
        <w:t xml:space="preserve"> </w:t>
      </w:r>
      <w:r w:rsidR="00CF5E5B">
        <w:t xml:space="preserve">was </w:t>
      </w:r>
      <w:r>
        <w:t xml:space="preserve">implemented, and </w:t>
      </w:r>
      <w:r w:rsidR="00CF5E5B">
        <w:t xml:space="preserve">were </w:t>
      </w:r>
      <w:r>
        <w:t xml:space="preserve">close to 100% of their </w:t>
      </w:r>
      <w:r w:rsidRPr="00F35E0F">
        <w:t>rating post-MPRP</w:t>
      </w:r>
      <w:r>
        <w:t xml:space="preserve">. The reliability of the 115 kV system is dependent on the capacity and availability of these </w:t>
      </w:r>
      <w:r w:rsidRPr="00EA477B">
        <w:t xml:space="preserve">autotransformers. </w:t>
      </w:r>
    </w:p>
    <w:p w:rsidR="009743D6" w:rsidRPr="00F056BC" w:rsidRDefault="00D4331C" w:rsidP="00C81636">
      <w:pPr>
        <w:pStyle w:val="Bullet-Solid"/>
      </w:pPr>
      <w:r w:rsidRPr="00D4331C">
        <w:rPr>
          <w:b/>
        </w:rPr>
        <w:t>Insufficient 115 kV transmission support for the seacoast area</w:t>
      </w:r>
      <w:r w:rsidRPr="00D4331C">
        <w:rPr>
          <w:rFonts w:cs="Times New Roman"/>
          <w:b/>
        </w:rPr>
        <w:t>—</w:t>
      </w:r>
      <w:r w:rsidRPr="00D4331C">
        <w:t>This area represents a major load pocket with a dependence on local generation. Under certain dispatch and unit availability scenarios, this area had thermal and voltage violations on the remaining system and the potential for system voltage collapse.</w:t>
      </w:r>
    </w:p>
    <w:p w:rsidR="009743D6" w:rsidRPr="00F056BC" w:rsidRDefault="00D4331C" w:rsidP="00C81636">
      <w:pPr>
        <w:pStyle w:val="Bullet-Solid"/>
      </w:pPr>
      <w:r w:rsidRPr="00D4331C">
        <w:rPr>
          <w:b/>
        </w:rPr>
        <w:t>Insufficient 115 kV transmission support for the southern area</w:t>
      </w:r>
      <w:r w:rsidRPr="00D4331C">
        <w:rPr>
          <w:rFonts w:cs="Times New Roman"/>
          <w:b/>
        </w:rPr>
        <w:t>—</w:t>
      </w:r>
      <w:r w:rsidRPr="00D4331C">
        <w:t>This area also represents a major load pocket with a dependence on local generation and 345 kV transformation capabilities. Most of the thermal and voltage violations occurred when the local generation was not available.</w:t>
      </w:r>
    </w:p>
    <w:p w:rsidR="009743D6" w:rsidRPr="004C6713" w:rsidRDefault="00D4331C" w:rsidP="00C81636">
      <w:pPr>
        <w:pStyle w:val="Bullet-Solid"/>
        <w:spacing w:after="240"/>
      </w:pPr>
      <w:r w:rsidRPr="00D4331C">
        <w:rPr>
          <w:b/>
        </w:rPr>
        <w:t>Insufficient 115 kV transmission support for the central and the western areas</w:t>
      </w:r>
      <w:r w:rsidRPr="00D4331C">
        <w:rPr>
          <w:rFonts w:cs="Times New Roman"/>
          <w:b/>
        </w:rPr>
        <w:t>—</w:t>
      </w:r>
      <w:r w:rsidRPr="00D4331C">
        <w:t>The central area relies almost entirely on power transfers from resources outside this area; the western area has lower capacity 115 kV lines. Transmission outages in these areas result in violations that stem from heavy load in relation to the transmission supply capability. Overloads can be exacerbated when flows from east to west increase.</w:t>
      </w:r>
    </w:p>
    <w:p w:rsidR="009743D6" w:rsidRDefault="00890D42" w:rsidP="00073277">
      <w:r w:rsidRPr="00890D42">
        <w:t xml:space="preserve">The Needs Assessment analysis included the identification of the critical load level at which the voltage violations and thermal overloads would occur. Most of the voltage and thermal violations identified in the New Hampshire Needs Assessment were found at the forecasted 2009 peak load level under various </w:t>
      </w:r>
      <w:r w:rsidR="00D4331C" w:rsidRPr="00D4331C">
        <w:t>system conditions. The Needs Assessment, coupled with the critical load level analysis, indicates the need to examine substantial transmission system upgrades to improve</w:t>
      </w:r>
      <w:r w:rsidR="009743D6">
        <w:t xml:space="preserve"> system performance. </w:t>
      </w:r>
    </w:p>
    <w:p w:rsidR="009743D6" w:rsidRDefault="009743D6" w:rsidP="00073277">
      <w:r>
        <w:t xml:space="preserve">Because of </w:t>
      </w:r>
      <w:r w:rsidRPr="007E7E79">
        <w:t xml:space="preserve">the poor system performance shown </w:t>
      </w:r>
      <w:r w:rsidRPr="00EB0823">
        <w:t>by the N-1 (first-contingency) assessment, an N-1-1 (second-contingency) analysis was not perform</w:t>
      </w:r>
      <w:r>
        <w:t>ed as part</w:t>
      </w:r>
      <w:r w:rsidRPr="007E7E79">
        <w:t xml:space="preserve"> of th</w:t>
      </w:r>
      <w:r>
        <w:t>e Needs Assessment</w:t>
      </w:r>
      <w:r w:rsidRPr="007E7E79">
        <w:t>. Th</w:t>
      </w:r>
      <w:r>
        <w:t>e N-1-1 analysis is being</w:t>
      </w:r>
      <w:r w:rsidRPr="007E7E79">
        <w:t xml:space="preserve"> addressed as part of the </w:t>
      </w:r>
      <w:r>
        <w:t xml:space="preserve">Solutions Study. </w:t>
      </w:r>
    </w:p>
    <w:p w:rsidR="009743D6" w:rsidRDefault="009743D6" w:rsidP="00073277">
      <w:r>
        <w:t xml:space="preserve">The </w:t>
      </w:r>
      <w:r>
        <w:rPr>
          <w:i/>
        </w:rPr>
        <w:t xml:space="preserve">New Hampshire Transmission System Needs Assessment </w:t>
      </w:r>
      <w:r w:rsidRPr="00B05453">
        <w:t xml:space="preserve">will be updated to reflect </w:t>
      </w:r>
      <w:r>
        <w:t xml:space="preserve">the 2010 CELT Report forecast and </w:t>
      </w:r>
      <w:r w:rsidRPr="00B05453">
        <w:t>additional system conditions that may result within the next 10 years.</w:t>
      </w:r>
      <w:r w:rsidRPr="00D04F59">
        <w:rPr>
          <w:rStyle w:val="FootnoteReference"/>
          <w:sz w:val="22"/>
        </w:rPr>
        <w:footnoteReference w:id="128"/>
      </w:r>
      <w:r>
        <w:t xml:space="preserve"> This update is ne</w:t>
      </w:r>
      <w:r w:rsidR="00812469">
        <w:t>eded</w:t>
      </w:r>
      <w:r>
        <w:t xml:space="preserve"> to reflect necessary changes to future assumptions within Vermont, </w:t>
      </w:r>
      <w:r w:rsidR="00D442C6">
        <w:t xml:space="preserve">such as the status of Vermont Yankee, </w:t>
      </w:r>
      <w:r>
        <w:t>which may have an impact on the performance of the New Hampshire transmission system. The completion of this Needs Assessment update</w:t>
      </w:r>
      <w:r w:rsidR="00C138DB">
        <w:t>, which has been combined with the Vermont update analysis,</w:t>
      </w:r>
      <w:r>
        <w:t xml:space="preserve"> is targeted for the third quarter of 2010.</w:t>
      </w:r>
    </w:p>
    <w:p w:rsidR="009743D6" w:rsidRDefault="009743D6" w:rsidP="00073277">
      <w:r w:rsidRPr="00AA3D9B">
        <w:t xml:space="preserve">The </w:t>
      </w:r>
      <w:r w:rsidR="00EF25EB" w:rsidRPr="00AA3D9B">
        <w:rPr>
          <w:i/>
        </w:rPr>
        <w:t>New Hampshire Solutions Study</w:t>
      </w:r>
      <w:r w:rsidRPr="00AA3D9B">
        <w:t xml:space="preserve"> is assessing</w:t>
      </w:r>
      <w:r w:rsidRPr="00EA477B">
        <w:t xml:space="preserve"> the New</w:t>
      </w:r>
      <w:r>
        <w:t xml:space="preserve"> Hampshire 345 kV and 115 kV transmission system expansion alternatives. Transmission upgrades for ensuring the reliability of the transmission system in New Hampshire will be identified to address the reliability needs found in the Needs Assessment.</w:t>
      </w:r>
      <w:r w:rsidRPr="00840CE5">
        <w:t xml:space="preserve"> </w:t>
      </w:r>
      <w:r>
        <w:t>In general, the following transmission system upgrades will be considered:</w:t>
      </w:r>
    </w:p>
    <w:p w:rsidR="009743D6" w:rsidRDefault="009743D6" w:rsidP="00C81636">
      <w:pPr>
        <w:pStyle w:val="Bullet-Solid"/>
      </w:pPr>
      <w:r>
        <w:t>Additional 345/115 kV autotransformers to support normal conditions</w:t>
      </w:r>
      <w:r>
        <w:rPr>
          <w:rFonts w:cs="Times New Roman"/>
        </w:rPr>
        <w:t>—</w:t>
      </w:r>
      <w:r>
        <w:t>with all lines in service</w:t>
      </w:r>
      <w:r>
        <w:rPr>
          <w:rFonts w:cs="Times New Roman"/>
        </w:rPr>
        <w:t>—</w:t>
      </w:r>
      <w:r>
        <w:t>and back-up conditions when one or more of the existing autotransformers are out-of-service</w:t>
      </w:r>
    </w:p>
    <w:p w:rsidR="009743D6" w:rsidRDefault="009743D6" w:rsidP="00C81636">
      <w:pPr>
        <w:pStyle w:val="Bullet-Solid"/>
      </w:pPr>
      <w:r>
        <w:t xml:space="preserve">Additional </w:t>
      </w:r>
      <w:r w:rsidR="00216868">
        <w:t xml:space="preserve">upgrades to the </w:t>
      </w:r>
      <w:r>
        <w:t>345 kV and 115 kV transmission lines to reinforce the network capability of the existing system to serve load under contingency conditions</w:t>
      </w:r>
    </w:p>
    <w:p w:rsidR="009743D6" w:rsidRDefault="009743D6" w:rsidP="00C81636">
      <w:pPr>
        <w:pStyle w:val="Bullet-Solid"/>
      </w:pPr>
      <w:r>
        <w:t>Additional reactive compensation required to satisfy voltage criteria under contingency conditions</w:t>
      </w:r>
    </w:p>
    <w:p w:rsidR="009743D6" w:rsidRPr="007E7E79" w:rsidRDefault="009743D6" w:rsidP="008857D4">
      <w:pPr>
        <w:pStyle w:val="Bullet-Solid"/>
        <w:numPr>
          <w:ilvl w:val="0"/>
          <w:numId w:val="0"/>
        </w:numPr>
        <w:spacing w:after="240"/>
      </w:pPr>
      <w:r w:rsidRPr="007E7E79">
        <w:t xml:space="preserve">The </w:t>
      </w:r>
      <w:r w:rsidR="008857D4">
        <w:t>S</w:t>
      </w:r>
      <w:r>
        <w:t xml:space="preserve">olutions </w:t>
      </w:r>
      <w:r w:rsidR="008857D4">
        <w:t>S</w:t>
      </w:r>
      <w:r w:rsidRPr="007E7E79">
        <w:t xml:space="preserve">tudy is projected to be completed in </w:t>
      </w:r>
      <w:r>
        <w:t xml:space="preserve">late </w:t>
      </w:r>
      <w:r w:rsidRPr="007E7E79">
        <w:t>2010.</w:t>
      </w:r>
    </w:p>
    <w:p w:rsidR="009743D6" w:rsidRDefault="009743D6" w:rsidP="00073277">
      <w:r>
        <w:rPr>
          <w:b/>
          <w:bCs/>
        </w:rPr>
        <w:t>Vermont</w:t>
      </w:r>
      <w:r>
        <w:t xml:space="preserve">. A number of solutions have been studied to address </w:t>
      </w:r>
      <w:r w:rsidR="00D4331C" w:rsidRPr="00D4331C">
        <w:t>concerns in southern Vermont, including issues with certain facilities</w:t>
      </w:r>
      <w:r w:rsidR="00A20AAC">
        <w:rPr>
          <w:rFonts w:cs="Times New Roman"/>
        </w:rPr>
        <w:t>—</w:t>
      </w:r>
      <w:r w:rsidR="00D4331C" w:rsidRPr="00D4331C">
        <w:t>specifically between Bennington and Brattleboro</w:t>
      </w:r>
      <w:r w:rsidR="00A20AAC">
        <w:rPr>
          <w:rFonts w:cs="Times New Roman"/>
        </w:rPr>
        <w:t>—</w:t>
      </w:r>
      <w:r w:rsidR="00D4331C" w:rsidRPr="00D4331C">
        <w:t>that have design voltages below 115 kV. Transmission</w:t>
      </w:r>
      <w:r>
        <w:t xml:space="preserve"> upgrades in the Burlington area, known as the Burlington Project, have been designed to maintain adequate supply in the event of a </w:t>
      </w:r>
      <w:r w:rsidRPr="00637849">
        <w:t xml:space="preserve">transmission or </w:t>
      </w:r>
      <w:r>
        <w:t xml:space="preserve">underlying system </w:t>
      </w:r>
      <w:r w:rsidRPr="00637849">
        <w:t>outage</w:t>
      </w:r>
      <w:r>
        <w:t>,</w:t>
      </w:r>
      <w:r w:rsidRPr="00AE03B8">
        <w:t xml:space="preserve"> as well as</w:t>
      </w:r>
      <w:r>
        <w:t xml:space="preserve"> to address load growth. A longer-term analysis conducted by the Vermont Electric Power Company (VELCO) confirmed Vermont state transmission system reliability concerns highlighted in previous analyses. The results of </w:t>
      </w:r>
      <w:r w:rsidRPr="00B03209">
        <w:t xml:space="preserve">the </w:t>
      </w:r>
      <w:r w:rsidRPr="00B03209">
        <w:rPr>
          <w:i/>
        </w:rPr>
        <w:t>2006 Vermont Transmission System Long</w:t>
      </w:r>
      <w:r>
        <w:rPr>
          <w:i/>
        </w:rPr>
        <w:t>-</w:t>
      </w:r>
      <w:r w:rsidRPr="00B03209">
        <w:rPr>
          <w:i/>
        </w:rPr>
        <w:t>Range Plan</w:t>
      </w:r>
      <w:r w:rsidRPr="00B03209">
        <w:t xml:space="preserve"> (2006 VT LRP) demonstrate a need for</w:t>
      </w:r>
      <w:r>
        <w:t xml:space="preserve"> a combination of further expansion of the 115 kV and 345 kV transmission facilities.</w:t>
      </w:r>
      <w:r w:rsidRPr="008857D4">
        <w:rPr>
          <w:rStyle w:val="FootnoteReference"/>
          <w:sz w:val="22"/>
        </w:rPr>
        <w:footnoteReference w:id="129"/>
      </w:r>
      <w:r w:rsidRPr="008857D4">
        <w:t xml:space="preserve"> </w:t>
      </w:r>
      <w:r>
        <w:t xml:space="preserve">System reinforcements resulting from the 2006 VT </w:t>
      </w:r>
      <w:r w:rsidRPr="00D93D8A">
        <w:t>LRP include the</w:t>
      </w:r>
      <w:r>
        <w:t xml:space="preserve"> addition of 345 kV and 115 kV infrastructure in southern Vermont as part of the Southern Loop Project. </w:t>
      </w:r>
    </w:p>
    <w:p w:rsidR="009743D6" w:rsidRPr="009F35D1" w:rsidRDefault="009743D6" w:rsidP="00073277">
      <w:pPr>
        <w:rPr>
          <w:i/>
        </w:rPr>
      </w:pPr>
      <w:r>
        <w:t xml:space="preserve">The Vermont system continues to be studied to assess and resolve potential reliability issues. Moreover, Vermont regulations require VELCO to develop a 10-year plan every three years. Collaborative efforts among the ISO, VELCO, National Grid, and Northeast Utilities have continued assessing the reliability of Vermont’s transmission system. The ISO posted the </w:t>
      </w:r>
      <w:r w:rsidRPr="008C1679">
        <w:t>Vermont Transmission System Needs Assessment Study Scope</w:t>
      </w:r>
      <w:r>
        <w:rPr>
          <w:i/>
        </w:rPr>
        <w:t xml:space="preserve"> </w:t>
      </w:r>
      <w:r w:rsidRPr="008C1679">
        <w:t>i</w:t>
      </w:r>
      <w:r>
        <w:t>n February 2010.</w:t>
      </w:r>
      <w:r w:rsidRPr="009F30AC">
        <w:rPr>
          <w:rStyle w:val="FootnoteReference"/>
          <w:sz w:val="22"/>
        </w:rPr>
        <w:footnoteReference w:id="130"/>
      </w:r>
      <w:r>
        <w:t xml:space="preserve"> VELCO published the </w:t>
      </w:r>
      <w:r w:rsidRPr="00531842">
        <w:rPr>
          <w:i/>
        </w:rPr>
        <w:t xml:space="preserve">2009 </w:t>
      </w:r>
      <w:r>
        <w:rPr>
          <w:i/>
        </w:rPr>
        <w:t xml:space="preserve">Vermont Transmission System Long-Range Plan </w:t>
      </w:r>
      <w:r w:rsidRPr="00531842">
        <w:t xml:space="preserve">(2009 </w:t>
      </w:r>
      <w:r>
        <w:t>VT LRP</w:t>
      </w:r>
      <w:r w:rsidRPr="00531842">
        <w:t>)</w:t>
      </w:r>
      <w:r>
        <w:t xml:space="preserve"> </w:t>
      </w:r>
      <w:r w:rsidRPr="002E7A00">
        <w:t>on July 1, 2009</w:t>
      </w:r>
      <w:r>
        <w:t>.</w:t>
      </w:r>
      <w:r>
        <w:rPr>
          <w:rStyle w:val="FootnoteReference"/>
        </w:rPr>
        <w:footnoteReference w:id="131"/>
      </w:r>
      <w:r>
        <w:t xml:space="preserve"> Both studies identified several thermal and voltage violations, some severe and widespread, for multiple-element contingencies and facility-out conditions. Facility-out conditions included outages of key transmission lines, autotransformers, and resources in and around the state of Vermont. Among the alternatives that are continuing to be investigated to address the identified system needs are reactive compensation throughout Vermont; variations of new 345 kV or 230 kV facilities internal or external to the state</w:t>
      </w:r>
      <w:r w:rsidR="008254DE">
        <w:t>,</w:t>
      </w:r>
      <w:r>
        <w:t xml:space="preserve"> or both; and new or upgraded 115 kV facilities. </w:t>
      </w:r>
    </w:p>
    <w:p w:rsidR="00480F5F" w:rsidRDefault="009743D6" w:rsidP="00073277">
      <w:r>
        <w:t xml:space="preserve">The </w:t>
      </w:r>
      <w:r w:rsidRPr="002D62B2">
        <w:rPr>
          <w:i/>
        </w:rPr>
        <w:t>Vermont Transmission Reliability Report</w:t>
      </w:r>
      <w:r>
        <w:rPr>
          <w:i/>
        </w:rPr>
        <w:t xml:space="preserve"> </w:t>
      </w:r>
      <w:r w:rsidRPr="002D62B2">
        <w:rPr>
          <w:i/>
        </w:rPr>
        <w:t>Need</w:t>
      </w:r>
      <w:r w:rsidR="008254DE">
        <w:rPr>
          <w:i/>
        </w:rPr>
        <w:t>s</w:t>
      </w:r>
      <w:r w:rsidRPr="002D62B2">
        <w:rPr>
          <w:i/>
        </w:rPr>
        <w:t xml:space="preserve"> Analysis</w:t>
      </w:r>
      <w:r w:rsidRPr="009F35D1" w:rsidDel="009F35D1">
        <w:rPr>
          <w:i/>
        </w:rPr>
        <w:t xml:space="preserve"> </w:t>
      </w:r>
      <w:r w:rsidRPr="00531842">
        <w:t xml:space="preserve">will be updated to reflect </w:t>
      </w:r>
      <w:r>
        <w:t xml:space="preserve">the 2010 CELT Report forecast and </w:t>
      </w:r>
      <w:r w:rsidRPr="00531842">
        <w:t>additional system conditions that may result within the next 10 years</w:t>
      </w:r>
      <w:r>
        <w:t>.</w:t>
      </w:r>
      <w:r w:rsidRPr="009F30AC">
        <w:rPr>
          <w:rStyle w:val="FootnoteReference"/>
          <w:sz w:val="22"/>
        </w:rPr>
        <w:footnoteReference w:id="132"/>
      </w:r>
      <w:r w:rsidRPr="009F30AC">
        <w:t xml:space="preserve"> </w:t>
      </w:r>
      <w:r w:rsidR="00E01E28">
        <w:t>The New York ISO (</w:t>
      </w:r>
      <w:r w:rsidRPr="00567986">
        <w:t>NYISO</w:t>
      </w:r>
      <w:r w:rsidR="00E01E28">
        <w:t>)</w:t>
      </w:r>
      <w:r w:rsidRPr="00567986">
        <w:t xml:space="preserve"> has informed ISO </w:t>
      </w:r>
      <w:r w:rsidR="008857D4">
        <w:t xml:space="preserve">New England </w:t>
      </w:r>
      <w:r w:rsidRPr="00567986">
        <w:t xml:space="preserve">and VELCO that the </w:t>
      </w:r>
      <w:r w:rsidR="006F3564">
        <w:t xml:space="preserve">normal </w:t>
      </w:r>
      <w:r w:rsidRPr="00567986">
        <w:t xml:space="preserve">flow on the PV-20 line </w:t>
      </w:r>
      <w:r>
        <w:t>into Vermont may</w:t>
      </w:r>
      <w:r w:rsidRPr="00567986">
        <w:t xml:space="preserve"> no longer be expected to</w:t>
      </w:r>
      <w:r w:rsidR="006F3564">
        <w:t xml:space="preserve"> </w:t>
      </w:r>
      <w:r w:rsidRPr="00567986">
        <w:t xml:space="preserve">be between 70 MW and 140 MW </w:t>
      </w:r>
      <w:r>
        <w:t xml:space="preserve">because of </w:t>
      </w:r>
      <w:r w:rsidRPr="00567986">
        <w:t>concerns in N</w:t>
      </w:r>
      <w:r>
        <w:t xml:space="preserve">ew </w:t>
      </w:r>
      <w:r w:rsidRPr="00567986">
        <w:t>Y</w:t>
      </w:r>
      <w:r>
        <w:t>ork</w:t>
      </w:r>
      <w:r w:rsidRPr="00567986">
        <w:t xml:space="preserve">. </w:t>
      </w:r>
      <w:r>
        <w:t xml:space="preserve">In addition, system deficiencies were identified with Vermont Yankee in service, and the potential retirement of the plant can exacerbate </w:t>
      </w:r>
      <w:r w:rsidRPr="004E6C20">
        <w:t xml:space="preserve">these issues. </w:t>
      </w:r>
      <w:r w:rsidR="00866F53">
        <w:t xml:space="preserve">Needs </w:t>
      </w:r>
      <w:r w:rsidR="005B732B">
        <w:t>a</w:t>
      </w:r>
      <w:r w:rsidR="00866F53">
        <w:t>nalys</w:t>
      </w:r>
      <w:r w:rsidR="005B732B">
        <w:t>e</w:t>
      </w:r>
      <w:r w:rsidR="00866F53">
        <w:t xml:space="preserve">s will consider firm imports over the Highgate HVDC facility and will study </w:t>
      </w:r>
      <w:r w:rsidRPr="00E55D88">
        <w:t xml:space="preserve">scenarios with </w:t>
      </w:r>
      <w:r w:rsidR="0014172E">
        <w:t xml:space="preserve">no megawatts </w:t>
      </w:r>
      <w:r w:rsidRPr="00E55D88">
        <w:t>flowing into Vermont across</w:t>
      </w:r>
      <w:r>
        <w:t xml:space="preserve"> PV-20, as well as the potential retirement of Vermont Yankee. These scenarios will be studied independent of each other and in combinati</w:t>
      </w:r>
      <w:r w:rsidR="00EF25EB" w:rsidRPr="00EF25EB">
        <w:t>on</w:t>
      </w:r>
      <w:r>
        <w:t xml:space="preserve"> to determine the</w:t>
      </w:r>
      <w:r w:rsidRPr="00A867E0">
        <w:t xml:space="preserve"> </w:t>
      </w:r>
      <w:r w:rsidRPr="007D4CE7">
        <w:t>vulnerabilities for Vermont and surrounding areas, including portions of New Hampshire and New York</w:t>
      </w:r>
      <w:r>
        <w:t>. This Needs Assessment</w:t>
      </w:r>
      <w:r w:rsidR="004E2EDA">
        <w:t>, which has been combined with the New Hampshire</w:t>
      </w:r>
      <w:r>
        <w:t xml:space="preserve"> update</w:t>
      </w:r>
      <w:r w:rsidR="00C81242">
        <w:t>,</w:t>
      </w:r>
      <w:r>
        <w:t xml:space="preserve"> is targeted for </w:t>
      </w:r>
      <w:r w:rsidR="004E2EDA">
        <w:t xml:space="preserve">completion in </w:t>
      </w:r>
      <w:r>
        <w:t>the third quarter of 2010.</w:t>
      </w:r>
    </w:p>
    <w:p w:rsidR="009743D6" w:rsidRPr="006F3564" w:rsidRDefault="00EF25EB" w:rsidP="00073277">
      <w:r w:rsidRPr="00EF25EB">
        <w:t xml:space="preserve">The 2009 VT LRP and </w:t>
      </w:r>
      <w:r w:rsidRPr="00EF25EB">
        <w:rPr>
          <w:i/>
        </w:rPr>
        <w:t xml:space="preserve">Vermont Transmission Reliability Report Needs Analysis </w:t>
      </w:r>
      <w:r w:rsidRPr="00EF25EB">
        <w:t>identified widespread thermal and voltage violations for key contingencies with critical facilities out of service.</w:t>
      </w:r>
      <w:r w:rsidRPr="00EF25EB">
        <w:rPr>
          <w:rStyle w:val="FootnoteReference"/>
          <w:sz w:val="22"/>
        </w:rPr>
        <w:footnoteReference w:id="133"/>
      </w:r>
      <w:r w:rsidRPr="00EF25EB">
        <w:t xml:space="preserve"> A regional Solutions Study will evaluate alternatives that could address the system deficiencies in Vermont and those identified in the </w:t>
      </w:r>
      <w:r w:rsidRPr="00EF25EB">
        <w:rPr>
          <w:i/>
        </w:rPr>
        <w:t>New Hampshire Needs Assessment</w:t>
      </w:r>
      <w:r w:rsidRPr="00EF25EB">
        <w:t xml:space="preserve">. The regional Solutions Study also will evaluate the robustness of each alternative, most likely involving interstate facilities, and ascertain whether proposed transmission solution alternatives solely within each state are still needed. The completion of this solutions assessment is targeted for late 2010. </w:t>
      </w:r>
    </w:p>
    <w:p w:rsidR="00FC0261" w:rsidRDefault="009743D6" w:rsidP="00235A65">
      <w:pPr>
        <w:pStyle w:val="Heading4"/>
      </w:pPr>
      <w:bookmarkStart w:id="431" w:name="_Ref266095437"/>
      <w:r>
        <w:t xml:space="preserve">Northern New England Transmission </w:t>
      </w:r>
      <w:r w:rsidRPr="0033459A">
        <w:t>Projects</w:t>
      </w:r>
      <w:bookmarkEnd w:id="431"/>
      <w:r w:rsidR="0076739E">
        <w:t xml:space="preserve"> </w:t>
      </w:r>
    </w:p>
    <w:p w:rsidR="009743D6" w:rsidRDefault="009743D6" w:rsidP="00073277">
      <w:r>
        <w:t xml:space="preserve">The ISO has identified </w:t>
      </w:r>
      <w:r w:rsidRPr="00531842">
        <w:t xml:space="preserve">projects </w:t>
      </w:r>
      <w:r>
        <w:t xml:space="preserve">that address transmission system performance issues, either individually or in combination. Some of the </w:t>
      </w:r>
      <w:r w:rsidRPr="00531842">
        <w:t>projects</w:t>
      </w:r>
      <w:r>
        <w:t xml:space="preserve">, as described in the previous sections, address subregional reliability issues and also have the ancillary benefit of improving the performance of major transmission corridors and thus the overall performance of the system. The </w:t>
      </w:r>
      <w:r w:rsidRPr="00531842">
        <w:t>projects</w:t>
      </w:r>
      <w:r>
        <w:t xml:space="preserve"> are as follows:</w:t>
      </w:r>
    </w:p>
    <w:p w:rsidR="009743D6" w:rsidRPr="00FF50EB" w:rsidRDefault="009743D6" w:rsidP="00185BA0">
      <w:pPr>
        <w:pStyle w:val="Bullet-Solid"/>
        <w:rPr>
          <w:b/>
        </w:rPr>
      </w:pPr>
      <w:r w:rsidRPr="00531842">
        <w:rPr>
          <w:b/>
        </w:rPr>
        <w:t>Burlington Project (i.e., the East Ave 115 kV Loop)</w:t>
      </w:r>
      <w:r>
        <w:rPr>
          <w:rFonts w:cs="Times New Roman"/>
          <w:b/>
        </w:rPr>
        <w:t>—</w:t>
      </w:r>
      <w:r>
        <w:t>This project</w:t>
      </w:r>
      <w:r w:rsidR="00866083">
        <w:t>, as follows,</w:t>
      </w:r>
      <w:r>
        <w:t xml:space="preserve"> was proposed to loop through the East Avenue substation and ensure that the outage of </w:t>
      </w:r>
      <w:r w:rsidR="00C4081C">
        <w:t>a</w:t>
      </w:r>
      <w:r>
        <w:t xml:space="preserve"> 115 kV line does not result in loss of load in the Burlington area</w:t>
      </w:r>
      <w:r w:rsidR="00E84B2C">
        <w:t xml:space="preserve">. </w:t>
      </w:r>
    </w:p>
    <w:p w:rsidR="009743D6" w:rsidRPr="006A34D8" w:rsidRDefault="009743D6" w:rsidP="00185BA0">
      <w:pPr>
        <w:pStyle w:val="Bullet-Open"/>
        <w:ind w:left="1080"/>
      </w:pPr>
      <w:r>
        <w:t>Disconnect the K-</w:t>
      </w:r>
      <w:r w:rsidRPr="006A34D8">
        <w:t>23 (</w:t>
      </w:r>
      <w:r>
        <w:t>Essex–Tafts Corner–Williston) line outside the Essex substation, c</w:t>
      </w:r>
      <w:r w:rsidRPr="00DD1BC1">
        <w:t xml:space="preserve">onstruct a new </w:t>
      </w:r>
      <w:r>
        <w:t>five</w:t>
      </w:r>
      <w:r w:rsidRPr="00DD1BC1">
        <w:t xml:space="preserve">-mile 115 kV line </w:t>
      </w:r>
      <w:r>
        <w:t xml:space="preserve">to East Ave, </w:t>
      </w:r>
      <w:r w:rsidRPr="00DD1BC1">
        <w:t xml:space="preserve">and rebuild </w:t>
      </w:r>
      <w:r>
        <w:t>five miles of the existing</w:t>
      </w:r>
      <w:r w:rsidRPr="00DD1BC1">
        <w:t xml:space="preserve"> K-25</w:t>
      </w:r>
      <w:r>
        <w:t xml:space="preserve"> (Essex–East Avenue)</w:t>
      </w:r>
      <w:r w:rsidRPr="00DD1BC1">
        <w:t xml:space="preserve"> line</w:t>
      </w:r>
      <w:r>
        <w:t xml:space="preserve">. </w:t>
      </w:r>
    </w:p>
    <w:p w:rsidR="009743D6" w:rsidRDefault="009743D6" w:rsidP="00185BA0">
      <w:pPr>
        <w:pStyle w:val="Bullet-Open"/>
        <w:ind w:left="1080"/>
      </w:pPr>
      <w:r w:rsidRPr="00DD1BC1">
        <w:t xml:space="preserve">Rebuild the East Avenue substation to a </w:t>
      </w:r>
      <w:r>
        <w:t>four</w:t>
      </w:r>
      <w:r w:rsidRPr="00DD1BC1">
        <w:t>-breaker ring connecting two 115 kV lines and two step-down transformers</w:t>
      </w:r>
      <w:r>
        <w:t>.</w:t>
      </w:r>
    </w:p>
    <w:p w:rsidR="009743D6" w:rsidRDefault="009743D6" w:rsidP="00185BA0">
      <w:pPr>
        <w:pStyle w:val="Bullet-Open"/>
        <w:ind w:left="1080"/>
      </w:pPr>
      <w:r w:rsidRPr="00DD1BC1">
        <w:t xml:space="preserve">Construct a new </w:t>
      </w:r>
      <w:r>
        <w:t>three</w:t>
      </w:r>
      <w:r w:rsidRPr="00DD1BC1">
        <w:t>-breaker substation at Gorge connecting two 115 kV lines and one step-down transformer</w:t>
      </w:r>
      <w:r>
        <w:t>.</w:t>
      </w:r>
    </w:p>
    <w:p w:rsidR="009743D6" w:rsidRDefault="009743D6" w:rsidP="00B262FD">
      <w:pPr>
        <w:pStyle w:val="Bullet-Open"/>
        <w:spacing w:after="240"/>
        <w:ind w:left="1080"/>
      </w:pPr>
      <w:r>
        <w:t xml:space="preserve">The majority of the project was completed in November 2009, and the remaining component, the Gorge 115 kV substation, is expected in service December 2010. </w:t>
      </w:r>
    </w:p>
    <w:p w:rsidR="009743D6" w:rsidRDefault="009743D6" w:rsidP="00B262FD">
      <w:pPr>
        <w:pStyle w:val="Bullet-Solid"/>
      </w:pPr>
      <w:r w:rsidRPr="008D3B39">
        <w:rPr>
          <w:b/>
          <w:bCs/>
        </w:rPr>
        <w:t>Southern Loop (</w:t>
      </w:r>
      <w:r>
        <w:rPr>
          <w:b/>
          <w:bCs/>
        </w:rPr>
        <w:t xml:space="preserve">i.e., the </w:t>
      </w:r>
      <w:r w:rsidRPr="008D3B39">
        <w:rPr>
          <w:b/>
          <w:bCs/>
        </w:rPr>
        <w:t>Coolidge Connector) Project</w:t>
      </w:r>
      <w:r>
        <w:rPr>
          <w:rStyle w:val="FootnoteReference"/>
          <w:b/>
          <w:bCs/>
        </w:rPr>
        <w:footnoteReference w:id="134"/>
      </w:r>
      <w:r w:rsidRPr="00070661">
        <w:rPr>
          <w:rFonts w:cs="Times New Roman"/>
          <w:b/>
          <w:bCs/>
        </w:rPr>
        <w:t>—</w:t>
      </w:r>
      <w:r>
        <w:t xml:space="preserve">The </w:t>
      </w:r>
      <w:r w:rsidRPr="00B03209">
        <w:rPr>
          <w:i/>
        </w:rPr>
        <w:t>2006 Vermont Transmission System Long</w:t>
      </w:r>
      <w:r>
        <w:rPr>
          <w:i/>
        </w:rPr>
        <w:t>-</w:t>
      </w:r>
      <w:r w:rsidRPr="00B03209">
        <w:rPr>
          <w:i/>
        </w:rPr>
        <w:t>Range Plan</w:t>
      </w:r>
      <w:r>
        <w:t xml:space="preserve"> identified significant system performance concerns </w:t>
      </w:r>
      <w:r w:rsidRPr="002E7A00">
        <w:t>for key contingencies occurring</w:t>
      </w:r>
      <w:r>
        <w:t xml:space="preserve"> under heavy import conditions. A number of components that address the thermal and voltage problems these contingencies would cause are expected to be in service late 2010</w:t>
      </w:r>
      <w:r w:rsidR="000320E4">
        <w:t>:</w:t>
      </w:r>
    </w:p>
    <w:p w:rsidR="009743D6" w:rsidRDefault="009743D6" w:rsidP="00B262FD">
      <w:pPr>
        <w:pStyle w:val="Bullet-Open"/>
        <w:ind w:left="1080"/>
      </w:pPr>
      <w:r w:rsidRPr="00CC193C">
        <w:t xml:space="preserve">Installation of the </w:t>
      </w:r>
      <w:r>
        <w:t xml:space="preserve">new </w:t>
      </w:r>
      <w:r w:rsidRPr="00CC193C">
        <w:t>Vernon</w:t>
      </w:r>
      <w:r>
        <w:t>–</w:t>
      </w:r>
      <w:r w:rsidRPr="008D3B39">
        <w:t>Newfane</w:t>
      </w:r>
      <w:r>
        <w:t>–</w:t>
      </w:r>
      <w:r w:rsidRPr="008D3B39">
        <w:t>Coolidge 345 kV line with requisite station upgrades</w:t>
      </w:r>
    </w:p>
    <w:p w:rsidR="009743D6" w:rsidRDefault="009743D6" w:rsidP="00B262FD">
      <w:pPr>
        <w:pStyle w:val="Bullet-Open"/>
        <w:ind w:left="1080"/>
      </w:pPr>
      <w:r w:rsidRPr="008D3B39">
        <w:t xml:space="preserve">Installation of a new </w:t>
      </w:r>
      <w:r>
        <w:t xml:space="preserve">Vernon </w:t>
      </w:r>
      <w:r w:rsidRPr="008D3B39">
        <w:t>345/115</w:t>
      </w:r>
      <w:r>
        <w:t xml:space="preserve"> </w:t>
      </w:r>
      <w:r w:rsidRPr="008D3B39">
        <w:t>kV substation</w:t>
      </w:r>
      <w:r>
        <w:t xml:space="preserve">, </w:t>
      </w:r>
      <w:r w:rsidRPr="008D3B39">
        <w:t>including a new 345/115</w:t>
      </w:r>
      <w:r>
        <w:t xml:space="preserve"> </w:t>
      </w:r>
      <w:r w:rsidRPr="008D3B39">
        <w:t>kV autotransformer</w:t>
      </w:r>
    </w:p>
    <w:p w:rsidR="009743D6" w:rsidRDefault="009743D6" w:rsidP="00B262FD">
      <w:pPr>
        <w:pStyle w:val="Bullet-Open"/>
        <w:ind w:left="1080"/>
      </w:pPr>
      <w:r w:rsidRPr="008D3B39">
        <w:t>Installation of a new</w:t>
      </w:r>
      <w:r>
        <w:t xml:space="preserve"> Newfane</w:t>
      </w:r>
      <w:r w:rsidRPr="008D3B39">
        <w:t xml:space="preserve"> 345/115</w:t>
      </w:r>
      <w:r>
        <w:t xml:space="preserve"> </w:t>
      </w:r>
      <w:r w:rsidRPr="008D3B39">
        <w:t>kV substation</w:t>
      </w:r>
    </w:p>
    <w:p w:rsidR="009743D6" w:rsidRDefault="009743D6" w:rsidP="00B262FD">
      <w:pPr>
        <w:pStyle w:val="Bullet-Open"/>
        <w:ind w:left="1080"/>
      </w:pPr>
      <w:r w:rsidRPr="008D3B39">
        <w:t xml:space="preserve">Expansion of </w:t>
      </w:r>
      <w:r>
        <w:t xml:space="preserve">the </w:t>
      </w:r>
      <w:r w:rsidRPr="008D3B39">
        <w:t>Coolidge 345</w:t>
      </w:r>
      <w:r>
        <w:t xml:space="preserve"> </w:t>
      </w:r>
      <w:r w:rsidRPr="008D3B39">
        <w:t>kV substation</w:t>
      </w:r>
    </w:p>
    <w:p w:rsidR="009743D6" w:rsidRDefault="009743D6" w:rsidP="00CA6C53">
      <w:pPr>
        <w:spacing w:after="0"/>
      </w:pPr>
    </w:p>
    <w:p w:rsidR="009743D6" w:rsidRDefault="009743D6" w:rsidP="00B262FD">
      <w:pPr>
        <w:pStyle w:val="Bullet-Solid"/>
      </w:pPr>
      <w:r w:rsidRPr="00D3602D">
        <w:rPr>
          <w:b/>
        </w:rPr>
        <w:t xml:space="preserve">Closing the Y-138 </w:t>
      </w:r>
      <w:r w:rsidR="00B82036">
        <w:rPr>
          <w:b/>
        </w:rPr>
        <w:t>L</w:t>
      </w:r>
      <w:r w:rsidRPr="00D3602D">
        <w:rPr>
          <w:b/>
        </w:rPr>
        <w:t>ine</w:t>
      </w:r>
      <w:r w:rsidR="00070661" w:rsidRPr="00070661">
        <w:rPr>
          <w:rFonts w:cs="Times New Roman"/>
          <w:b/>
          <w:bCs/>
        </w:rPr>
        <w:t>—</w:t>
      </w:r>
      <w:r w:rsidRPr="00D3602D">
        <w:t xml:space="preserve">This project, </w:t>
      </w:r>
      <w:r>
        <w:t xml:space="preserve">which came in service in </w:t>
      </w:r>
      <w:r w:rsidRPr="00885A95">
        <w:t xml:space="preserve">the third quarter of </w:t>
      </w:r>
      <w:r w:rsidRPr="000A50C0">
        <w:t>2009</w:t>
      </w:r>
      <w:r w:rsidRPr="00D3602D">
        <w:t>, addresses near-term central New Hampshire reliability needs and somewhat improve</w:t>
      </w:r>
      <w:r>
        <w:t>s</w:t>
      </w:r>
      <w:r w:rsidRPr="00D3602D">
        <w:t xml:space="preserve"> the Surowiec–South and Maine–New Hampshire voltage and thermal performance problems. </w:t>
      </w:r>
      <w:r>
        <w:t xml:space="preserve">This project adds a new through path </w:t>
      </w:r>
      <w:r w:rsidRPr="006A34D8">
        <w:t>from Saco</w:t>
      </w:r>
      <w:r>
        <w:t xml:space="preserve"> Valley to White Lake. </w:t>
      </w:r>
    </w:p>
    <w:p w:rsidR="009743D6" w:rsidRPr="00AF00D0" w:rsidRDefault="009743D6" w:rsidP="00B262FD">
      <w:pPr>
        <w:pStyle w:val="Bullet-Solid"/>
      </w:pPr>
      <w:r w:rsidRPr="00516AFA">
        <w:rPr>
          <w:b/>
        </w:rPr>
        <w:t>Deerfield Substation Expansion Project</w:t>
      </w:r>
      <w:r w:rsidRPr="00F66784">
        <w:rPr>
          <w:rStyle w:val="FootnoteReference"/>
          <w:b/>
          <w:sz w:val="22"/>
        </w:rPr>
        <w:footnoteReference w:id="135"/>
      </w:r>
      <w:r>
        <w:rPr>
          <w:rFonts w:cs="Times New Roman"/>
          <w:b/>
        </w:rPr>
        <w:t>—</w:t>
      </w:r>
      <w:r w:rsidRPr="00516AFA">
        <w:t xml:space="preserve">This project adds a second 345/115 kV </w:t>
      </w:r>
      <w:r>
        <w:t>auto</w:t>
      </w:r>
      <w:r w:rsidRPr="00516AFA">
        <w:t xml:space="preserve">transformer at the Deerfield </w:t>
      </w:r>
      <w:r w:rsidRPr="00AF00D0">
        <w:t xml:space="preserve">substation in New Hampshire. </w:t>
      </w:r>
      <w:r>
        <w:t>T</w:t>
      </w:r>
      <w:r w:rsidRPr="00AF00D0">
        <w:t xml:space="preserve">hree new 345 kV circuit breakers will be added to eliminate problematic contingencies. </w:t>
      </w:r>
      <w:r>
        <w:t xml:space="preserve">Five 115 kV </w:t>
      </w:r>
      <w:r w:rsidRPr="00AF00D0">
        <w:t xml:space="preserve">circuit </w:t>
      </w:r>
      <w:r>
        <w:t>breakers will be replaced, and one</w:t>
      </w:r>
      <w:r w:rsidRPr="00AF00D0">
        <w:t xml:space="preserve"> new 115 kV circuit breaker will be added. </w:t>
      </w:r>
      <w:r>
        <w:t xml:space="preserve">To mitigate area overloads, the </w:t>
      </w:r>
      <w:r w:rsidRPr="00531842">
        <w:t>Madbury to Deerfield (</w:t>
      </w:r>
      <w:r>
        <w:t>L175</w:t>
      </w:r>
      <w:r w:rsidRPr="00531842">
        <w:t>)</w:t>
      </w:r>
      <w:r>
        <w:t xml:space="preserve"> </w:t>
      </w:r>
      <w:r w:rsidRPr="00531842">
        <w:t>115</w:t>
      </w:r>
      <w:r>
        <w:t xml:space="preserve"> </w:t>
      </w:r>
      <w:r w:rsidRPr="00531842">
        <w:t xml:space="preserve">kV </w:t>
      </w:r>
      <w:r>
        <w:t>line will be rebuilt and the Dover to Madbury (M183</w:t>
      </w:r>
      <w:r w:rsidRPr="00531842">
        <w:t>)</w:t>
      </w:r>
      <w:r>
        <w:t xml:space="preserve"> </w:t>
      </w:r>
      <w:r w:rsidRPr="00531842">
        <w:t>115</w:t>
      </w:r>
      <w:r>
        <w:t> </w:t>
      </w:r>
      <w:r w:rsidRPr="00531842">
        <w:t xml:space="preserve">kV line </w:t>
      </w:r>
      <w:r>
        <w:t xml:space="preserve">and </w:t>
      </w:r>
      <w:r w:rsidRPr="00531842">
        <w:t>Deerfield to Ro</w:t>
      </w:r>
      <w:r>
        <w:t>c</w:t>
      </w:r>
      <w:r w:rsidRPr="00531842">
        <w:t>hester (</w:t>
      </w:r>
      <w:r>
        <w:t>C129</w:t>
      </w:r>
      <w:r w:rsidRPr="00531842">
        <w:t>)</w:t>
      </w:r>
      <w:r>
        <w:t xml:space="preserve"> </w:t>
      </w:r>
      <w:r w:rsidRPr="00531842">
        <w:t>115</w:t>
      </w:r>
      <w:r>
        <w:t xml:space="preserve"> </w:t>
      </w:r>
      <w:r w:rsidRPr="00531842">
        <w:t>kV</w:t>
      </w:r>
      <w:r>
        <w:t xml:space="preserve"> line will be reconductored. In addition, the Rochester substation will be </w:t>
      </w:r>
      <w:r w:rsidRPr="00531842">
        <w:t>expanded</w:t>
      </w:r>
      <w:r>
        <w:t xml:space="preserve"> to accommodate a new radial line to a new North Rochester substation</w:t>
      </w:r>
      <w:r w:rsidRPr="00531842">
        <w:t xml:space="preserve">. </w:t>
      </w:r>
      <w:r w:rsidRPr="00AF00D0">
        <w:t xml:space="preserve">The </w:t>
      </w:r>
      <w:r w:rsidR="00AD205C">
        <w:t xml:space="preserve">plan is to place this </w:t>
      </w:r>
      <w:r w:rsidRPr="00AF00D0">
        <w:t>project in service in 2012</w:t>
      </w:r>
      <w:r>
        <w:t xml:space="preserve"> </w:t>
      </w:r>
      <w:r w:rsidR="00AD205C">
        <w:t xml:space="preserve">and shows </w:t>
      </w:r>
      <w:r>
        <w:t xml:space="preserve">the </w:t>
      </w:r>
      <w:r w:rsidR="00084F2F">
        <w:t xml:space="preserve">work at </w:t>
      </w:r>
      <w:r>
        <w:t xml:space="preserve">Rochester </w:t>
      </w:r>
      <w:r w:rsidR="00084F2F">
        <w:t xml:space="preserve">and North </w:t>
      </w:r>
      <w:r w:rsidR="00D4331C" w:rsidRPr="00D4331C">
        <w:t xml:space="preserve">Rochester needed by </w:t>
      </w:r>
      <w:r>
        <w:t>2015</w:t>
      </w:r>
      <w:r w:rsidRPr="00AF00D0">
        <w:t>.</w:t>
      </w:r>
    </w:p>
    <w:p w:rsidR="009743D6" w:rsidRDefault="009743D6" w:rsidP="00B262FD">
      <w:pPr>
        <w:pStyle w:val="Bullet-Solid"/>
      </w:pPr>
      <w:r w:rsidRPr="00AF00D0">
        <w:rPr>
          <w:b/>
        </w:rPr>
        <w:t>Littleton Reconfiguration Project</w:t>
      </w:r>
      <w:r w:rsidRPr="00F66784">
        <w:rPr>
          <w:rStyle w:val="FootnoteReference"/>
          <w:b/>
          <w:sz w:val="22"/>
        </w:rPr>
        <w:footnoteReference w:id="136"/>
      </w:r>
      <w:r>
        <w:rPr>
          <w:rFonts w:cs="Times New Roman"/>
          <w:b/>
        </w:rPr>
        <w:t>—</w:t>
      </w:r>
      <w:r w:rsidRPr="00AF00D0">
        <w:t>To improve system performance, this project adds 115 kV breakers at the Littleton substation in New Hampshire and</w:t>
      </w:r>
      <w:r>
        <w:t xml:space="preserve"> relocates the Littleton 230/115 kV autotransformer from the 115 kV bus to a new bay position. The planned in-service date for the project is June 2011. </w:t>
      </w:r>
    </w:p>
    <w:p w:rsidR="009743D6" w:rsidRDefault="009743D6" w:rsidP="00B262FD">
      <w:pPr>
        <w:pStyle w:val="Bullet-Solid"/>
      </w:pPr>
      <w:r>
        <w:rPr>
          <w:b/>
        </w:rPr>
        <w:t>Rumford</w:t>
      </w:r>
      <w:r>
        <w:t>–</w:t>
      </w:r>
      <w:r>
        <w:rPr>
          <w:b/>
        </w:rPr>
        <w:t>Woodstock–Kimball Road (RWK) Corridor Transmission Project</w:t>
      </w:r>
      <w:r>
        <w:rPr>
          <w:rFonts w:cs="Times New Roman"/>
          <w:b/>
        </w:rPr>
        <w:t>—</w:t>
      </w:r>
      <w:r>
        <w:t>The</w:t>
      </w:r>
      <w:r>
        <w:rPr>
          <w:b/>
        </w:rPr>
        <w:t xml:space="preserve"> </w:t>
      </w:r>
      <w:r w:rsidRPr="006073E8">
        <w:t>n</w:t>
      </w:r>
      <w:r>
        <w:t xml:space="preserve">orthwestern </w:t>
      </w:r>
      <w:smartTag w:uri="urn:schemas-microsoft-com:office:smarttags" w:element="place">
        <w:smartTag w:uri="urn:schemas-microsoft-com:office:smarttags" w:element="State">
          <w:r>
            <w:t>Maine</w:t>
          </w:r>
        </w:smartTag>
      </w:smartTag>
      <w:r>
        <w:t xml:space="preserve"> transmission system is influenced heavily by pulp and paper industrial load, but it also has significant area generation, which presently is the area’s main source of voltage support. The need for additional transmission and voltage support ha</w:t>
      </w:r>
      <w:r w:rsidR="007B575F">
        <w:t>s</w:t>
      </w:r>
      <w:r>
        <w:t xml:space="preserve"> been identified. The RWK project upgrades include constructing a new transmission line, upgrading existing transmission lines, installing additional capacitor banks, and changing substation configurations. All these upgrades will increase the system reliability of the western </w:t>
      </w:r>
      <w:smartTag w:uri="urn:schemas-microsoft-com:office:smarttags" w:element="place">
        <w:smartTag w:uri="urn:schemas-microsoft-com:office:smarttags" w:element="State">
          <w:r>
            <w:t>Maine</w:t>
          </w:r>
        </w:smartTag>
      </w:smartTag>
      <w:r>
        <w:t xml:space="preserve"> network. One aspect of the project has been changed </w:t>
      </w:r>
      <w:r w:rsidR="008254DE">
        <w:t xml:space="preserve">because of </w:t>
      </w:r>
      <w:r>
        <w:t xml:space="preserve">the cancellation of local planned system expansion (the Railroad </w:t>
      </w:r>
      <w:r w:rsidRPr="00657A1E">
        <w:t xml:space="preserve">Street </w:t>
      </w:r>
      <w:r w:rsidR="00C814EB" w:rsidRPr="00657A1E">
        <w:t>[NewPage]</w:t>
      </w:r>
      <w:r w:rsidRPr="00657A1E">
        <w:t xml:space="preserve"> Project).</w:t>
      </w:r>
      <w:r>
        <w:t xml:space="preserve"> This has altered the RWK project to replace the new 115 kV line between Rumford Industrial Park and Railroad Street with a new 115 kV line between Rumford Industrial Park and Rumford. While some pieces of the RWK project have been placed in service, the planned in-service date for the entire project is the end of 2010. </w:t>
      </w:r>
    </w:p>
    <w:p w:rsidR="009743D6" w:rsidRPr="00A42DB8" w:rsidRDefault="009743D6" w:rsidP="00B262FD">
      <w:pPr>
        <w:pStyle w:val="Bullet-Solid"/>
        <w:rPr>
          <w:rFonts w:ascii="Garamond" w:hAnsi="Garamond"/>
        </w:rPr>
      </w:pPr>
      <w:r w:rsidRPr="00516AFA">
        <w:rPr>
          <w:b/>
          <w:bCs/>
        </w:rPr>
        <w:t>Heywood Road (formerly Benton) Project</w:t>
      </w:r>
      <w:r w:rsidR="00070661" w:rsidRPr="00070661">
        <w:rPr>
          <w:rFonts w:cs="Times New Roman"/>
          <w:b/>
          <w:bCs/>
        </w:rPr>
        <w:t>—</w:t>
      </w:r>
      <w:r w:rsidRPr="00516AFA">
        <w:t>Transmission upgrades are required to mitigate low voltages and voltage collapse in the Skowhegan–Waterville–</w:t>
      </w:r>
      <w:r w:rsidRPr="0040655C">
        <w:t>Winslow area in Maine that</w:t>
      </w:r>
      <w:r w:rsidRPr="00516AFA">
        <w:t xml:space="preserve"> could result from the contingent loss of </w:t>
      </w:r>
      <w:r>
        <w:t>critical lines in the area</w:t>
      </w:r>
      <w:r w:rsidRPr="00516AFA">
        <w:t xml:space="preserve">. A new switchyard connecting </w:t>
      </w:r>
      <w:r>
        <w:t>the Winslow</w:t>
      </w:r>
      <w:r>
        <w:rPr>
          <w:rFonts w:cs="Times New Roman"/>
        </w:rPr>
        <w:t>−</w:t>
      </w:r>
      <w:r>
        <w:t xml:space="preserve">Wyman Hydro, Coopers Mills–Rice Rips, and Heywood–Wyman Hydro (lines 83, 67A, and 241, respectively) in a six-breaker ring-bus configuration will provide an additional path </w:t>
      </w:r>
      <w:r w:rsidRPr="00A8729A">
        <w:t>from Coopers Mills (formerly Maxcys) substation</w:t>
      </w:r>
      <w:r>
        <w:t xml:space="preserve"> to the Waterville–Winslow area. This new switchyard will improve the system voltage performance. The upgrade</w:t>
      </w:r>
      <w:r w:rsidRPr="00516AFA">
        <w:t>d Heywood Road switchyard will be located along an existing right-of-way where sections 67A and 83 can be joined at a common point. This project also includes the addition of a 20</w:t>
      </w:r>
      <w:r>
        <w:t> </w:t>
      </w:r>
      <w:r w:rsidR="004042A4" w:rsidRPr="004042A4">
        <w:t xml:space="preserve">megavolt-ampere </w:t>
      </w:r>
      <w:r w:rsidR="00D4331C" w:rsidRPr="00D4331C">
        <w:t>reactive (MVAR)</w:t>
      </w:r>
      <w:r w:rsidRPr="00516AFA">
        <w:t xml:space="preserve"> capacitor bank at the Heywood Road </w:t>
      </w:r>
      <w:r w:rsidRPr="0009364C">
        <w:t>switchyard and an upgrade of portions of section 67A between the tap point of section 67 and the switchyard. The planned in-service date for this project is 20</w:t>
      </w:r>
      <w:r>
        <w:t>10</w:t>
      </w:r>
      <w:r w:rsidRPr="0009364C">
        <w:t>.</w:t>
      </w:r>
      <w:r w:rsidRPr="007A0029">
        <w:t xml:space="preserve"> </w:t>
      </w:r>
    </w:p>
    <w:p w:rsidR="00994E2A" w:rsidRDefault="00994E2A" w:rsidP="00994E2A">
      <w:pPr>
        <w:pStyle w:val="Bullet-Solid"/>
      </w:pPr>
      <w:r>
        <w:rPr>
          <w:b/>
        </w:rPr>
        <w:t>Section 63 Area Voltage Support</w:t>
      </w:r>
      <w:r>
        <w:rPr>
          <w:b/>
          <w:bCs/>
        </w:rPr>
        <w:t>—</w:t>
      </w:r>
      <w:r>
        <w:t xml:space="preserve">Currently, all loads served by the Wyman–Livermore Falls 115 kV line (section 63) are </w:t>
      </w:r>
      <w:r w:rsidR="00D04BB5">
        <w:t>exposed to contingency outages</w:t>
      </w:r>
      <w:r>
        <w:t xml:space="preserve">. Additionally, </w:t>
      </w:r>
      <w:r w:rsidR="00D04BB5">
        <w:t xml:space="preserve">area </w:t>
      </w:r>
      <w:r>
        <w:t xml:space="preserve">voltages fall to unacceptable levels </w:t>
      </w:r>
      <w:r w:rsidR="004042A4">
        <w:t xml:space="preserve">because of </w:t>
      </w:r>
      <w:r>
        <w:t>contingenc</w:t>
      </w:r>
      <w:r w:rsidR="00D04BB5">
        <w:t>ies</w:t>
      </w:r>
      <w:r w:rsidR="00E84B2C">
        <w:t xml:space="preserve">. </w:t>
      </w:r>
      <w:r>
        <w:t xml:space="preserve">To mitigate violations observed, a new switching station at the 63B </w:t>
      </w:r>
      <w:r w:rsidR="004042A4">
        <w:t>t</w:t>
      </w:r>
      <w:r>
        <w:t>ap, referred to as the Starks Switching Station, will be constructed</w:t>
      </w:r>
      <w:r w:rsidR="004042A4">
        <w:t>,</w:t>
      </w:r>
      <w:r>
        <w:t xml:space="preserve"> and two 18</w:t>
      </w:r>
      <w:r w:rsidR="00E43AF6">
        <w:t> </w:t>
      </w:r>
      <w:r>
        <w:t>MVAR capacitor banks will be added to that station. These upgrades have a proposed in-service date of December 2012.</w:t>
      </w:r>
    </w:p>
    <w:p w:rsidR="009743D6" w:rsidRDefault="009743D6" w:rsidP="00B262FD">
      <w:pPr>
        <w:pStyle w:val="Bullet-Solid"/>
        <w:rPr>
          <w:b/>
        </w:rPr>
      </w:pPr>
      <w:r>
        <w:rPr>
          <w:b/>
        </w:rPr>
        <w:t>Maine Power Reliabi</w:t>
      </w:r>
      <w:r w:rsidRPr="00A67BF5">
        <w:rPr>
          <w:b/>
        </w:rPr>
        <w:t>lity Program</w:t>
      </w:r>
      <w:r>
        <w:rPr>
          <w:rFonts w:cs="Times New Roman"/>
          <w:b/>
        </w:rPr>
        <w:t>—</w:t>
      </w:r>
      <w:r>
        <w:t>The MPRP provides a 10-year look at the Maine transmission system and has identified the following inadequacies:</w:t>
      </w:r>
      <w:r w:rsidR="000320E4" w:rsidRPr="000320E4">
        <w:rPr>
          <w:rStyle w:val="FootnoteReference"/>
          <w:sz w:val="22"/>
        </w:rPr>
        <w:footnoteReference w:id="137"/>
      </w:r>
    </w:p>
    <w:p w:rsidR="009743D6" w:rsidRDefault="009743D6" w:rsidP="00B262FD">
      <w:pPr>
        <w:pStyle w:val="Bullet-Open"/>
        <w:ind w:left="1080"/>
      </w:pPr>
      <w:r>
        <w:rPr>
          <w:b/>
        </w:rPr>
        <w:t>Insufficient 345 kV transmission—</w:t>
      </w:r>
      <w:smartTag w:uri="urn:schemas-microsoft-com:office:smarttags" w:element="State">
        <w:r w:rsidRPr="001E5EDD">
          <w:t>Maine</w:t>
        </w:r>
      </w:smartTag>
      <w:r w:rsidRPr="001E5EDD">
        <w:t xml:space="preserve"> currently has </w:t>
      </w:r>
      <w:r>
        <w:t xml:space="preserve">two </w:t>
      </w:r>
      <w:r w:rsidRPr="001E5EDD">
        <w:t xml:space="preserve">345 kV transmission paths from </w:t>
      </w:r>
      <w:r>
        <w:t>s</w:t>
      </w:r>
      <w:r w:rsidRPr="001E5EDD">
        <w:t xml:space="preserve">outhern to </w:t>
      </w:r>
      <w:r>
        <w:t>c</w:t>
      </w:r>
      <w:r w:rsidRPr="001E5EDD">
        <w:t xml:space="preserve">entral </w:t>
      </w:r>
      <w:smartTag w:uri="urn:schemas-microsoft-com:office:smarttags" w:element="State">
        <w:r w:rsidRPr="001E5EDD">
          <w:t>Maine</w:t>
        </w:r>
      </w:smartTag>
      <w:r>
        <w:t xml:space="preserve"> and two 345 kV ties </w:t>
      </w:r>
      <w:r w:rsidRPr="001E5EDD">
        <w:t xml:space="preserve">from </w:t>
      </w:r>
      <w:r>
        <w:t>n</w:t>
      </w:r>
      <w:r w:rsidRPr="001E5EDD">
        <w:t xml:space="preserve">orthern </w:t>
      </w:r>
      <w:smartTag w:uri="urn:schemas-microsoft-com:office:smarttags" w:element="State">
        <w:r w:rsidRPr="001E5EDD">
          <w:t>Maine</w:t>
        </w:r>
      </w:smartTag>
      <w:r w:rsidRPr="001E5EDD">
        <w:t xml:space="preserve"> to </w:t>
      </w:r>
      <w:smartTag w:uri="urn:schemas-microsoft-com:office:smarttags" w:element="place">
        <w:smartTag w:uri="urn:schemas-microsoft-com:office:smarttags" w:element="State">
          <w:r w:rsidRPr="001E5EDD">
            <w:t>New Brunswick</w:t>
          </w:r>
        </w:smartTag>
      </w:smartTag>
      <w:r w:rsidRPr="001E5EDD">
        <w:t xml:space="preserve">. </w:t>
      </w:r>
      <w:r>
        <w:t xml:space="preserve">In the central part of the system, </w:t>
      </w:r>
      <w:smartTag w:uri="urn:schemas-microsoft-com:office:smarttags" w:element="place">
        <w:smartTag w:uri="urn:schemas-microsoft-com:office:smarttags" w:element="State">
          <w:r w:rsidRPr="001E5EDD">
            <w:t>Maine</w:t>
          </w:r>
        </w:smartTag>
      </w:smartTag>
      <w:r w:rsidRPr="001E5EDD">
        <w:t xml:space="preserve"> has a single 345</w:t>
      </w:r>
      <w:r>
        <w:t> </w:t>
      </w:r>
      <w:r w:rsidRPr="001E5EDD">
        <w:t>kV path</w:t>
      </w:r>
      <w:r>
        <w:t>,</w:t>
      </w:r>
      <w:r w:rsidRPr="001E5EDD">
        <w:t xml:space="preserve"> which </w:t>
      </w:r>
      <w:r>
        <w:t xml:space="preserve">limits </w:t>
      </w:r>
      <w:r w:rsidRPr="001E5EDD">
        <w:t>reliability performance</w:t>
      </w:r>
      <w:r>
        <w:t xml:space="preserve"> and is a weak link in the system</w:t>
      </w:r>
      <w:r w:rsidRPr="001E5EDD">
        <w:t>.</w:t>
      </w:r>
    </w:p>
    <w:p w:rsidR="009743D6" w:rsidRDefault="009743D6" w:rsidP="00B262FD">
      <w:pPr>
        <w:pStyle w:val="Bullet-Open"/>
        <w:ind w:left="1080"/>
      </w:pPr>
      <w:r>
        <w:rPr>
          <w:b/>
        </w:rPr>
        <w:t>Insufficient 345/115 kV transformation capacity—</w:t>
      </w:r>
      <w:r w:rsidRPr="001E5EDD">
        <w:t xml:space="preserve">The reliability of </w:t>
      </w:r>
      <w:smartTag w:uri="urn:schemas-microsoft-com:office:smarttags" w:element="place">
        <w:smartTag w:uri="urn:schemas-microsoft-com:office:smarttags" w:element="State">
          <w:r>
            <w:t>Maine</w:t>
          </w:r>
        </w:smartTag>
      </w:smartTag>
      <w:r>
        <w:t xml:space="preserve">’s </w:t>
      </w:r>
      <w:r w:rsidRPr="001E5EDD">
        <w:t>115</w:t>
      </w:r>
      <w:r>
        <w:t> </w:t>
      </w:r>
      <w:r w:rsidRPr="001E5EDD">
        <w:t>kV system depend</w:t>
      </w:r>
      <w:r>
        <w:t>s</w:t>
      </w:r>
      <w:r w:rsidRPr="001E5EDD">
        <w:t xml:space="preserve"> on the capacity and availability of autotransformers at five locations. </w:t>
      </w:r>
      <w:r>
        <w:t>O</w:t>
      </w:r>
      <w:r w:rsidRPr="001E5EDD">
        <w:t>verloads of the autotransformers with all</w:t>
      </w:r>
      <w:r w:rsidR="00F711BA">
        <w:t xml:space="preserve"> </w:t>
      </w:r>
      <w:r w:rsidRPr="001E5EDD">
        <w:t>lines</w:t>
      </w:r>
      <w:r w:rsidR="00F711BA">
        <w:t xml:space="preserve"> </w:t>
      </w:r>
      <w:r w:rsidRPr="001E5EDD">
        <w:t>in</w:t>
      </w:r>
      <w:r>
        <w:t xml:space="preserve"> </w:t>
      </w:r>
      <w:r w:rsidRPr="001E5EDD">
        <w:t>service illustrate insufficient transformation capacity.</w:t>
      </w:r>
    </w:p>
    <w:p w:rsidR="009743D6" w:rsidRDefault="009743D6" w:rsidP="00B262FD">
      <w:pPr>
        <w:pStyle w:val="Bullet-Open"/>
        <w:ind w:left="1080"/>
      </w:pPr>
      <w:r>
        <w:rPr>
          <w:b/>
        </w:rPr>
        <w:t>Insufficient 345 kV transmission support for Portland and southern Maine—</w:t>
      </w:r>
      <w:r w:rsidRPr="001E5EDD">
        <w:t>The</w:t>
      </w:r>
      <w:r>
        <w:t> largest load pocket in Maine is subject to thermal and voltage reliability issues.</w:t>
      </w:r>
    </w:p>
    <w:p w:rsidR="009743D6" w:rsidRDefault="009743D6" w:rsidP="00B262FD">
      <w:pPr>
        <w:pStyle w:val="Bullet-Open"/>
        <w:ind w:left="1080"/>
        <w:rPr>
          <w:b/>
        </w:rPr>
      </w:pPr>
      <w:r>
        <w:rPr>
          <w:b/>
        </w:rPr>
        <w:t>Insufficient transmission infrastructure in western, central, and southern Maine regions—</w:t>
      </w:r>
      <w:r w:rsidRPr="002F2CD5">
        <w:t>Each of these regions in Maine represent</w:t>
      </w:r>
      <w:r>
        <w:t>s</w:t>
      </w:r>
      <w:r w:rsidRPr="002F2CD5">
        <w:t xml:space="preserve"> a major load pocket </w:t>
      </w:r>
      <w:r>
        <w:t xml:space="preserve">that </w:t>
      </w:r>
      <w:r w:rsidRPr="002F2CD5">
        <w:t>depend</w:t>
      </w:r>
      <w:r>
        <w:t>s</w:t>
      </w:r>
      <w:r w:rsidRPr="002F2CD5">
        <w:t xml:space="preserve"> on local generation to meet reliability standards.</w:t>
      </w:r>
    </w:p>
    <w:p w:rsidR="009743D6" w:rsidRDefault="009743D6" w:rsidP="00B262FD">
      <w:pPr>
        <w:pStyle w:val="Bullet-Open"/>
        <w:spacing w:after="240"/>
        <w:ind w:left="1080"/>
        <w:rPr>
          <w:b/>
        </w:rPr>
      </w:pPr>
      <w:r>
        <w:rPr>
          <w:b/>
        </w:rPr>
        <w:t xml:space="preserve">Insufficient transmission infrastructure in midcoast and “downeast” </w:t>
      </w:r>
      <w:smartTag w:uri="urn:schemas-microsoft-com:office:smarttags" w:element="State">
        <w:r>
          <w:rPr>
            <w:b/>
          </w:rPr>
          <w:t>Maine</w:t>
        </w:r>
      </w:smartTag>
      <w:r>
        <w:rPr>
          <w:b/>
        </w:rPr>
        <w:t xml:space="preserve"> regions—</w:t>
      </w:r>
      <w:r w:rsidRPr="00207867">
        <w:t>T</w:t>
      </w:r>
      <w:r w:rsidRPr="001E5EDD">
        <w:t xml:space="preserve">hese regions in </w:t>
      </w:r>
      <w:smartTag w:uri="urn:schemas-microsoft-com:office:smarttags" w:element="State">
        <w:r w:rsidRPr="001E5EDD">
          <w:t>Maine</w:t>
        </w:r>
      </w:smartTag>
      <w:r w:rsidRPr="001E5EDD">
        <w:t xml:space="preserve"> </w:t>
      </w:r>
      <w:r>
        <w:t>(i.e., Bucksport</w:t>
      </w:r>
      <w:r>
        <w:rPr>
          <w:rFonts w:cs="Times New Roman"/>
        </w:rPr>
        <w:t>−</w:t>
      </w:r>
      <w:r w:rsidRPr="002E7A00">
        <w:t>Eastport</w:t>
      </w:r>
      <w:r>
        <w:t xml:space="preserve">) </w:t>
      </w:r>
      <w:r w:rsidRPr="001E5EDD">
        <w:t>represent load pocket</w:t>
      </w:r>
      <w:r>
        <w:t>s</w:t>
      </w:r>
      <w:r w:rsidRPr="001E5EDD">
        <w:t xml:space="preserve"> </w:t>
      </w:r>
      <w:r>
        <w:t xml:space="preserve">that have </w:t>
      </w:r>
      <w:r w:rsidRPr="001E5EDD">
        <w:t xml:space="preserve">no local generation and </w:t>
      </w:r>
      <w:r>
        <w:t>fully depend on the t</w:t>
      </w:r>
      <w:r w:rsidRPr="001E5EDD">
        <w:t>ransmission</w:t>
      </w:r>
      <w:r>
        <w:t xml:space="preserve"> system</w:t>
      </w:r>
      <w:r w:rsidRPr="001E5EDD">
        <w:t>.</w:t>
      </w:r>
    </w:p>
    <w:p w:rsidR="009743D6" w:rsidRPr="00EA405E" w:rsidRDefault="009743D6" w:rsidP="00B262FD">
      <w:pPr>
        <w:pStyle w:val="Bullet-Solid"/>
        <w:spacing w:after="240"/>
      </w:pPr>
      <w:r w:rsidRPr="00070661">
        <w:rPr>
          <w:b/>
        </w:rPr>
        <w:t xml:space="preserve">MPRP Transmission Alternatives </w:t>
      </w:r>
      <w:r w:rsidR="00070661" w:rsidRPr="00070661">
        <w:rPr>
          <w:b/>
        </w:rPr>
        <w:t>S</w:t>
      </w:r>
      <w:r w:rsidRPr="00070661">
        <w:rPr>
          <w:b/>
        </w:rPr>
        <w:t>tudy</w:t>
      </w:r>
      <w:r w:rsidR="00070661" w:rsidRPr="00070661">
        <w:rPr>
          <w:rFonts w:cs="Times New Roman"/>
          <w:b/>
          <w:bCs/>
        </w:rPr>
        <w:t>—</w:t>
      </w:r>
      <w:r w:rsidR="00070661" w:rsidRPr="00070661">
        <w:rPr>
          <w:rFonts w:cs="Times New Roman"/>
          <w:bCs/>
        </w:rPr>
        <w:t>This study</w:t>
      </w:r>
      <w:r w:rsidR="00070661">
        <w:rPr>
          <w:rFonts w:cs="Times New Roman"/>
          <w:b/>
          <w:bCs/>
        </w:rPr>
        <w:t xml:space="preserve"> </w:t>
      </w:r>
      <w:r>
        <w:t xml:space="preserve">identified </w:t>
      </w:r>
      <w:r w:rsidRPr="00B12705">
        <w:t>transmission upgrades to</w:t>
      </w:r>
      <w:r>
        <w:t xml:space="preserve"> serve load pockets and ensure the system will meet national and regional transmission reliability criteria.</w:t>
      </w:r>
      <w:r w:rsidRPr="00F35E0F">
        <w:rPr>
          <w:rStyle w:val="FootnoteReference"/>
          <w:sz w:val="22"/>
        </w:rPr>
        <w:footnoteReference w:id="138"/>
      </w:r>
      <w:r>
        <w:t xml:space="preserve"> These projects will provide the ancillary benefit of facilitating the maintenance of the system in Maine. The selected alternative, referred to in </w:t>
      </w:r>
      <w:r w:rsidRPr="008A49DC">
        <w:t xml:space="preserve">the transmission alternatives study as “N5S1,” consists of significant </w:t>
      </w:r>
      <w:r>
        <w:t xml:space="preserve">additions of </w:t>
      </w:r>
      <w:r w:rsidRPr="008A49DC">
        <w:t>new 345 kV lines</w:t>
      </w:r>
      <w:r>
        <w:t>,</w:t>
      </w:r>
      <w:r w:rsidRPr="008A49DC">
        <w:t xml:space="preserve"> 115 kV lines</w:t>
      </w:r>
      <w:r>
        <w:t xml:space="preserve">, </w:t>
      </w:r>
      <w:r w:rsidRPr="008A49DC">
        <w:t>115 kV capacitors</w:t>
      </w:r>
      <w:r>
        <w:t xml:space="preserve">, </w:t>
      </w:r>
      <w:r w:rsidRPr="008A49DC">
        <w:t>345/115</w:t>
      </w:r>
      <w:r>
        <w:t> </w:t>
      </w:r>
      <w:r w:rsidRPr="008A49DC">
        <w:t>kV autotransformers</w:t>
      </w:r>
      <w:r>
        <w:t xml:space="preserve">, </w:t>
      </w:r>
      <w:r w:rsidR="008254DE">
        <w:t xml:space="preserve">and </w:t>
      </w:r>
      <w:r w:rsidRPr="008A49DC">
        <w:t>line rebuilds</w:t>
      </w:r>
      <w:r>
        <w:t xml:space="preserve">, </w:t>
      </w:r>
      <w:r w:rsidRPr="008A49DC">
        <w:t>and the separation of circuits shar</w:t>
      </w:r>
      <w:r>
        <w:t>ing</w:t>
      </w:r>
      <w:r w:rsidRPr="008A49DC">
        <w:t xml:space="preserve"> common towers. The new 345 </w:t>
      </w:r>
      <w:r w:rsidRPr="00816C14">
        <w:t xml:space="preserve">kV lines in the north create a </w:t>
      </w:r>
      <w:r>
        <w:t xml:space="preserve">345 kV </w:t>
      </w:r>
      <w:r w:rsidRPr="00816C14">
        <w:t xml:space="preserve">path from Orrington to Surowiec, while the new 345 kV lines in the south create a third parallel path from Surowiec to </w:t>
      </w:r>
      <w:r>
        <w:t>Three Rivers in southern Maine</w:t>
      </w:r>
      <w:r w:rsidRPr="00816C14">
        <w:t>. While</w:t>
      </w:r>
      <w:r>
        <w:t xml:space="preserve"> these new paths are expected to increase transfer capability out of </w:t>
      </w:r>
      <w:smartTag w:uri="urn:schemas-microsoft-com:office:smarttags" w:element="State">
        <w:r>
          <w:t>Maine</w:t>
        </w:r>
      </w:smartTag>
      <w:r>
        <w:t xml:space="preserve">, they also will increase the ability to move power into </w:t>
      </w:r>
      <w:smartTag w:uri="urn:schemas-microsoft-com:office:smarttags" w:element="State">
        <w:r>
          <w:t>Maine</w:t>
        </w:r>
      </w:smartTag>
      <w:r>
        <w:t xml:space="preserve"> from </w:t>
      </w:r>
      <w:smartTag w:uri="urn:schemas-microsoft-com:office:smarttags" w:element="State">
        <w:r w:rsidRPr="002E7A00">
          <w:t>New Hampshire</w:t>
        </w:r>
      </w:smartTag>
      <w:r w:rsidRPr="002E7A00">
        <w:t xml:space="preserve"> and improve the ability of the transmission system within </w:t>
      </w:r>
      <w:smartTag w:uri="urn:schemas-microsoft-com:office:smarttags" w:element="place">
        <w:smartTag w:uri="urn:schemas-microsoft-com:office:smarttags" w:element="State">
          <w:r w:rsidRPr="002E7A00">
            <w:t>Maine</w:t>
          </w:r>
        </w:smartTag>
      </w:smartTag>
      <w:r w:rsidRPr="002E7A00">
        <w:t xml:space="preserve"> to move power into the load pockets as </w:t>
      </w:r>
      <w:r w:rsidR="00EF25EB" w:rsidRPr="00EF25EB">
        <w:t xml:space="preserve">necessary. The major 345 kV </w:t>
      </w:r>
      <w:r w:rsidR="003174D8" w:rsidRPr="003174D8">
        <w:t>components of the plan are as follows:</w:t>
      </w:r>
    </w:p>
    <w:p w:rsidR="009743D6" w:rsidRPr="00EA405E" w:rsidRDefault="003174D8" w:rsidP="00B262FD">
      <w:pPr>
        <w:pStyle w:val="Bullet-Open"/>
        <w:spacing w:before="0" w:after="120"/>
        <w:ind w:left="1080"/>
      </w:pPr>
      <w:r w:rsidRPr="003174D8">
        <w:t>New 345 kV line construction</w:t>
      </w:r>
    </w:p>
    <w:p w:rsidR="00C73E33" w:rsidRDefault="003174D8" w:rsidP="00BB34F0">
      <w:pPr>
        <w:pStyle w:val="Bullet-Open"/>
        <w:numPr>
          <w:ilvl w:val="0"/>
          <w:numId w:val="41"/>
        </w:numPr>
        <w:spacing w:before="0" w:after="120"/>
        <w:ind w:left="1440"/>
      </w:pPr>
      <w:r w:rsidRPr="003174D8">
        <w:t>Orrington–Albion Road</w:t>
      </w:r>
    </w:p>
    <w:p w:rsidR="00C73E33" w:rsidRDefault="003174D8" w:rsidP="00BB34F0">
      <w:pPr>
        <w:pStyle w:val="Bullet-Open"/>
        <w:numPr>
          <w:ilvl w:val="0"/>
          <w:numId w:val="41"/>
        </w:numPr>
        <w:spacing w:before="0" w:after="120"/>
        <w:ind w:left="1440"/>
      </w:pPr>
      <w:r w:rsidRPr="003174D8">
        <w:t>Albion Road–Coopers Mills</w:t>
      </w:r>
    </w:p>
    <w:p w:rsidR="00C73E33" w:rsidRDefault="003174D8" w:rsidP="00BB34F0">
      <w:pPr>
        <w:pStyle w:val="Bullet-Open"/>
        <w:numPr>
          <w:ilvl w:val="0"/>
          <w:numId w:val="41"/>
        </w:numPr>
        <w:spacing w:before="0" w:after="120"/>
        <w:ind w:left="1440"/>
      </w:pPr>
      <w:r w:rsidRPr="003174D8">
        <w:t>Coopers Mills–Larrabee Road</w:t>
      </w:r>
    </w:p>
    <w:p w:rsidR="00C73E33" w:rsidRDefault="003174D8" w:rsidP="00BB34F0">
      <w:pPr>
        <w:pStyle w:val="Bullet-Open"/>
        <w:numPr>
          <w:ilvl w:val="0"/>
          <w:numId w:val="41"/>
        </w:numPr>
        <w:spacing w:before="0" w:after="120"/>
        <w:ind w:left="1440"/>
      </w:pPr>
      <w:r w:rsidRPr="003174D8">
        <w:t>Larrabee Road–Surowiec</w:t>
      </w:r>
    </w:p>
    <w:p w:rsidR="00C73E33" w:rsidRDefault="003174D8" w:rsidP="00BB34F0">
      <w:pPr>
        <w:pStyle w:val="Bullet-Open"/>
        <w:numPr>
          <w:ilvl w:val="0"/>
          <w:numId w:val="41"/>
        </w:numPr>
        <w:spacing w:before="0" w:after="120"/>
        <w:ind w:left="1440"/>
      </w:pPr>
      <w:r w:rsidRPr="003174D8">
        <w:t>Surowiec–Raven Farm</w:t>
      </w:r>
    </w:p>
    <w:p w:rsidR="00C73E33" w:rsidRDefault="003174D8" w:rsidP="00BB34F0">
      <w:pPr>
        <w:pStyle w:val="Bullet-Open"/>
        <w:numPr>
          <w:ilvl w:val="0"/>
          <w:numId w:val="41"/>
        </w:numPr>
        <w:spacing w:before="0" w:after="120"/>
        <w:ind w:left="1440"/>
      </w:pPr>
      <w:r w:rsidRPr="003174D8">
        <w:t>South Gorham–Maguire Road</w:t>
      </w:r>
    </w:p>
    <w:p w:rsidR="00C73E33" w:rsidRDefault="003174D8" w:rsidP="00BB34F0">
      <w:pPr>
        <w:pStyle w:val="Bullet-Open"/>
        <w:numPr>
          <w:ilvl w:val="0"/>
          <w:numId w:val="41"/>
        </w:numPr>
        <w:spacing w:before="0" w:after="120"/>
        <w:ind w:left="1440"/>
      </w:pPr>
      <w:r w:rsidRPr="003174D8">
        <w:t>Maguire Road–Three Rivers</w:t>
      </w:r>
    </w:p>
    <w:p w:rsidR="009743D6" w:rsidRPr="00EA405E" w:rsidRDefault="003174D8" w:rsidP="00B262FD">
      <w:pPr>
        <w:pStyle w:val="Bullet-Open"/>
        <w:spacing w:before="0" w:after="120"/>
        <w:ind w:left="1080"/>
      </w:pPr>
      <w:r w:rsidRPr="003174D8">
        <w:t>New 345/115 kV autotransformers</w:t>
      </w:r>
    </w:p>
    <w:p w:rsidR="00C73E33" w:rsidRDefault="003174D8" w:rsidP="00BB34F0">
      <w:pPr>
        <w:pStyle w:val="Bullet-Open"/>
        <w:numPr>
          <w:ilvl w:val="0"/>
          <w:numId w:val="42"/>
        </w:numPr>
        <w:spacing w:before="0" w:after="120"/>
        <w:ind w:left="1440"/>
      </w:pPr>
      <w:r w:rsidRPr="003174D8">
        <w:t>Albion Road</w:t>
      </w:r>
    </w:p>
    <w:p w:rsidR="00C73E33" w:rsidRDefault="003174D8" w:rsidP="00BB34F0">
      <w:pPr>
        <w:pStyle w:val="Bullet-Open"/>
        <w:numPr>
          <w:ilvl w:val="0"/>
          <w:numId w:val="42"/>
        </w:numPr>
        <w:spacing w:before="0" w:after="120"/>
        <w:ind w:left="1440"/>
      </w:pPr>
      <w:r w:rsidRPr="003174D8">
        <w:t>Larrabee Road</w:t>
      </w:r>
    </w:p>
    <w:p w:rsidR="00C73E33" w:rsidRDefault="003174D8" w:rsidP="00BB34F0">
      <w:pPr>
        <w:pStyle w:val="Bullet-Open"/>
        <w:numPr>
          <w:ilvl w:val="0"/>
          <w:numId w:val="42"/>
        </w:numPr>
        <w:spacing w:before="0" w:after="120"/>
        <w:ind w:left="1440"/>
      </w:pPr>
      <w:r w:rsidRPr="003174D8">
        <w:t>Raven Farm</w:t>
      </w:r>
    </w:p>
    <w:p w:rsidR="00C73E33" w:rsidRDefault="003174D8" w:rsidP="00BB34F0">
      <w:pPr>
        <w:pStyle w:val="Bullet-Open"/>
        <w:numPr>
          <w:ilvl w:val="0"/>
          <w:numId w:val="42"/>
        </w:numPr>
        <w:spacing w:before="0" w:after="120"/>
        <w:ind w:left="1440"/>
      </w:pPr>
      <w:r w:rsidRPr="003174D8">
        <w:t>Maguire Road</w:t>
      </w:r>
    </w:p>
    <w:p w:rsidR="00C73E33" w:rsidRDefault="003174D8" w:rsidP="00BB34F0">
      <w:pPr>
        <w:pStyle w:val="Bullet-Open"/>
        <w:numPr>
          <w:ilvl w:val="0"/>
          <w:numId w:val="42"/>
        </w:numPr>
        <w:spacing w:before="0" w:after="120"/>
        <w:ind w:left="1440"/>
      </w:pPr>
      <w:r w:rsidRPr="003174D8">
        <w:t>South Gorham</w:t>
      </w:r>
    </w:p>
    <w:p w:rsidR="009743D6" w:rsidRPr="00892859" w:rsidRDefault="009743D6" w:rsidP="00B262FD">
      <w:pPr>
        <w:pStyle w:val="Bullet-Open"/>
        <w:spacing w:before="0" w:after="120"/>
        <w:ind w:left="1080"/>
      </w:pPr>
      <w:r w:rsidRPr="00892859">
        <w:t>Separation of double-circuit towers (DCTs)</w:t>
      </w:r>
    </w:p>
    <w:p w:rsidR="009743D6" w:rsidRPr="00892859" w:rsidRDefault="009743D6" w:rsidP="00BB34F0">
      <w:pPr>
        <w:pStyle w:val="Bullet-Open"/>
        <w:numPr>
          <w:ilvl w:val="0"/>
          <w:numId w:val="42"/>
        </w:numPr>
        <w:spacing w:before="0" w:after="120"/>
        <w:ind w:left="1440"/>
      </w:pPr>
      <w:r w:rsidRPr="00892859">
        <w:t xml:space="preserve">345 kV </w:t>
      </w:r>
      <w:r w:rsidR="00821C68" w:rsidRPr="00892859">
        <w:t xml:space="preserve">Kennebec River Crossing </w:t>
      </w:r>
      <w:r w:rsidR="00892859" w:rsidRPr="00892859">
        <w:t xml:space="preserve">by the </w:t>
      </w:r>
      <w:r w:rsidR="00821C68" w:rsidRPr="00892859">
        <w:t>Maine Yankee</w:t>
      </w:r>
      <w:r w:rsidRPr="00892859">
        <w:t xml:space="preserve">−Buxton and Maine Yankee−Surowiec </w:t>
      </w:r>
      <w:r w:rsidR="00892859" w:rsidRPr="00892859">
        <w:t xml:space="preserve">circuits </w:t>
      </w:r>
      <w:r w:rsidRPr="00892859">
        <w:t>(375/377)</w:t>
      </w:r>
    </w:p>
    <w:p w:rsidR="009743D6" w:rsidRPr="006A34D8" w:rsidRDefault="009743D6" w:rsidP="00BB34F0">
      <w:pPr>
        <w:pStyle w:val="Bullet-Open"/>
        <w:numPr>
          <w:ilvl w:val="0"/>
          <w:numId w:val="42"/>
        </w:numPr>
        <w:spacing w:before="0" w:after="120"/>
        <w:ind w:left="1440"/>
      </w:pPr>
      <w:r w:rsidRPr="00531842">
        <w:t>345 kV Maine Yankee</w:t>
      </w:r>
      <w:r>
        <w:t>−</w:t>
      </w:r>
      <w:r w:rsidRPr="00531842">
        <w:t xml:space="preserve">Buxton </w:t>
      </w:r>
      <w:r w:rsidRPr="006A34D8">
        <w:t xml:space="preserve">and </w:t>
      </w:r>
      <w:r w:rsidRPr="00F35E0F">
        <w:t>Coopers Mill−</w:t>
      </w:r>
      <w:r w:rsidRPr="006A34D8">
        <w:t>Maine Yankee (375/392)</w:t>
      </w:r>
    </w:p>
    <w:p w:rsidR="009743D6" w:rsidRDefault="009743D6" w:rsidP="00B262FD">
      <w:pPr>
        <w:pStyle w:val="Bullet-Open"/>
        <w:spacing w:before="0" w:after="120"/>
        <w:ind w:left="1080"/>
      </w:pPr>
      <w:r w:rsidRPr="00D331E3">
        <w:t>Rerat</w:t>
      </w:r>
      <w:r w:rsidR="008B77D8">
        <w:t xml:space="preserve">ing of </w:t>
      </w:r>
      <w:r w:rsidRPr="00D331E3">
        <w:t>345</w:t>
      </w:r>
      <w:r>
        <w:t xml:space="preserve"> k</w:t>
      </w:r>
      <w:r w:rsidRPr="00D331E3">
        <w:t>V transmission lines</w:t>
      </w:r>
    </w:p>
    <w:p w:rsidR="009743D6" w:rsidRPr="00D331E3" w:rsidRDefault="009743D6" w:rsidP="00BB34F0">
      <w:pPr>
        <w:pStyle w:val="Bullet-Open"/>
        <w:numPr>
          <w:ilvl w:val="0"/>
          <w:numId w:val="42"/>
        </w:numPr>
        <w:spacing w:before="0" w:after="120"/>
        <w:ind w:left="1440"/>
      </w:pPr>
      <w:r w:rsidRPr="00D331E3">
        <w:t>Section 378 (345 kV Maine Yankee–Mason)</w:t>
      </w:r>
    </w:p>
    <w:p w:rsidR="00A740B3" w:rsidRPr="00B262FD" w:rsidRDefault="00A740B3" w:rsidP="00AE75AD">
      <w:pPr>
        <w:pStyle w:val="Bullet-Solid"/>
        <w:numPr>
          <w:ilvl w:val="0"/>
          <w:numId w:val="0"/>
        </w:numPr>
        <w:spacing w:after="240"/>
        <w:ind w:left="720"/>
      </w:pPr>
      <w:r w:rsidRPr="005A2EB7">
        <w:t xml:space="preserve">On July 1, 2008, CMP submitted a siting application for these MPRP projects </w:t>
      </w:r>
      <w:r w:rsidRPr="00836BB1">
        <w:t xml:space="preserve">to </w:t>
      </w:r>
      <w:r w:rsidR="00BC7F25" w:rsidRPr="00836BB1">
        <w:t>the Maine Public Utilities Commission (MPUC).</w:t>
      </w:r>
      <w:r w:rsidR="00BC7F25" w:rsidRPr="00836BB1">
        <w:rPr>
          <w:vertAlign w:val="superscript"/>
        </w:rPr>
        <w:footnoteReference w:id="139"/>
      </w:r>
      <w:r w:rsidRPr="00836BB1">
        <w:t xml:space="preserve"> In </w:t>
      </w:r>
      <w:r w:rsidR="00A73FE0" w:rsidRPr="00A73FE0">
        <w:t>June 2010, the MPUC issued an order app</w:t>
      </w:r>
      <w:r>
        <w:t>roving most of the MPRP. The 345 kV portions of the MPRP not approved were the installation of the autotransformer at Raven Farm, the reconfiguration of Maine Yankee substation, and the elimination of the double</w:t>
      </w:r>
      <w:r w:rsidR="00AE75AD">
        <w:t>-</w:t>
      </w:r>
      <w:r>
        <w:t>circuit tower configuration</w:t>
      </w:r>
      <w:r w:rsidR="00D4331C" w:rsidRPr="00D4331C">
        <w:t xml:space="preserve">, which exists on the Maine Yankee−Buxton and Coopers Mill−Maine Yankee (375/392) </w:t>
      </w:r>
      <w:r w:rsidR="00D4331C" w:rsidRPr="00D4331C">
        <w:rPr>
          <w:rFonts w:cs="Times New Roman"/>
        </w:rPr>
        <w:t xml:space="preserve">circuits. </w:t>
      </w:r>
      <w:r w:rsidR="00D4331C" w:rsidRPr="00D4331C">
        <w:rPr>
          <w:rFonts w:cs="Times New Roman"/>
          <w:color w:val="auto"/>
        </w:rPr>
        <w:t xml:space="preserve">On July 26, 2010, PSNH and CMP filed a supplemental </w:t>
      </w:r>
      <w:r w:rsidR="00E84FD3">
        <w:rPr>
          <w:rFonts w:cs="Times New Roman"/>
          <w:color w:val="auto"/>
        </w:rPr>
        <w:t>filing</w:t>
      </w:r>
      <w:r w:rsidR="00D4331C" w:rsidRPr="00D4331C">
        <w:rPr>
          <w:rFonts w:cs="Times New Roman"/>
          <w:color w:val="auto"/>
        </w:rPr>
        <w:t xml:space="preserve"> that provides additional information on the switching station near Three Rivers per the June 2010 MPUC order.</w:t>
      </w:r>
      <w:r w:rsidR="00D4331C" w:rsidRPr="00B62D30">
        <w:rPr>
          <w:rStyle w:val="FootnoteReference"/>
          <w:color w:val="auto"/>
          <w:sz w:val="22"/>
        </w:rPr>
        <w:footnoteReference w:id="140"/>
      </w:r>
    </w:p>
    <w:p w:rsidR="009743D6" w:rsidRPr="004D1064" w:rsidRDefault="009743D6" w:rsidP="00B262FD">
      <w:pPr>
        <w:pStyle w:val="Bullet-Solid"/>
        <w:rPr>
          <w:b/>
        </w:rPr>
      </w:pPr>
      <w:r w:rsidRPr="00E13F7C">
        <w:rPr>
          <w:b/>
        </w:rPr>
        <w:t>Chester Area Project</w:t>
      </w:r>
      <w:r>
        <w:rPr>
          <w:rFonts w:cs="Times New Roman"/>
          <w:b/>
        </w:rPr>
        <w:t>—</w:t>
      </w:r>
      <w:r w:rsidRPr="00E13F7C">
        <w:t xml:space="preserve">This project adds a 345/115 kV transformer at </w:t>
      </w:r>
      <w:r w:rsidRPr="002E7A00">
        <w:t>Keene Road in</w:t>
      </w:r>
      <w:r>
        <w:t xml:space="preserve"> </w:t>
      </w:r>
      <w:r w:rsidRPr="00AF00D0">
        <w:t xml:space="preserve">Chester, </w:t>
      </w:r>
      <w:r>
        <w:t>Maine</w:t>
      </w:r>
      <w:r w:rsidRPr="00AF00D0">
        <w:t>, to</w:t>
      </w:r>
      <w:r w:rsidRPr="00E13F7C">
        <w:t xml:space="preserve"> provide </w:t>
      </w:r>
      <w:r>
        <w:t xml:space="preserve">necessary </w:t>
      </w:r>
      <w:r w:rsidRPr="00E13F7C">
        <w:t xml:space="preserve">backup to the area load </w:t>
      </w:r>
      <w:r>
        <w:t>and allow for rebuilding the Keene to Enfield to Graham 115 kV section (line 64</w:t>
      </w:r>
      <w:r w:rsidRPr="00531842">
        <w:t>)</w:t>
      </w:r>
      <w:r>
        <w:t>.</w:t>
      </w:r>
      <w:r w:rsidR="00B62D30" w:rsidRPr="00B62D30">
        <w:rPr>
          <w:rStyle w:val="FootnoteReference"/>
          <w:sz w:val="22"/>
        </w:rPr>
        <w:footnoteReference w:id="141"/>
      </w:r>
      <w:r w:rsidRPr="00B62D30">
        <w:t xml:space="preserve"> </w:t>
      </w:r>
      <w:r>
        <w:t>Currently, section 64 needs to</w:t>
      </w:r>
      <w:r w:rsidRPr="00E13F7C">
        <w:t xml:space="preserve"> be rebuilt, and the are</w:t>
      </w:r>
      <w:r w:rsidRPr="00D37E26">
        <w:t>a’s</w:t>
      </w:r>
      <w:r>
        <w:t xml:space="preserve"> subtransmission </w:t>
      </w:r>
      <w:r w:rsidRPr="00E13F7C">
        <w:t xml:space="preserve">system is incapable of supporting area loads while construction is underway. In </w:t>
      </w:r>
      <w:r w:rsidRPr="002E7A00">
        <w:t>addition, the section 64 rebuild and the installation of the Keene Road autotransformer will provide area support following the</w:t>
      </w:r>
      <w:r w:rsidRPr="00E13F7C">
        <w:t xml:space="preserve"> loss of both autotransformers at Orrington</w:t>
      </w:r>
      <w:r>
        <w:t>. This project is expected to be in service in late 2011.</w:t>
      </w:r>
    </w:p>
    <w:p w:rsidR="009743D6" w:rsidRPr="00CA6757" w:rsidRDefault="009743D6" w:rsidP="00B262FD">
      <w:pPr>
        <w:pStyle w:val="Bullet-Solid"/>
        <w:rPr>
          <w:b/>
        </w:rPr>
      </w:pPr>
      <w:r w:rsidRPr="00F35E0F">
        <w:rPr>
          <w:b/>
          <w:bCs/>
        </w:rPr>
        <w:t xml:space="preserve">Monadnock </w:t>
      </w:r>
      <w:r w:rsidR="00070661">
        <w:rPr>
          <w:b/>
          <w:bCs/>
        </w:rPr>
        <w:t>R</w:t>
      </w:r>
      <w:r w:rsidRPr="00F35E0F">
        <w:rPr>
          <w:b/>
          <w:bCs/>
        </w:rPr>
        <w:t>egion</w:t>
      </w:r>
      <w:r w:rsidR="00070661" w:rsidRPr="00070661">
        <w:rPr>
          <w:rFonts w:cs="Times New Roman"/>
          <w:b/>
          <w:bCs/>
        </w:rPr>
        <w:t>—</w:t>
      </w:r>
      <w:r w:rsidRPr="00F35E0F">
        <w:t>The Monadnock region encompasses a three-state area of southeastern Vermont (Brattleboro to Bellows Falls and Ascutney), southwestern New Hampshire (Keene north to Claremont), and north-central Massachusetts (Pratts Junction to the northern border with New Hampshire). In addition to supplying local demand, the transmission facilities in this region are critical for supporting a wider area, including most of Vermont and northern New Hampshire. A new 345/115 kV substation at Fitzwilliam, New Hampshire, along the Amherst–Vermont Yankee 345 kV line, and a number of 115 kV upgrades have been developed to address existing and midterm voltage and thermal performance concerns. All these upgrades were completed in summer 2009.</w:t>
      </w:r>
      <w:r w:rsidRPr="00B525D4">
        <w:rPr>
          <w:rStyle w:val="FootnoteReference"/>
          <w:sz w:val="22"/>
        </w:rPr>
        <w:footnoteReference w:id="142"/>
      </w:r>
      <w:r w:rsidR="00720E4E">
        <w:t xml:space="preserve"> </w:t>
      </w:r>
      <w:r w:rsidRPr="00F35E0F">
        <w:t xml:space="preserve">Studies indicate the likely need for </w:t>
      </w:r>
      <w:r w:rsidRPr="00531842">
        <w:t xml:space="preserve">future transmission system reinforcements in this area and </w:t>
      </w:r>
      <w:r w:rsidRPr="006A34D8">
        <w:t xml:space="preserve">will be </w:t>
      </w:r>
      <w:r w:rsidRPr="00F35E0F">
        <w:t>reevaluated</w:t>
      </w:r>
      <w:r w:rsidRPr="006A34D8">
        <w:t xml:space="preserve"> as part</w:t>
      </w:r>
      <w:r w:rsidRPr="00531842">
        <w:t xml:space="preserve"> of the Vermont and New Hampshire 10-year assessments. </w:t>
      </w:r>
    </w:p>
    <w:p w:rsidR="00B462A6" w:rsidRDefault="009743D6">
      <w:pPr>
        <w:pStyle w:val="Heading3"/>
      </w:pPr>
      <w:bookmarkStart w:id="432" w:name="_Ref235171025"/>
      <w:bookmarkStart w:id="433" w:name="_Toc239157147"/>
      <w:bookmarkStart w:id="434" w:name="_Toc271632244"/>
      <w:r w:rsidRPr="00B36878">
        <w:t>Southern New Engla</w:t>
      </w:r>
      <w:bookmarkEnd w:id="418"/>
      <w:bookmarkEnd w:id="419"/>
      <w:r w:rsidRPr="00B36878">
        <w:t>nd</w:t>
      </w:r>
      <w:bookmarkEnd w:id="420"/>
      <w:bookmarkEnd w:id="421"/>
      <w:bookmarkEnd w:id="422"/>
      <w:bookmarkEnd w:id="423"/>
      <w:bookmarkEnd w:id="432"/>
      <w:bookmarkEnd w:id="433"/>
      <w:bookmarkEnd w:id="434"/>
      <w:r>
        <w:t xml:space="preserve"> </w:t>
      </w:r>
    </w:p>
    <w:p w:rsidR="009743D6" w:rsidRDefault="009743D6" w:rsidP="00073277">
      <w:r>
        <w:t>The southern New England area encompasses the Massachusetts, Rhode Island, and Connecticut transmission system. Studies of these states are being conducted to address</w:t>
      </w:r>
      <w:r w:rsidRPr="00DD0074">
        <w:t xml:space="preserve"> </w:t>
      </w:r>
      <w:r>
        <w:t xml:space="preserve">a wide range of transmission system concerns, both short and long term. </w:t>
      </w:r>
    </w:p>
    <w:p w:rsidR="00FC0261" w:rsidRDefault="009743D6" w:rsidP="00235A65">
      <w:pPr>
        <w:pStyle w:val="Heading4"/>
      </w:pPr>
      <w:r w:rsidRPr="00E13F7C">
        <w:t>Southern New England Transmission</w:t>
      </w:r>
    </w:p>
    <w:p w:rsidR="009743D6" w:rsidRDefault="009743D6" w:rsidP="00073277">
      <w:r w:rsidRPr="00E13F7C">
        <w:t>The 345 kV facilities that traverse southern New England comprise the primary infrastructure integrat</w:t>
      </w:r>
      <w:r>
        <w:t>ing</w:t>
      </w:r>
      <w:r w:rsidRPr="00E13F7C">
        <w:t xml:space="preserve"> southern New England, northern New England, and the Maritimes </w:t>
      </w:r>
      <w:r>
        <w:t xml:space="preserve">Balancing Authority </w:t>
      </w:r>
      <w:r w:rsidRPr="00E13F7C">
        <w:t xml:space="preserve">Area with the rest of the Eastern Interconnection. This network serves the majority of New England demand, integrating a substantial portion of the region’s </w:t>
      </w:r>
      <w:r>
        <w:t xml:space="preserve">supply, demand, and import </w:t>
      </w:r>
      <w:r w:rsidRPr="00E13F7C">
        <w:t xml:space="preserve">resources. </w:t>
      </w:r>
      <w:bookmarkStart w:id="435" w:name="_Ref200280189"/>
    </w:p>
    <w:bookmarkEnd w:id="435"/>
    <w:p w:rsidR="009743D6" w:rsidRDefault="009743D6" w:rsidP="00073277">
      <w:r>
        <w:t xml:space="preserve">Although recent improvements have been made, the southern New England system continues to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been overtaxed and no longer is able to serve load and support generation reliably. Upgrades to the power system are being planned and developed to ensure the system can meet its current level of demand and prepare for future load </w:t>
      </w:r>
      <w:r w:rsidRPr="00A8729A">
        <w:t xml:space="preserve">growth (see </w:t>
      </w:r>
      <w:fldSimple w:instr=" REF _Ref262119651 \r \h  \* MERGEFORMAT ">
        <w:r w:rsidR="00E5699E">
          <w:t>Section 3</w:t>
        </w:r>
      </w:fldSimple>
      <w:r w:rsidRPr="0037082D">
        <w:t>).</w:t>
      </w:r>
    </w:p>
    <w:p w:rsidR="00FC0261" w:rsidRDefault="009743D6" w:rsidP="00235A65">
      <w:pPr>
        <w:pStyle w:val="Heading4"/>
      </w:pPr>
      <w:bookmarkStart w:id="436" w:name="_Ref202020990"/>
      <w:r>
        <w:t>Southern New England Transmission System Studies</w:t>
      </w:r>
      <w:bookmarkEnd w:id="436"/>
    </w:p>
    <w:p w:rsidR="009743D6" w:rsidRDefault="009743D6" w:rsidP="00073277">
      <w:r>
        <w:t xml:space="preserve">Study efforts in southern </w:t>
      </w:r>
      <w:smartTag w:uri="urn:schemas-microsoft-com:office:smarttags" w:element="place">
        <w:r>
          <w:t>New England</w:t>
        </w:r>
      </w:smartTag>
      <w:r>
        <w:t xml:space="preserve"> have been progressing to address a wide range of system concerns. Major past </w:t>
      </w:r>
      <w:r w:rsidRPr="00C02247">
        <w:t>and ongoing efforts have focused on the load areas with the most significant risks to reliability and threats to the system</w:t>
      </w:r>
      <w:r>
        <w:t>, particularly the Boston area and southwestern Connecticut. More recently, plans have been developed to address the reliability of other parts of the system, particularly Connecticut</w:t>
      </w:r>
      <w:r w:rsidR="008254DE">
        <w:t>;</w:t>
      </w:r>
      <w:r>
        <w:t xml:space="preserve"> the Springfield, Massachusetts, area</w:t>
      </w:r>
      <w:r w:rsidR="008254DE">
        <w:t>;</w:t>
      </w:r>
      <w:r>
        <w:t xml:space="preserve"> central and western Massachusetts</w:t>
      </w:r>
      <w:r w:rsidR="008254DE">
        <w:t>;</w:t>
      </w:r>
      <w:r>
        <w:t xml:space="preserve"> Rhode Island</w:t>
      </w:r>
      <w:r w:rsidR="008254DE">
        <w:t>;</w:t>
      </w:r>
      <w:r>
        <w:t xml:space="preserve"> and southeastern Massachusetts, including Cape Cod. The need for some of these plans currently is being reassessed </w:t>
      </w:r>
      <w:r w:rsidR="00B462A6">
        <w:t xml:space="preserve">to account for the </w:t>
      </w:r>
      <w:r>
        <w:t xml:space="preserve">lower load forecast, new supply and demand resources, and sensitivities to the </w:t>
      </w:r>
      <w:r w:rsidR="00EF25EB" w:rsidRPr="001308F2">
        <w:t>unavailability</w:t>
      </w:r>
      <w:r w:rsidRPr="001308F2">
        <w:t xml:space="preserve"> of</w:t>
      </w:r>
      <w:r>
        <w:t xml:space="preserve"> </w:t>
      </w:r>
      <w:r w:rsidR="00302FDD">
        <w:t xml:space="preserve">the </w:t>
      </w:r>
      <w:r>
        <w:t xml:space="preserve">Vermont </w:t>
      </w:r>
      <w:r w:rsidRPr="00657A1E">
        <w:t xml:space="preserve">Yankee </w:t>
      </w:r>
      <w:r w:rsidR="00657A1E" w:rsidRPr="00657A1E">
        <w:t xml:space="preserve">generating </w:t>
      </w:r>
      <w:r w:rsidRPr="00657A1E">
        <w:t>facilit</w:t>
      </w:r>
      <w:r w:rsidR="00302FDD">
        <w:t>y</w:t>
      </w:r>
      <w:r w:rsidRPr="00657A1E">
        <w:t>.</w:t>
      </w:r>
      <w:r>
        <w:t xml:space="preserve"> These efforts also are </w:t>
      </w:r>
      <w:r w:rsidRPr="00E13F7C">
        <w:t>address</w:t>
      </w:r>
      <w:r>
        <w:t>ing</w:t>
      </w:r>
      <w:r w:rsidRPr="00E13F7C">
        <w:t xml:space="preserve"> the broader requirements of the overall east–west </w:t>
      </w:r>
      <w:r w:rsidR="00302FDD">
        <w:t>and west</w:t>
      </w:r>
      <w:r w:rsidR="00302FDD" w:rsidRPr="00E13F7C">
        <w:t>–</w:t>
      </w:r>
      <w:r w:rsidR="00302FDD">
        <w:t xml:space="preserve">east </w:t>
      </w:r>
      <w:r w:rsidRPr="00E13F7C">
        <w:t>transmission system</w:t>
      </w:r>
      <w:r w:rsidR="00302FDD">
        <w:t>s</w:t>
      </w:r>
      <w:r w:rsidRPr="00E13F7C">
        <w:t xml:space="preserve">. </w:t>
      </w:r>
    </w:p>
    <w:p w:rsidR="009743D6" w:rsidRDefault="0093398F" w:rsidP="00073277">
      <w:r>
        <w:t>Analyses of the Greater Boston and southwestern</w:t>
      </w:r>
      <w:r w:rsidR="009743D6">
        <w:t xml:space="preserve"> Connecticut areas, as well as </w:t>
      </w:r>
      <w:r w:rsidR="008254DE">
        <w:t>of</w:t>
      </w:r>
      <w:r w:rsidR="009743D6">
        <w:t xml:space="preserve"> the Pittsfield area of western Massachusetts,</w:t>
      </w:r>
      <w:r w:rsidR="009743D6" w:rsidRPr="006836EF">
        <w:t xml:space="preserve"> </w:t>
      </w:r>
      <w:r w:rsidR="009743D6">
        <w:t xml:space="preserve">continue to move forward. A new study has begun for the Hartford area, which will determine the area’s needs that </w:t>
      </w:r>
      <w:r w:rsidR="00D4331C" w:rsidRPr="00D4331C">
        <w:t>are sensitive to the reassessments of the Interstate and Central Connecticut components of NEEWS.</w:t>
      </w:r>
      <w:r w:rsidR="00D36DDD" w:rsidRPr="009749F8">
        <w:rPr>
          <w:rStyle w:val="FootnoteReference"/>
          <w:sz w:val="22"/>
        </w:rPr>
        <w:footnoteReference w:id="143"/>
      </w:r>
      <w:r w:rsidR="00D4331C" w:rsidRPr="00D4331C">
        <w:t xml:space="preserve"> Another new study has begun for the Middletown area. This Needs Assessment will consider the issues associated with the single 345/115 kV autotransformer at the Haddam substation and the weak 115 kV links between this area and the surrounding areas. A southeast Massachusetts/Rhode Island study, referred</w:t>
      </w:r>
      <w:r w:rsidR="009743D6">
        <w:t xml:space="preserve"> to </w:t>
      </w:r>
      <w:r w:rsidR="009743D6" w:rsidRPr="00A254A6">
        <w:t xml:space="preserve">as </w:t>
      </w:r>
      <w:r w:rsidR="009743D6" w:rsidRPr="00F35E0F">
        <w:t>the eastern REMVEC</w:t>
      </w:r>
      <w:r w:rsidR="009743D6" w:rsidRPr="00A254A6">
        <w:t xml:space="preserve"> study, has also begun. Its major goal is to determine any long-term system needs required to integrally serve the broad SEMA, NEMA, and Rhode Island areas, and</w:t>
      </w:r>
      <w:r w:rsidR="009743D6">
        <w:t xml:space="preserve"> to ensure consistency and cohesiveness of planning and design. Other smaller, more local studies are scheduled for eastern Connecticut</w:t>
      </w:r>
      <w:r w:rsidR="00653DF3">
        <w:t xml:space="preserve"> and </w:t>
      </w:r>
      <w:r w:rsidR="009743D6">
        <w:t xml:space="preserve">the Manchester–Barbour Hill area of Connecticut. </w:t>
      </w:r>
      <w:r w:rsidR="009743D6" w:rsidRPr="00E13F7C">
        <w:t xml:space="preserve">While many of the major efforts </w:t>
      </w:r>
      <w:r w:rsidR="009743D6">
        <w:t xml:space="preserve">have </w:t>
      </w:r>
      <w:r w:rsidR="00A02EE4">
        <w:t xml:space="preserve">focused </w:t>
      </w:r>
      <w:r w:rsidR="009743D6">
        <w:t xml:space="preserve">primarily </w:t>
      </w:r>
      <w:r w:rsidR="009743D6" w:rsidRPr="00E13F7C">
        <w:t>on near-term and mid</w:t>
      </w:r>
      <w:r w:rsidR="009743D6">
        <w:t>range</w:t>
      </w:r>
      <w:r w:rsidR="009743D6" w:rsidRPr="00E13F7C">
        <w:t xml:space="preserve"> concerns</w:t>
      </w:r>
      <w:r w:rsidR="009743D6" w:rsidRPr="00D93D8A">
        <w:t>, several longer-term analyses have been completed</w:t>
      </w:r>
      <w:r w:rsidR="009743D6">
        <w:t>,</w:t>
      </w:r>
      <w:r w:rsidR="009743D6" w:rsidRPr="00D93D8A">
        <w:t xml:space="preserve"> and others are being conducted.</w:t>
      </w:r>
      <w:r w:rsidR="009743D6">
        <w:t xml:space="preserve"> </w:t>
      </w:r>
    </w:p>
    <w:p w:rsidR="009743D6" w:rsidRPr="007D42A6" w:rsidRDefault="009743D6" w:rsidP="00073277">
      <w:pPr>
        <w:rPr>
          <w:b/>
          <w:bCs/>
        </w:rPr>
      </w:pPr>
      <w:r>
        <w:rPr>
          <w:b/>
          <w:bCs/>
        </w:rPr>
        <w:t xml:space="preserve">Southern New </w:t>
      </w:r>
      <w:r w:rsidRPr="008C1679">
        <w:rPr>
          <w:b/>
          <w:bCs/>
        </w:rPr>
        <w:t xml:space="preserve">England </w:t>
      </w:r>
      <w:r w:rsidRPr="00F35E0F">
        <w:rPr>
          <w:b/>
          <w:bCs/>
        </w:rPr>
        <w:t xml:space="preserve">Region. </w:t>
      </w:r>
      <w:r>
        <w:t>Before the start of siting hearings for the Rhode Island Reliability Project (RIRP), which is the first component of the four NEEWS components to proceed to siting, needs reassessments were begun for all four of the components</w:t>
      </w:r>
      <w:r>
        <w:rPr>
          <w:rFonts w:cs="Times New Roman"/>
        </w:rPr>
        <w:t>—</w:t>
      </w:r>
      <w:r>
        <w:t xml:space="preserve">the RIRP, as well as the Greater Springfield Reliability Project (GSRP), the </w:t>
      </w:r>
      <w:r w:rsidR="003174D8" w:rsidRPr="00B92461">
        <w:t>Interstate Reliability Project (IRP),</w:t>
      </w:r>
      <w:r w:rsidRPr="00B92461">
        <w:t xml:space="preserve"> an</w:t>
      </w:r>
      <w:r>
        <w:t>d the Central Connecticut Reliability Project (CCRP)</w:t>
      </w:r>
      <w:r w:rsidR="00662103">
        <w:t xml:space="preserve">. </w:t>
      </w:r>
      <w:r>
        <w:t xml:space="preserve">(See Section </w:t>
      </w:r>
      <w:fldSimple w:instr=" REF _Ref266099552 \r \h  \* MERGEFORMAT ">
        <w:r w:rsidR="00E5699E">
          <w:t>6.4.2.3</w:t>
        </w:r>
      </w:fldSimple>
      <w:r w:rsidR="003174D8" w:rsidRPr="003174D8">
        <w:t xml:space="preserve"> for</w:t>
      </w:r>
      <w:r>
        <w:t xml:space="preserve"> </w:t>
      </w:r>
      <w:r w:rsidR="00572018">
        <w:t>more</w:t>
      </w:r>
      <w:r>
        <w:t xml:space="preserve"> details about these projects.) The need reassessments for the RIRP and the GSRP were relatively straightforward and were completed, presented to the PAC, and used eventually in both the RIRP and the GSRP siting proceedings.</w:t>
      </w:r>
      <w:r w:rsidR="00302FDD" w:rsidRPr="00A02EE4">
        <w:rPr>
          <w:rStyle w:val="FootnoteReference"/>
          <w:sz w:val="22"/>
        </w:rPr>
        <w:footnoteReference w:id="144"/>
      </w:r>
      <w:r>
        <w:t xml:space="preserve"> </w:t>
      </w:r>
    </w:p>
    <w:p w:rsidR="003D0DDB" w:rsidRDefault="009743D6" w:rsidP="00073277">
      <w:r>
        <w:t xml:space="preserve">As </w:t>
      </w:r>
      <w:r w:rsidRPr="008B01B0">
        <w:t xml:space="preserve">a result of </w:t>
      </w:r>
      <w:r w:rsidR="00D4331C" w:rsidRPr="00D4331C">
        <w:t xml:space="preserve">new resources clearing in FCA #1 to FCA #3 within Connecticut and to the west of the New </w:t>
      </w:r>
      <w:r w:rsidR="00D4331C" w:rsidRPr="00A02EE4">
        <w:t>England East</w:t>
      </w:r>
      <w:r w:rsidR="00A02EE4" w:rsidRPr="00A02EE4">
        <w:t>–</w:t>
      </w:r>
      <w:r w:rsidR="00D4331C" w:rsidRPr="00A02EE4">
        <w:t>West</w:t>
      </w:r>
      <w:r w:rsidR="00D4331C" w:rsidRPr="00D4331C">
        <w:t xml:space="preserve"> interface and the updated load forecast, the need for the IRP and the CCRP components required a significant amount of new analysis. The studies considered demand resources as part of the FCM resource mix and were not subtracted from the load forecast. The current CELT forecasted load for 2015 is higher than the critical load level included in previous analyses, which</w:t>
      </w:r>
      <w:r w:rsidR="00153BC4">
        <w:t xml:space="preserve"> </w:t>
      </w:r>
      <w:r w:rsidR="003D0DDB">
        <w:t xml:space="preserve">showed the criteria violations </w:t>
      </w:r>
      <w:r w:rsidR="00D4331C" w:rsidRPr="00D4331C">
        <w:t>identified</w:t>
      </w:r>
      <w:r w:rsidR="003D0DDB">
        <w:t xml:space="preserve"> in the original </w:t>
      </w:r>
      <w:r w:rsidR="00153BC4">
        <w:t xml:space="preserve">Needs Assessment for </w:t>
      </w:r>
      <w:r w:rsidR="003D0DDB">
        <w:t>NEEWS (i.e., Southern New England Transmission Reinforcement Study; SNETR).</w:t>
      </w:r>
      <w:r w:rsidR="003D0DDB" w:rsidRPr="00724B39">
        <w:rPr>
          <w:rStyle w:val="FootnoteReference"/>
          <w:sz w:val="22"/>
        </w:rPr>
        <w:footnoteReference w:id="145"/>
      </w:r>
    </w:p>
    <w:p w:rsidR="00951DC9" w:rsidRDefault="00951DC9" w:rsidP="00951DC9">
      <w:r>
        <w:t>The study work associated with the IRP component focused on addressing the following questions:</w:t>
      </w:r>
    </w:p>
    <w:p w:rsidR="003F3D84" w:rsidRDefault="00951DC9" w:rsidP="00BB34F0">
      <w:pPr>
        <w:numPr>
          <w:ilvl w:val="0"/>
          <w:numId w:val="57"/>
        </w:numPr>
        <w:spacing w:after="200" w:line="276" w:lineRule="auto"/>
      </w:pPr>
      <w:r>
        <w:t>Foremost, is the planned system for 2015 and 2020 capable of serving l</w:t>
      </w:r>
      <w:r w:rsidRPr="00625B63">
        <w:t>oad</w:t>
      </w:r>
      <w:r>
        <w:t xml:space="preserve"> reliably through the 10-year planning horizon in </w:t>
      </w:r>
      <w:r w:rsidRPr="00625B63">
        <w:t>Rhode Island</w:t>
      </w:r>
      <w:r>
        <w:t xml:space="preserve">, </w:t>
      </w:r>
      <w:r w:rsidR="00E77A9B">
        <w:t>w</w:t>
      </w:r>
      <w:r w:rsidRPr="00625B63">
        <w:t>estern New England</w:t>
      </w:r>
      <w:r>
        <w:t xml:space="preserve">, </w:t>
      </w:r>
      <w:r w:rsidRPr="00625B63">
        <w:t>Connecticut</w:t>
      </w:r>
      <w:r>
        <w:t xml:space="preserve">, and </w:t>
      </w:r>
      <w:r w:rsidR="00E77A9B">
        <w:t>e</w:t>
      </w:r>
      <w:r w:rsidRPr="00625B63">
        <w:t>astern New England</w:t>
      </w:r>
      <w:r>
        <w:t xml:space="preserve"> areas under a variety of foreseen operating conditions?</w:t>
      </w:r>
    </w:p>
    <w:p w:rsidR="00951DC9" w:rsidRPr="00625B63" w:rsidRDefault="00951DC9" w:rsidP="00BB34F0">
      <w:pPr>
        <w:numPr>
          <w:ilvl w:val="0"/>
          <w:numId w:val="57"/>
        </w:numPr>
        <w:spacing w:after="200" w:line="276" w:lineRule="auto"/>
      </w:pPr>
      <w:r>
        <w:t>Will the 2015 and 2020 planned system allow the d</w:t>
      </w:r>
      <w:r w:rsidRPr="00625B63">
        <w:t>eliver</w:t>
      </w:r>
      <w:r>
        <w:t>ability of FCA-</w:t>
      </w:r>
      <w:r w:rsidR="00D4331C" w:rsidRPr="00D4331C">
        <w:t>cleared resources to and from western New England and eastern New England to help ensure a relia</w:t>
      </w:r>
      <w:r>
        <w:t>ble supply to load?</w:t>
      </w:r>
    </w:p>
    <w:p w:rsidR="003F3D84" w:rsidRDefault="00951DC9" w:rsidP="00BB34F0">
      <w:pPr>
        <w:numPr>
          <w:ilvl w:val="0"/>
          <w:numId w:val="57"/>
        </w:numPr>
        <w:spacing w:after="200" w:line="276" w:lineRule="auto"/>
      </w:pPr>
      <w:r>
        <w:t>Will the Interstate component</w:t>
      </w:r>
      <w:r w:rsidR="00D36DB2">
        <w:t xml:space="preserve"> </w:t>
      </w:r>
      <w:r>
        <w:t>of NEEWS provide relief to the generator mechanical stress issues and reclosing problems in the area of the Lake Road generating plant?</w:t>
      </w:r>
    </w:p>
    <w:p w:rsidR="00951DC9" w:rsidRPr="00F225B8" w:rsidRDefault="00D4331C" w:rsidP="00BB34F0">
      <w:pPr>
        <w:numPr>
          <w:ilvl w:val="0"/>
          <w:numId w:val="57"/>
        </w:numPr>
        <w:spacing w:after="200" w:line="276" w:lineRule="auto"/>
      </w:pPr>
      <w:r w:rsidRPr="00D4331C">
        <w:t>Will the Interstate component of NEEWS provide short-circuit-interrupt benefits by allowing the splitting of the West Medway 345 kV bus where substation equipment is approaching its short-circuit limits?</w:t>
      </w:r>
    </w:p>
    <w:p w:rsidR="00951DC9" w:rsidRPr="00625B63" w:rsidRDefault="00951DC9" w:rsidP="00BB34F0">
      <w:pPr>
        <w:numPr>
          <w:ilvl w:val="0"/>
          <w:numId w:val="57"/>
        </w:numPr>
        <w:spacing w:after="200" w:line="276" w:lineRule="auto"/>
      </w:pPr>
      <w:r>
        <w:t>Is the system response to extreme contingencies stable, and if not, will the Interstate component of NEEWS eliminat</w:t>
      </w:r>
      <w:r w:rsidR="008837AF">
        <w:t>e</w:t>
      </w:r>
      <w:r>
        <w:t xml:space="preserve"> or reduc</w:t>
      </w:r>
      <w:r w:rsidR="008837AF">
        <w:t>e</w:t>
      </w:r>
      <w:r>
        <w:t xml:space="preserve"> the severity of these issues?</w:t>
      </w:r>
    </w:p>
    <w:p w:rsidR="00951DC9" w:rsidRDefault="00951DC9" w:rsidP="00BB34F0">
      <w:pPr>
        <w:numPr>
          <w:ilvl w:val="0"/>
          <w:numId w:val="57"/>
        </w:numPr>
        <w:spacing w:after="200" w:line="276" w:lineRule="auto"/>
      </w:pPr>
      <w:r>
        <w:t xml:space="preserve">The </w:t>
      </w:r>
      <w:r w:rsidRPr="00625B63">
        <w:t xml:space="preserve">New England </w:t>
      </w:r>
      <w:r w:rsidR="001A7DF4">
        <w:t>e</w:t>
      </w:r>
      <w:r w:rsidRPr="00625B63">
        <w:t>ast</w:t>
      </w:r>
      <w:r w:rsidR="001A7DF4">
        <w:rPr>
          <w:rFonts w:cs="Times New Roman"/>
        </w:rPr>
        <w:t>–w</w:t>
      </w:r>
      <w:r w:rsidRPr="00625B63">
        <w:t xml:space="preserve">est </w:t>
      </w:r>
      <w:r>
        <w:t>transfer limit has</w:t>
      </w:r>
      <w:r w:rsidR="008837AF">
        <w:t xml:space="preserve"> </w:t>
      </w:r>
      <w:r>
        <w:t xml:space="preserve">been stability limited </w:t>
      </w:r>
      <w:r w:rsidR="008837AF">
        <w:t xml:space="preserve">at times </w:t>
      </w:r>
      <w:r>
        <w:t>and</w:t>
      </w:r>
      <w:r w:rsidR="008837AF">
        <w:t xml:space="preserve"> </w:t>
      </w:r>
      <w:r>
        <w:t>thermally limited</w:t>
      </w:r>
      <w:r w:rsidR="008837AF">
        <w:t xml:space="preserve"> at other times</w:t>
      </w:r>
      <w:r w:rsidR="000D0E03">
        <w:t xml:space="preserve">. </w:t>
      </w:r>
      <w:r>
        <w:t>Do the stability limits currently undercut the system’s thermal capability, and if so, will the Interstate component of NEEWS improve the system’s stability performance so that the higher thermal limit can be achieved?</w:t>
      </w:r>
    </w:p>
    <w:p w:rsidR="00951DC9" w:rsidRDefault="00951DC9" w:rsidP="00BB34F0">
      <w:pPr>
        <w:numPr>
          <w:ilvl w:val="0"/>
          <w:numId w:val="57"/>
        </w:numPr>
        <w:spacing w:after="200" w:line="276" w:lineRule="auto"/>
      </w:pPr>
      <w:r>
        <w:t xml:space="preserve">What impact would the closing of </w:t>
      </w:r>
      <w:r w:rsidRPr="00814EBB">
        <w:t>Vermont Yankee</w:t>
      </w:r>
      <w:r>
        <w:t xml:space="preserve"> have on the results?</w:t>
      </w:r>
    </w:p>
    <w:p w:rsidR="00951DC9" w:rsidRDefault="00951DC9" w:rsidP="00951DC9">
      <w:r>
        <w:t>The results of the reassessment show</w:t>
      </w:r>
      <w:r w:rsidR="00D36DB2">
        <w:t>s</w:t>
      </w:r>
      <w:r>
        <w:t xml:space="preserve"> a substantial n</w:t>
      </w:r>
      <w:r w:rsidRPr="00EA1065">
        <w:t xml:space="preserve">eed </w:t>
      </w:r>
      <w:r>
        <w:t xml:space="preserve">for </w:t>
      </w:r>
      <w:r w:rsidRPr="00EA1065">
        <w:t xml:space="preserve">an integrated regional transmission solution to resolve transmission planning criteria violations in </w:t>
      </w:r>
      <w:r w:rsidR="00D36DB2">
        <w:t>e</w:t>
      </w:r>
      <w:r w:rsidRPr="00EA1065">
        <w:t xml:space="preserve">astern New England, </w:t>
      </w:r>
      <w:r w:rsidR="00D36DB2">
        <w:t>w</w:t>
      </w:r>
      <w:r w:rsidRPr="00EA1065">
        <w:t>estern New England</w:t>
      </w:r>
      <w:r w:rsidR="00D36DB2">
        <w:t>,</w:t>
      </w:r>
      <w:r w:rsidRPr="00EA1065">
        <w:t xml:space="preserve"> and Greater Rhode Island</w:t>
      </w:r>
      <w:r w:rsidR="00794C3E">
        <w:t xml:space="preserve"> (GRI)</w:t>
      </w:r>
      <w:r w:rsidR="000D0E03">
        <w:t xml:space="preserve">. </w:t>
      </w:r>
      <w:r>
        <w:t>The major driver is the need to r</w:t>
      </w:r>
      <w:r w:rsidRPr="00EA1065">
        <w:t>eliably serve load in accordance with NERC, NPCC</w:t>
      </w:r>
      <w:r w:rsidR="00D36DB2">
        <w:t>,</w:t>
      </w:r>
      <w:r w:rsidRPr="00EA1065">
        <w:t xml:space="preserve"> and ISO </w:t>
      </w:r>
      <w:r w:rsidR="00D36DB2">
        <w:t>p</w:t>
      </w:r>
      <w:r w:rsidRPr="00EA1065">
        <w:t xml:space="preserve">lanning </w:t>
      </w:r>
      <w:r w:rsidR="00D36DB2">
        <w:t>s</w:t>
      </w:r>
      <w:r w:rsidRPr="00EA1065">
        <w:t xml:space="preserve">tandards and </w:t>
      </w:r>
      <w:r w:rsidR="00D36DB2">
        <w:t>c</w:t>
      </w:r>
      <w:r w:rsidRPr="00EA1065">
        <w:t>riteria in</w:t>
      </w:r>
      <w:r>
        <w:t xml:space="preserve"> the areas of </w:t>
      </w:r>
      <w:r w:rsidRPr="00EA1065">
        <w:t>Rhode Island</w:t>
      </w:r>
      <w:r>
        <w:t xml:space="preserve">, </w:t>
      </w:r>
      <w:r w:rsidR="00D36DB2">
        <w:t>w</w:t>
      </w:r>
      <w:r w:rsidRPr="00EA1065">
        <w:t>estern New England</w:t>
      </w:r>
      <w:r>
        <w:t xml:space="preserve">, </w:t>
      </w:r>
      <w:r w:rsidRPr="00EA1065">
        <w:t>Connecticut</w:t>
      </w:r>
      <w:r w:rsidR="00D36DB2">
        <w:t>,</w:t>
      </w:r>
      <w:r>
        <w:t xml:space="preserve"> and </w:t>
      </w:r>
      <w:r w:rsidR="00D36DB2">
        <w:t>e</w:t>
      </w:r>
      <w:r w:rsidRPr="00EA1065">
        <w:t>astern New England</w:t>
      </w:r>
      <w:r>
        <w:t xml:space="preserve">. By addressing the </w:t>
      </w:r>
      <w:r w:rsidRPr="00EA1065">
        <w:t xml:space="preserve">transmission constraints along the </w:t>
      </w:r>
      <w:r>
        <w:t xml:space="preserve">Card Street </w:t>
      </w:r>
      <w:r w:rsidRPr="00EA1065">
        <w:t xml:space="preserve">to West Medway </w:t>
      </w:r>
      <w:r w:rsidR="008837AF">
        <w:t>c</w:t>
      </w:r>
      <w:r w:rsidRPr="00EA1065">
        <w:t>orridor (CT</w:t>
      </w:r>
      <w:r w:rsidR="00D36DB2">
        <w:rPr>
          <w:rFonts w:cs="Times New Roman"/>
        </w:rPr>
        <w:t>–</w:t>
      </w:r>
      <w:r w:rsidRPr="00EA1065">
        <w:t>RI</w:t>
      </w:r>
      <w:r w:rsidR="00D36DB2">
        <w:rPr>
          <w:rFonts w:cs="Times New Roman"/>
        </w:rPr>
        <w:t>–</w:t>
      </w:r>
      <w:r w:rsidRPr="00EA1065">
        <w:t>MA)</w:t>
      </w:r>
      <w:r>
        <w:t>, both the aforementioned load-serving issues</w:t>
      </w:r>
      <w:r w:rsidR="00D36DB2">
        <w:t>,</w:t>
      </w:r>
      <w:r>
        <w:t xml:space="preserve"> as well as deliverability limitations in moving capacity from </w:t>
      </w:r>
      <w:r w:rsidR="00D36DB2">
        <w:t>w</w:t>
      </w:r>
      <w:r w:rsidRPr="00EA1065">
        <w:t xml:space="preserve">estern New England and GRI </w:t>
      </w:r>
      <w:r w:rsidRPr="00EA1065">
        <w:rPr>
          <w:i/>
          <w:iCs/>
        </w:rPr>
        <w:t>to</w:t>
      </w:r>
      <w:r w:rsidRPr="00EA1065">
        <w:t xml:space="preserve"> </w:t>
      </w:r>
      <w:r w:rsidR="00807C8D">
        <w:t>e</w:t>
      </w:r>
      <w:r w:rsidRPr="00EA1065">
        <w:t>astern New England and</w:t>
      </w:r>
      <w:r>
        <w:t xml:space="preserve"> from </w:t>
      </w:r>
      <w:r w:rsidR="00807C8D">
        <w:t>e</w:t>
      </w:r>
      <w:r w:rsidRPr="00EA1065">
        <w:t xml:space="preserve">astern New England and GRI </w:t>
      </w:r>
      <w:r w:rsidRPr="00EA1065">
        <w:rPr>
          <w:i/>
          <w:iCs/>
        </w:rPr>
        <w:t>to</w:t>
      </w:r>
      <w:r w:rsidRPr="00EA1065">
        <w:t xml:space="preserve"> </w:t>
      </w:r>
      <w:r w:rsidR="00807C8D">
        <w:t>w</w:t>
      </w:r>
      <w:r w:rsidRPr="00EA1065">
        <w:t>estern New England</w:t>
      </w:r>
      <w:r w:rsidR="00D36DB2">
        <w:t>,</w:t>
      </w:r>
      <w:r>
        <w:t xml:space="preserve"> will be resolved</w:t>
      </w:r>
      <w:r w:rsidR="000D0E03">
        <w:t xml:space="preserve">. </w:t>
      </w:r>
      <w:r w:rsidR="00200507">
        <w:t>Thus</w:t>
      </w:r>
      <w:r>
        <w:t>, about 2</w:t>
      </w:r>
      <w:r w:rsidR="00E14144">
        <w:t>,</w:t>
      </w:r>
      <w:r>
        <w:t>000</w:t>
      </w:r>
      <w:r w:rsidR="00200507">
        <w:t> </w:t>
      </w:r>
      <w:r>
        <w:t>MW along this corridor in the Greater Rhode Island area could be u</w:t>
      </w:r>
      <w:r w:rsidR="00807C8D">
        <w:t>sed</w:t>
      </w:r>
      <w:r>
        <w:t xml:space="preserve"> to reliably serve load in both western and eastern New England over the long-term planning </w:t>
      </w:r>
      <w:r w:rsidR="00D4331C" w:rsidRPr="00D4331C">
        <w:t xml:space="preserve">horizon. </w:t>
      </w:r>
      <w:r w:rsidR="00200507">
        <w:t>(</w:t>
      </w:r>
      <w:r w:rsidR="00D4331C" w:rsidRPr="00D4331C">
        <w:t xml:space="preserve">See </w:t>
      </w:r>
      <w:fldSimple w:instr=" REF _Ref270073350 \h  \* MERGEFORMAT ">
        <w:r w:rsidR="00E5699E">
          <w:t xml:space="preserve">Figure </w:t>
        </w:r>
        <w:r w:rsidR="00E5699E">
          <w:rPr>
            <w:noProof/>
          </w:rPr>
          <w:t>6</w:t>
        </w:r>
        <w:r w:rsidR="00E5699E">
          <w:rPr>
            <w:noProof/>
          </w:rPr>
          <w:noBreakHyphen/>
          <w:t>1</w:t>
        </w:r>
      </w:fldSimple>
      <w:r w:rsidR="00D4331C" w:rsidRPr="00D4331C">
        <w:t>.</w:t>
      </w:r>
      <w:r w:rsidR="00200507">
        <w:t>)</w:t>
      </w:r>
    </w:p>
    <w:p w:rsidR="00951DC9" w:rsidRDefault="00951DC9" w:rsidP="00B70A17">
      <w:pPr>
        <w:keepNext/>
        <w:keepLines/>
        <w:spacing w:after="0" w:line="240" w:lineRule="auto"/>
        <w:jc w:val="center"/>
      </w:pPr>
      <w:r w:rsidRPr="00FE4608">
        <w:rPr>
          <w:noProof/>
        </w:rPr>
        <w:drawing>
          <wp:inline distT="0" distB="0" distL="0" distR="0">
            <wp:extent cx="4606290" cy="3076443"/>
            <wp:effectExtent l="19050" t="19050" r="22860" b="9657"/>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606290" cy="3076443"/>
                    </a:xfrm>
                    <a:prstGeom prst="rect">
                      <a:avLst/>
                    </a:prstGeom>
                    <a:noFill/>
                    <a:ln w="3175">
                      <a:solidFill>
                        <a:schemeClr val="tx1"/>
                      </a:solidFill>
                      <a:miter lim="800000"/>
                      <a:headEnd/>
                      <a:tailEnd/>
                    </a:ln>
                  </pic:spPr>
                </pic:pic>
              </a:graphicData>
            </a:graphic>
          </wp:inline>
        </w:drawing>
      </w:r>
    </w:p>
    <w:p w:rsidR="00951DC9" w:rsidRPr="00B850B9" w:rsidRDefault="00807C8D" w:rsidP="00B70A17">
      <w:pPr>
        <w:pStyle w:val="Caption"/>
        <w:keepNext w:val="0"/>
        <w:keepLines w:val="0"/>
        <w:spacing w:before="120" w:after="240"/>
        <w:ind w:left="1080"/>
        <w:jc w:val="left"/>
      </w:pPr>
      <w:bookmarkStart w:id="437" w:name="_Ref270073350"/>
      <w:bookmarkStart w:id="438" w:name="_Toc271552376"/>
      <w:r>
        <w:t xml:space="preserve">Figure </w:t>
      </w:r>
      <w:fldSimple w:instr=" STYLEREF 1 \s ">
        <w:r w:rsidR="00E5699E">
          <w:rPr>
            <w:noProof/>
          </w:rPr>
          <w:t>6</w:t>
        </w:r>
      </w:fldSimple>
      <w:r>
        <w:noBreakHyphen/>
      </w:r>
      <w:fldSimple w:instr=" SEQ Figure \* ARABIC \s 1 ">
        <w:r w:rsidR="00E5699E">
          <w:rPr>
            <w:noProof/>
          </w:rPr>
          <w:t>1</w:t>
        </w:r>
      </w:fldSimple>
      <w:bookmarkEnd w:id="437"/>
      <w:r w:rsidR="00D4331C" w:rsidRPr="00D4331C">
        <w:t>: Map of constraints in southern New England.</w:t>
      </w:r>
      <w:bookmarkEnd w:id="438"/>
    </w:p>
    <w:p w:rsidR="00F158B9" w:rsidRDefault="00951DC9" w:rsidP="00B70A17">
      <w:pPr>
        <w:rPr>
          <w:b/>
          <w:bCs/>
          <w:i/>
          <w:iCs/>
        </w:rPr>
      </w:pPr>
      <w:r>
        <w:t>The original need for the IRP component of NEEWS was based primarily on a deficiency in being able to move power from eastern New England to western New England and to Connecticut. While th</w:t>
      </w:r>
      <w:r w:rsidR="0089007D">
        <w:t>is</w:t>
      </w:r>
      <w:r>
        <w:t xml:space="preserve"> need still exists, the </w:t>
      </w:r>
      <w:r w:rsidR="00F225B8">
        <w:t xml:space="preserve">new analysis </w:t>
      </w:r>
      <w:r>
        <w:t>shows an increased need to also move power from western New England to eastern New England. The study identified system constraints that exist to the east of the Greater Rhode Island area, which are more evident now with the increased resources in the west</w:t>
      </w:r>
      <w:r w:rsidR="000D0E03">
        <w:t xml:space="preserve">. </w:t>
      </w:r>
    </w:p>
    <w:p w:rsidR="00F158B9" w:rsidRDefault="00951DC9">
      <w:r>
        <w:t xml:space="preserve">The simultaneous existence of load-serving needs in western New England </w:t>
      </w:r>
      <w:r w:rsidR="00D4331C" w:rsidRPr="00D4331C">
        <w:t xml:space="preserve">and the deliverability limitations from western New England and GRI </w:t>
      </w:r>
      <w:r w:rsidR="00D4331C" w:rsidRPr="00D4331C">
        <w:rPr>
          <w:i/>
        </w:rPr>
        <w:t>to</w:t>
      </w:r>
      <w:r w:rsidR="00D4331C" w:rsidRPr="00D4331C">
        <w:t xml:space="preserve"> eastern New England results</w:t>
      </w:r>
      <w:r>
        <w:t xml:space="preserve"> in an o</w:t>
      </w:r>
      <w:r w:rsidRPr="00670BDC">
        <w:t>ver</w:t>
      </w:r>
      <w:r>
        <w:t>c</w:t>
      </w:r>
      <w:r w:rsidRPr="00670BDC">
        <w:t xml:space="preserve">onstrained </w:t>
      </w:r>
      <w:r>
        <w:t>s</w:t>
      </w:r>
      <w:r w:rsidRPr="00670BDC">
        <w:t>ituation in</w:t>
      </w:r>
      <w:r>
        <w:t xml:space="preserve"> </w:t>
      </w:r>
      <w:r w:rsidR="0089007D">
        <w:t>w</w:t>
      </w:r>
      <w:r w:rsidRPr="00670BDC">
        <w:t>estern New England</w:t>
      </w:r>
      <w:r>
        <w:t>. The a</w:t>
      </w:r>
      <w:r w:rsidRPr="00670BDC">
        <w:t xml:space="preserve">ddition of resources in </w:t>
      </w:r>
      <w:r w:rsidR="0089007D">
        <w:t>w</w:t>
      </w:r>
      <w:r w:rsidRPr="00670BDC">
        <w:t>estern New England to address load-serving capability would increase the amount of “</w:t>
      </w:r>
      <w:r w:rsidR="0089007D">
        <w:t>l</w:t>
      </w:r>
      <w:r w:rsidRPr="00670BDC">
        <w:t>ocked-</w:t>
      </w:r>
      <w:r w:rsidR="0089007D">
        <w:t>in” resources in w</w:t>
      </w:r>
      <w:r w:rsidRPr="00670BDC">
        <w:t>estern N</w:t>
      </w:r>
      <w:r w:rsidR="0089007D">
        <w:t xml:space="preserve">ew </w:t>
      </w:r>
      <w:r w:rsidRPr="00670BDC">
        <w:t>E</w:t>
      </w:r>
      <w:r w:rsidR="0089007D">
        <w:t>ngland</w:t>
      </w:r>
      <w:r w:rsidRPr="00670BDC">
        <w:t xml:space="preserve"> and Greater R</w:t>
      </w:r>
      <w:r w:rsidR="0089007D">
        <w:t xml:space="preserve">hode </w:t>
      </w:r>
      <w:r w:rsidRPr="00670BDC">
        <w:t>I</w:t>
      </w:r>
      <w:r w:rsidR="0089007D">
        <w:t>sland</w:t>
      </w:r>
      <w:r>
        <w:t xml:space="preserve">. Conversely, </w:t>
      </w:r>
      <w:r w:rsidR="0089007D">
        <w:t xml:space="preserve">a combination of </w:t>
      </w:r>
      <w:r>
        <w:t>r</w:t>
      </w:r>
      <w:r w:rsidRPr="00670BDC">
        <w:t>etirements</w:t>
      </w:r>
      <w:r w:rsidR="0089007D">
        <w:t xml:space="preserve"> and </w:t>
      </w:r>
      <w:r>
        <w:t>r</w:t>
      </w:r>
      <w:r w:rsidRPr="00670BDC">
        <w:t xml:space="preserve">epowering </w:t>
      </w:r>
      <w:r>
        <w:t>o</w:t>
      </w:r>
      <w:r w:rsidRPr="00670BDC">
        <w:t xml:space="preserve">utages in </w:t>
      </w:r>
      <w:r w:rsidR="0089007D">
        <w:t>w</w:t>
      </w:r>
      <w:r w:rsidRPr="00670BDC">
        <w:t>este</w:t>
      </w:r>
      <w:r w:rsidR="0089007D">
        <w:t>rn New England would decrease “l</w:t>
      </w:r>
      <w:r w:rsidRPr="00670BDC">
        <w:t>ocked-</w:t>
      </w:r>
      <w:r w:rsidR="0089007D">
        <w:t>in” resources</w:t>
      </w:r>
      <w:r w:rsidRPr="00670BDC">
        <w:t xml:space="preserve"> but would increase the need to address load-serving capability in </w:t>
      </w:r>
      <w:r w:rsidR="0089007D">
        <w:t>w</w:t>
      </w:r>
      <w:r w:rsidRPr="00670BDC">
        <w:t>estern N</w:t>
      </w:r>
      <w:r w:rsidR="0089007D">
        <w:t xml:space="preserve">ew </w:t>
      </w:r>
      <w:r w:rsidRPr="00670BDC">
        <w:t>E</w:t>
      </w:r>
      <w:r w:rsidR="0089007D">
        <w:t>ngland</w:t>
      </w:r>
      <w:r>
        <w:t>. A t</w:t>
      </w:r>
      <w:r w:rsidRPr="00670BDC">
        <w:t xml:space="preserve">ransmission </w:t>
      </w:r>
      <w:r>
        <w:t>s</w:t>
      </w:r>
      <w:r w:rsidRPr="00670BDC">
        <w:t xml:space="preserve">olution </w:t>
      </w:r>
      <w:r>
        <w:t>is necessary to b</w:t>
      </w:r>
      <w:r w:rsidRPr="00670BDC">
        <w:t xml:space="preserve">ridge the </w:t>
      </w:r>
      <w:r>
        <w:t>g</w:t>
      </w:r>
      <w:r w:rsidRPr="00670BDC">
        <w:t>ap</w:t>
      </w:r>
      <w:r>
        <w:t xml:space="preserve"> </w:t>
      </w:r>
      <w:r w:rsidR="0089007D">
        <w:t>between w</w:t>
      </w:r>
      <w:r w:rsidRPr="00670BDC">
        <w:t>estern N</w:t>
      </w:r>
      <w:r w:rsidR="0089007D">
        <w:t xml:space="preserve">ew </w:t>
      </w:r>
      <w:r w:rsidRPr="00670BDC">
        <w:t>E</w:t>
      </w:r>
      <w:r w:rsidR="0089007D">
        <w:t>ngland</w:t>
      </w:r>
      <w:r w:rsidRPr="00670BDC">
        <w:t xml:space="preserve"> load-serving requirements and </w:t>
      </w:r>
      <w:r w:rsidR="0089007D">
        <w:t>w</w:t>
      </w:r>
      <w:r w:rsidRPr="00670BDC">
        <w:t>estern N</w:t>
      </w:r>
      <w:r w:rsidR="0089007D">
        <w:t xml:space="preserve">ew </w:t>
      </w:r>
      <w:r w:rsidRPr="00670BDC">
        <w:t>E</w:t>
      </w:r>
      <w:r w:rsidR="0089007D">
        <w:t>ngland</w:t>
      </w:r>
      <w:r w:rsidRPr="00670BDC">
        <w:t xml:space="preserve"> and GRI resource deliverability</w:t>
      </w:r>
      <w:r w:rsidR="0089007D">
        <w:t>.</w:t>
      </w:r>
    </w:p>
    <w:p w:rsidR="00951DC9" w:rsidRPr="00050DB1" w:rsidRDefault="00F72640" w:rsidP="00951DC9">
      <w:pPr>
        <w:tabs>
          <w:tab w:val="num" w:pos="720"/>
        </w:tabs>
      </w:pPr>
      <w:r>
        <w:t xml:space="preserve">The </w:t>
      </w:r>
      <w:r w:rsidR="00D4331C" w:rsidRPr="00D4331C">
        <w:t>preliminary Solutions Study shows that the original</w:t>
      </w:r>
      <w:r w:rsidR="00951DC9">
        <w:t xml:space="preserve"> interstate project is effective at </w:t>
      </w:r>
      <w:r w:rsidR="00951DC9" w:rsidRPr="00050DB1">
        <w:t xml:space="preserve">resolving </w:t>
      </w:r>
      <w:r w:rsidR="00951DC9">
        <w:t>the</w:t>
      </w:r>
      <w:r w:rsidR="00951DC9" w:rsidRPr="00050DB1">
        <w:t xml:space="preserve"> majority of the </w:t>
      </w:r>
      <w:r w:rsidR="00951DC9">
        <w:t xml:space="preserve">overload </w:t>
      </w:r>
      <w:r w:rsidR="00951DC9" w:rsidRPr="00050DB1">
        <w:t>issues</w:t>
      </w:r>
      <w:r w:rsidR="00951DC9">
        <w:t xml:space="preserve"> in Rhode Island, </w:t>
      </w:r>
      <w:r w:rsidR="0089007D">
        <w:t>w</w:t>
      </w:r>
      <w:r w:rsidR="00951DC9">
        <w:t>estern</w:t>
      </w:r>
      <w:r w:rsidR="0089007D">
        <w:t xml:space="preserve"> New England, Connecticut, and e</w:t>
      </w:r>
      <w:r w:rsidR="00951DC9">
        <w:t>astern New England. H</w:t>
      </w:r>
      <w:r w:rsidR="00951DC9" w:rsidRPr="00050DB1">
        <w:t xml:space="preserve">owever, </w:t>
      </w:r>
      <w:r w:rsidR="00951DC9">
        <w:t xml:space="preserve">it </w:t>
      </w:r>
      <w:r w:rsidR="00951DC9" w:rsidRPr="00050DB1">
        <w:t xml:space="preserve">does not resolve all criteria violations </w:t>
      </w:r>
      <w:r w:rsidR="00276998">
        <w:t xml:space="preserve">for </w:t>
      </w:r>
      <w:r w:rsidR="00951DC9" w:rsidRPr="00050DB1">
        <w:t xml:space="preserve">serving </w:t>
      </w:r>
      <w:r w:rsidR="0089007D">
        <w:t>e</w:t>
      </w:r>
      <w:r w:rsidR="00951DC9" w:rsidRPr="00050DB1">
        <w:t>astern New England load</w:t>
      </w:r>
      <w:r w:rsidR="00951DC9">
        <w:t xml:space="preserve">. Some additional </w:t>
      </w:r>
      <w:r w:rsidR="00276998">
        <w:t xml:space="preserve">modifications to the project </w:t>
      </w:r>
      <w:r w:rsidR="00951DC9">
        <w:t>will be necessary to complete the plan and will be identified when the ongoing studies are completed.</w:t>
      </w:r>
      <w:r w:rsidR="00951DC9" w:rsidRPr="00050DB1">
        <w:t xml:space="preserve"> </w:t>
      </w:r>
    </w:p>
    <w:p w:rsidR="009743D6" w:rsidRDefault="00AD0ACD" w:rsidP="00073277">
      <w:r w:rsidRPr="00AD0ACD">
        <w:rPr>
          <w:color w:val="000000" w:themeColor="text1"/>
        </w:rPr>
        <w:t>The CCRP component of NEEW</w:t>
      </w:r>
      <w:r w:rsidR="00440F56">
        <w:rPr>
          <w:color w:val="000000" w:themeColor="text1"/>
        </w:rPr>
        <w:t>S</w:t>
      </w:r>
      <w:r w:rsidRPr="00AD0ACD">
        <w:rPr>
          <w:color w:val="000000" w:themeColor="text1"/>
        </w:rPr>
        <w:t xml:space="preserve"> </w:t>
      </w:r>
      <w:r w:rsidR="00951DC9">
        <w:rPr>
          <w:color w:val="000000" w:themeColor="text1"/>
        </w:rPr>
        <w:t>is</w:t>
      </w:r>
      <w:r w:rsidRPr="00AD0ACD">
        <w:rPr>
          <w:color w:val="000000" w:themeColor="text1"/>
        </w:rPr>
        <w:t xml:space="preserve"> still being reevaluated. </w:t>
      </w:r>
      <w:r w:rsidR="00D4331C" w:rsidRPr="00D4331C">
        <w:t>Additionally</w:t>
      </w:r>
      <w:r w:rsidR="009743D6">
        <w:t xml:space="preserve">, a long-term system Needs Assessment is underway to determine whether any additional needs or further solutions are necessary to reliably serve the broad SEMA, NEMA, and Rhode Island load </w:t>
      </w:r>
      <w:r w:rsidR="00D4331C" w:rsidRPr="00D4331C">
        <w:t>areas.</w:t>
      </w:r>
      <w:r w:rsidR="009743D6" w:rsidRPr="00F35E0F">
        <w:rPr>
          <w:sz w:val="24"/>
        </w:rPr>
        <w:t xml:space="preserve"> </w:t>
      </w:r>
      <w:r w:rsidR="009743D6">
        <w:t>Past studies have indicated a need to further integrate the Brayton Point plant, perhaps via a new Brayton Point</w:t>
      </w:r>
      <w:r w:rsidR="007D6512">
        <w:t>–</w:t>
      </w:r>
      <w:r w:rsidR="009743D6">
        <w:t xml:space="preserve">Bridgewater 345 kV line, and </w:t>
      </w:r>
      <w:r w:rsidR="007D6512">
        <w:t>to</w:t>
      </w:r>
      <w:r w:rsidR="009743D6">
        <w:t xml:space="preserve"> add transmission capacity to remove limits on moving generation into and around the West Medway substation.</w:t>
      </w:r>
    </w:p>
    <w:p w:rsidR="009743D6" w:rsidRDefault="009743D6" w:rsidP="00073277">
      <w:r>
        <w:rPr>
          <w:b/>
          <w:bCs/>
        </w:rPr>
        <w:t xml:space="preserve">Massachusetts. </w:t>
      </w:r>
      <w:r w:rsidRPr="002E7A00">
        <w:t xml:space="preserve">A long-term reliability </w:t>
      </w:r>
      <w:r>
        <w:t>N</w:t>
      </w:r>
      <w:r w:rsidRPr="002E7A00">
        <w:t xml:space="preserve">eeds </w:t>
      </w:r>
      <w:r>
        <w:t>A</w:t>
      </w:r>
      <w:r w:rsidRPr="002E7A00">
        <w:t xml:space="preserve">ssessment for 2013 and 2018 </w:t>
      </w:r>
      <w:r>
        <w:t xml:space="preserve">has been completed </w:t>
      </w:r>
      <w:r w:rsidRPr="002E7A00">
        <w:t>for the Greater Boston area</w:t>
      </w:r>
      <w:r>
        <w:t>.</w:t>
      </w:r>
      <w:r w:rsidRPr="00724B39">
        <w:rPr>
          <w:rStyle w:val="FootnoteReference"/>
          <w:sz w:val="22"/>
        </w:rPr>
        <w:footnoteReference w:id="146"/>
      </w:r>
      <w:r w:rsidRPr="00724B39">
        <w:t xml:space="preserve"> </w:t>
      </w:r>
      <w:r>
        <w:t xml:space="preserve">Criteria violations have been summarized into eight categories, which include areas to the north, </w:t>
      </w:r>
      <w:r w:rsidR="00C25E8F">
        <w:t xml:space="preserve">the </w:t>
      </w:r>
      <w:r>
        <w:t xml:space="preserve">west, </w:t>
      </w:r>
      <w:r w:rsidR="00572018">
        <w:t xml:space="preserve">and </w:t>
      </w:r>
      <w:r w:rsidR="00C25E8F">
        <w:t xml:space="preserve">the </w:t>
      </w:r>
      <w:r>
        <w:t>south</w:t>
      </w:r>
      <w:r w:rsidR="00C25E8F">
        <w:t>,</w:t>
      </w:r>
      <w:r>
        <w:t xml:space="preserve"> and in downtown Boston. Key outages in the north can cause overloads on the ties into Greater Boston and on 115 kV lines north of Boston. The 115 kV lines in the Tewksbury, Lexington, and Woburn </w:t>
      </w:r>
      <w:r w:rsidRPr="00A62619">
        <w:t>areas overload when subjected to critical contingency outages.</w:t>
      </w:r>
      <w:r>
        <w:t xml:space="preserve"> Additional contingencies cause overloads in the </w:t>
      </w:r>
      <w:r w:rsidRPr="002E7A00">
        <w:t>downtown area and on lines</w:t>
      </w:r>
      <w:r>
        <w:t xml:space="preserve"> between Boston and Wakefield Junction. Overload issues arise between Holbrook and West Walpole for other outages. Lastly, outages result in overloaded lines and low voltages in the Sudbury, Marlboro, and Northborough areas. </w:t>
      </w:r>
      <w:r w:rsidRPr="00531842">
        <w:t xml:space="preserve">The year of need </w:t>
      </w:r>
      <w:r>
        <w:t>and</w:t>
      </w:r>
      <w:r w:rsidRPr="00531842">
        <w:t xml:space="preserve"> </w:t>
      </w:r>
      <w:r w:rsidR="00572018">
        <w:t xml:space="preserve">the </w:t>
      </w:r>
      <w:r w:rsidRPr="00531842">
        <w:t>critical load level for each area of need ha</w:t>
      </w:r>
      <w:r w:rsidR="00572018">
        <w:t>ve</w:t>
      </w:r>
      <w:r w:rsidRPr="00531842">
        <w:t xml:space="preserve"> been tabulated.</w:t>
      </w:r>
      <w:r>
        <w:t xml:space="preserve"> </w:t>
      </w:r>
    </w:p>
    <w:p w:rsidR="009743D6" w:rsidRDefault="009743D6" w:rsidP="00073277">
      <w:r>
        <w:t>Currently, two alternative plans are being given primary consideration.</w:t>
      </w:r>
      <w:r w:rsidRPr="00724B39">
        <w:rPr>
          <w:rStyle w:val="FootnoteReference"/>
          <w:sz w:val="22"/>
        </w:rPr>
        <w:footnoteReference w:id="147"/>
      </w:r>
      <w:r w:rsidRPr="00724B39">
        <w:t xml:space="preserve"> </w:t>
      </w:r>
      <w:r>
        <w:t>These may be supplemented or eliminated</w:t>
      </w:r>
      <w:r w:rsidRPr="00F35E0F">
        <w:t>,</w:t>
      </w:r>
      <w:r w:rsidRPr="00FC20A1">
        <w:t xml:space="preserve"> and others may be added</w:t>
      </w:r>
      <w:r w:rsidR="00393940">
        <w:t>,</w:t>
      </w:r>
      <w:r w:rsidRPr="00FC20A1">
        <w:t xml:space="preserve"> as the results proceed through the stakeholder process. The in</w:t>
      </w:r>
      <w:r>
        <w:t>itial two alternative plans are as follows:</w:t>
      </w:r>
    </w:p>
    <w:p w:rsidR="009743D6" w:rsidRDefault="009743D6" w:rsidP="00312379">
      <w:pPr>
        <w:pStyle w:val="Bullet-Solid"/>
      </w:pPr>
      <w:r>
        <w:t>Major components of Alternative A</w:t>
      </w:r>
    </w:p>
    <w:p w:rsidR="009743D6" w:rsidRDefault="009743D6" w:rsidP="00312379">
      <w:pPr>
        <w:pStyle w:val="Bullet-Open"/>
        <w:spacing w:before="0"/>
        <w:ind w:left="1080"/>
      </w:pPr>
      <w:r w:rsidRPr="005F5A59">
        <w:t>Scobie–Tewksbury 345</w:t>
      </w:r>
      <w:r>
        <w:t xml:space="preserve"> </w:t>
      </w:r>
      <w:r w:rsidRPr="005F5A59">
        <w:t xml:space="preserve">kV </w:t>
      </w:r>
      <w:r>
        <w:t>l</w:t>
      </w:r>
      <w:r w:rsidRPr="005F5A59">
        <w:t>ine</w:t>
      </w:r>
    </w:p>
    <w:p w:rsidR="009743D6" w:rsidRDefault="009743D6" w:rsidP="00312379">
      <w:pPr>
        <w:pStyle w:val="Bullet-Open"/>
        <w:spacing w:before="0"/>
        <w:ind w:left="1080"/>
      </w:pPr>
      <w:r w:rsidRPr="005F5A59">
        <w:t>Lexington–Waltham 230</w:t>
      </w:r>
      <w:r>
        <w:t xml:space="preserve"> </w:t>
      </w:r>
      <w:r w:rsidRPr="005F5A59">
        <w:t xml:space="preserve">kV </w:t>
      </w:r>
      <w:r>
        <w:t>l</w:t>
      </w:r>
      <w:r w:rsidRPr="005F5A59">
        <w:t>ine</w:t>
      </w:r>
      <w:r>
        <w:t xml:space="preserve"> with </w:t>
      </w:r>
      <w:r w:rsidRPr="005F5A59">
        <w:t xml:space="preserve">a </w:t>
      </w:r>
      <w:r>
        <w:t xml:space="preserve">new </w:t>
      </w:r>
      <w:r w:rsidRPr="005F5A59">
        <w:t>345/230</w:t>
      </w:r>
      <w:r w:rsidR="003741C2">
        <w:t xml:space="preserve"> </w:t>
      </w:r>
      <w:r w:rsidRPr="005F5A59">
        <w:t xml:space="preserve">kV </w:t>
      </w:r>
      <w:r>
        <w:t>a</w:t>
      </w:r>
      <w:r w:rsidRPr="005F5A59">
        <w:t>uto</w:t>
      </w:r>
      <w:r>
        <w:t>transformer</w:t>
      </w:r>
      <w:r w:rsidRPr="005F5A59">
        <w:t xml:space="preserve"> at Lexington</w:t>
      </w:r>
    </w:p>
    <w:p w:rsidR="009743D6" w:rsidRDefault="009743D6" w:rsidP="00312379">
      <w:pPr>
        <w:pStyle w:val="Bullet-Open"/>
        <w:spacing w:before="0"/>
        <w:ind w:left="1080"/>
      </w:pPr>
      <w:r w:rsidRPr="005F5A59">
        <w:t>Sudbury 230/115</w:t>
      </w:r>
      <w:r>
        <w:t xml:space="preserve"> </w:t>
      </w:r>
      <w:r w:rsidRPr="005F5A59">
        <w:t xml:space="preserve">kV </w:t>
      </w:r>
      <w:r>
        <w:t>a</w:t>
      </w:r>
      <w:r w:rsidRPr="005F5A59">
        <w:t>utotransformer</w:t>
      </w:r>
    </w:p>
    <w:p w:rsidR="009743D6" w:rsidRDefault="009743D6" w:rsidP="00312379">
      <w:pPr>
        <w:pStyle w:val="Bullet-Open"/>
        <w:spacing w:before="0"/>
        <w:ind w:left="1080"/>
      </w:pPr>
      <w:r w:rsidRPr="005F5A59">
        <w:t>Sudbury–Hudson 115</w:t>
      </w:r>
      <w:r>
        <w:t xml:space="preserve"> </w:t>
      </w:r>
      <w:r w:rsidRPr="005F5A59">
        <w:t xml:space="preserve">kV </w:t>
      </w:r>
      <w:r>
        <w:t>line</w:t>
      </w:r>
    </w:p>
    <w:p w:rsidR="009743D6" w:rsidRDefault="009743D6" w:rsidP="00312379">
      <w:pPr>
        <w:pStyle w:val="Bullet-Open"/>
        <w:spacing w:before="0"/>
        <w:ind w:left="1080"/>
      </w:pPr>
      <w:r w:rsidRPr="005F5A59">
        <w:t>Holbrook–Walpole 115</w:t>
      </w:r>
      <w:r>
        <w:t xml:space="preserve"> </w:t>
      </w:r>
      <w:r w:rsidRPr="005F5A59">
        <w:t xml:space="preserve">kV </w:t>
      </w:r>
      <w:r>
        <w:t>line</w:t>
      </w:r>
    </w:p>
    <w:p w:rsidR="009743D6" w:rsidRDefault="009743D6" w:rsidP="00312379">
      <w:pPr>
        <w:pStyle w:val="Bullet-Open"/>
        <w:spacing w:before="0"/>
        <w:ind w:left="1080"/>
      </w:pPr>
      <w:r w:rsidRPr="005F5A59">
        <w:t>Woburn–Mystic 115</w:t>
      </w:r>
      <w:r>
        <w:t xml:space="preserve"> </w:t>
      </w:r>
      <w:r w:rsidRPr="005F5A59">
        <w:t xml:space="preserve">kV </w:t>
      </w:r>
      <w:r>
        <w:t>line</w:t>
      </w:r>
    </w:p>
    <w:p w:rsidR="009743D6" w:rsidRDefault="009743D6" w:rsidP="00312379">
      <w:pPr>
        <w:pStyle w:val="Bullet-Open"/>
        <w:spacing w:before="0"/>
        <w:ind w:left="1080"/>
      </w:pPr>
      <w:r w:rsidRPr="005F5A59">
        <w:t>Wakefield–Everett 115</w:t>
      </w:r>
      <w:r>
        <w:t xml:space="preserve"> </w:t>
      </w:r>
      <w:r w:rsidRPr="005F5A59">
        <w:t xml:space="preserve">kV </w:t>
      </w:r>
      <w:r>
        <w:t>line</w:t>
      </w:r>
      <w:r w:rsidRPr="005F5A59">
        <w:t xml:space="preserve"> </w:t>
      </w:r>
    </w:p>
    <w:p w:rsidR="009743D6" w:rsidRDefault="003741C2" w:rsidP="00312379">
      <w:pPr>
        <w:pStyle w:val="Bullet-Open"/>
        <w:spacing w:before="0" w:after="240"/>
        <w:ind w:left="1080"/>
      </w:pPr>
      <w:r>
        <w:t xml:space="preserve">Two </w:t>
      </w:r>
      <w:r w:rsidR="009743D6" w:rsidRPr="005F5A59">
        <w:t>Brighton–Waltham 115</w:t>
      </w:r>
      <w:r w:rsidR="009743D6">
        <w:t xml:space="preserve"> </w:t>
      </w:r>
      <w:r w:rsidR="009743D6" w:rsidRPr="005F5A59">
        <w:t xml:space="preserve">kV </w:t>
      </w:r>
      <w:r w:rsidR="009743D6">
        <w:t>c</w:t>
      </w:r>
      <w:r w:rsidR="009743D6" w:rsidRPr="005F5A59">
        <w:t>ables</w:t>
      </w:r>
    </w:p>
    <w:p w:rsidR="009743D6" w:rsidRDefault="009743D6" w:rsidP="00312379">
      <w:pPr>
        <w:pStyle w:val="Bullet-Solid"/>
      </w:pPr>
      <w:r>
        <w:t>Major components of Alternative B</w:t>
      </w:r>
    </w:p>
    <w:p w:rsidR="009743D6" w:rsidRDefault="009743D6" w:rsidP="00312379">
      <w:pPr>
        <w:pStyle w:val="Bullet-Open"/>
        <w:spacing w:before="0"/>
        <w:ind w:left="1080"/>
      </w:pPr>
      <w:r w:rsidRPr="005F5A59">
        <w:t>Seabrook</w:t>
      </w:r>
      <w:r w:rsidR="003741C2">
        <w:t>–</w:t>
      </w:r>
      <w:r w:rsidRPr="005F5A59">
        <w:t>Ward Hill 345</w:t>
      </w:r>
      <w:r>
        <w:t xml:space="preserve"> </w:t>
      </w:r>
      <w:r w:rsidRPr="005F5A59">
        <w:t xml:space="preserve">kV </w:t>
      </w:r>
      <w:r>
        <w:t>line</w:t>
      </w:r>
    </w:p>
    <w:p w:rsidR="009743D6" w:rsidRPr="001308F2" w:rsidRDefault="009743D6" w:rsidP="00312379">
      <w:pPr>
        <w:pStyle w:val="Bullet-Open"/>
        <w:spacing w:before="0"/>
        <w:ind w:left="1080"/>
      </w:pPr>
      <w:r w:rsidRPr="001308F2">
        <w:t>Lexington–Waltham 345 kV line with a new 345/230 kV autotransformer at Waltham</w:t>
      </w:r>
    </w:p>
    <w:p w:rsidR="009743D6" w:rsidRPr="001308F2" w:rsidRDefault="009743D6" w:rsidP="00312379">
      <w:pPr>
        <w:pStyle w:val="Bullet-Open"/>
        <w:spacing w:before="0"/>
        <w:ind w:left="1080"/>
      </w:pPr>
      <w:r w:rsidRPr="001308F2">
        <w:t>Woburn–Lexington 115 kV line</w:t>
      </w:r>
    </w:p>
    <w:p w:rsidR="009743D6" w:rsidRPr="001308F2" w:rsidRDefault="009743D6" w:rsidP="00312379">
      <w:pPr>
        <w:pStyle w:val="Bullet-Open"/>
        <w:spacing w:before="0"/>
        <w:ind w:left="1080"/>
      </w:pPr>
      <w:r w:rsidRPr="001308F2">
        <w:t>Framingham–Speen 115 kV line</w:t>
      </w:r>
    </w:p>
    <w:p w:rsidR="009743D6" w:rsidRPr="001308F2" w:rsidRDefault="009743D6" w:rsidP="00312379">
      <w:pPr>
        <w:pStyle w:val="Bullet-Open"/>
        <w:spacing w:before="0"/>
        <w:ind w:left="1080"/>
      </w:pPr>
      <w:r w:rsidRPr="001308F2">
        <w:t>Conver</w:t>
      </w:r>
      <w:r w:rsidR="003741C2" w:rsidRPr="001308F2">
        <w:t xml:space="preserve">sion of </w:t>
      </w:r>
      <w:r w:rsidRPr="001308F2">
        <w:t xml:space="preserve">69 kV </w:t>
      </w:r>
      <w:r w:rsidR="001308F2" w:rsidRPr="001308F2">
        <w:t xml:space="preserve">circuits and substation facilities </w:t>
      </w:r>
      <w:r w:rsidRPr="001308F2">
        <w:t>to 115 kV in western suburbs of Boston</w:t>
      </w:r>
    </w:p>
    <w:p w:rsidR="009743D6" w:rsidRPr="001308F2" w:rsidRDefault="009743D6" w:rsidP="00312379">
      <w:pPr>
        <w:pStyle w:val="Bullet-Open"/>
        <w:spacing w:before="0"/>
        <w:ind w:left="1080"/>
      </w:pPr>
      <w:r w:rsidRPr="001308F2">
        <w:t>Woburn–Mystic 115 kV line</w:t>
      </w:r>
    </w:p>
    <w:p w:rsidR="009743D6" w:rsidRPr="001308F2" w:rsidRDefault="009743D6" w:rsidP="00312379">
      <w:pPr>
        <w:pStyle w:val="Bullet-Open"/>
        <w:spacing w:before="0" w:after="240"/>
        <w:ind w:left="1080"/>
      </w:pPr>
      <w:r w:rsidRPr="001308F2">
        <w:t xml:space="preserve">Wakefield–Everett 115 kV line </w:t>
      </w:r>
    </w:p>
    <w:p w:rsidR="009743D6" w:rsidRDefault="009743D6" w:rsidP="00073277">
      <w:r>
        <w:t>Two other options, which were initially considered, will not be pursued unless the two primary alternatives significantly expand in scope or are somehow inadequate.</w:t>
      </w:r>
    </w:p>
    <w:p w:rsidR="009743D6" w:rsidRDefault="009743D6" w:rsidP="00312379">
      <w:pPr>
        <w:pStyle w:val="Bullet-Solid"/>
      </w:pPr>
      <w:r>
        <w:t>Major components of Alternative C</w:t>
      </w:r>
    </w:p>
    <w:p w:rsidR="009743D6" w:rsidRDefault="009743D6" w:rsidP="00312379">
      <w:pPr>
        <w:pStyle w:val="Bullet-Open"/>
        <w:spacing w:before="0"/>
        <w:ind w:left="1080"/>
      </w:pPr>
      <w:r w:rsidRPr="00D1145A">
        <w:t>Scobie–Woburn 345</w:t>
      </w:r>
      <w:r>
        <w:t xml:space="preserve"> </w:t>
      </w:r>
      <w:r w:rsidRPr="00D1145A">
        <w:t xml:space="preserve">kV </w:t>
      </w:r>
      <w:r>
        <w:t>line</w:t>
      </w:r>
    </w:p>
    <w:p w:rsidR="009743D6" w:rsidRDefault="009743D6" w:rsidP="00312379">
      <w:pPr>
        <w:pStyle w:val="Bullet-Open"/>
        <w:spacing w:before="0"/>
        <w:ind w:left="1080"/>
      </w:pPr>
      <w:r w:rsidRPr="00D1145A">
        <w:t>Wakefield–Ward Hill 345</w:t>
      </w:r>
      <w:r>
        <w:t xml:space="preserve"> </w:t>
      </w:r>
      <w:r w:rsidRPr="00D1145A">
        <w:t xml:space="preserve">kV </w:t>
      </w:r>
      <w:r>
        <w:t>line</w:t>
      </w:r>
    </w:p>
    <w:p w:rsidR="009743D6" w:rsidRDefault="009743D6" w:rsidP="00312379">
      <w:pPr>
        <w:pStyle w:val="Bullet-Open"/>
        <w:spacing w:before="0"/>
        <w:ind w:left="1080"/>
      </w:pPr>
      <w:r w:rsidRPr="00D1145A">
        <w:t>Lexington–Waltham 345</w:t>
      </w:r>
      <w:r>
        <w:t xml:space="preserve"> </w:t>
      </w:r>
      <w:r w:rsidRPr="00D1145A">
        <w:t xml:space="preserve">kV </w:t>
      </w:r>
      <w:r>
        <w:t>line with</w:t>
      </w:r>
      <w:r w:rsidRPr="00D1145A">
        <w:t xml:space="preserve"> a </w:t>
      </w:r>
      <w:r>
        <w:t xml:space="preserve">new </w:t>
      </w:r>
      <w:r w:rsidRPr="00D1145A">
        <w:t>345/230</w:t>
      </w:r>
      <w:r>
        <w:t xml:space="preserve"> </w:t>
      </w:r>
      <w:r w:rsidRPr="00D1145A">
        <w:t xml:space="preserve">kV </w:t>
      </w:r>
      <w:r>
        <w:t>a</w:t>
      </w:r>
      <w:r w:rsidRPr="00D1145A">
        <w:t>uto</w:t>
      </w:r>
      <w:r>
        <w:t>transformer</w:t>
      </w:r>
      <w:r w:rsidR="0076739E">
        <w:t xml:space="preserve"> </w:t>
      </w:r>
      <w:r w:rsidRPr="00D1145A">
        <w:t>at Waltham</w:t>
      </w:r>
    </w:p>
    <w:p w:rsidR="009743D6" w:rsidRDefault="009743D6" w:rsidP="00312379">
      <w:pPr>
        <w:pStyle w:val="Bullet-Open"/>
        <w:spacing w:before="0"/>
        <w:ind w:left="1080"/>
      </w:pPr>
      <w:r w:rsidRPr="00D1145A">
        <w:t>Waltham–Sudbury 115</w:t>
      </w:r>
      <w:r>
        <w:t xml:space="preserve"> </w:t>
      </w:r>
      <w:r w:rsidRPr="00D1145A">
        <w:t xml:space="preserve">kV </w:t>
      </w:r>
      <w:r>
        <w:t>line</w:t>
      </w:r>
    </w:p>
    <w:p w:rsidR="009743D6" w:rsidRDefault="009743D6" w:rsidP="00312379">
      <w:pPr>
        <w:pStyle w:val="Bullet-Open"/>
        <w:spacing w:before="0"/>
        <w:ind w:left="1080"/>
      </w:pPr>
      <w:r w:rsidRPr="00D1145A">
        <w:t>Conver</w:t>
      </w:r>
      <w:r w:rsidR="003741C2">
        <w:t xml:space="preserve">sion of </w:t>
      </w:r>
      <w:r w:rsidRPr="00D1145A">
        <w:t>69</w:t>
      </w:r>
      <w:r>
        <w:t xml:space="preserve"> </w:t>
      </w:r>
      <w:r w:rsidRPr="00D1145A">
        <w:t xml:space="preserve">kV </w:t>
      </w:r>
      <w:r w:rsidR="000D2BCB">
        <w:t xml:space="preserve">circuits and substation facilities </w:t>
      </w:r>
      <w:r w:rsidRPr="00D1145A">
        <w:t>to 115</w:t>
      </w:r>
      <w:r>
        <w:t xml:space="preserve"> </w:t>
      </w:r>
      <w:r w:rsidRPr="00D1145A">
        <w:t>kV in western suburbs of Boston</w:t>
      </w:r>
    </w:p>
    <w:p w:rsidR="009743D6" w:rsidRDefault="009743D6" w:rsidP="00312379">
      <w:pPr>
        <w:pStyle w:val="Bullet-Open"/>
        <w:spacing w:before="0"/>
        <w:ind w:left="1080"/>
      </w:pPr>
      <w:r w:rsidRPr="00D1145A">
        <w:t>Woburn–Mystic 115</w:t>
      </w:r>
      <w:r>
        <w:t xml:space="preserve"> </w:t>
      </w:r>
      <w:r w:rsidRPr="00D1145A">
        <w:t xml:space="preserve">kV </w:t>
      </w:r>
      <w:r>
        <w:t>line</w:t>
      </w:r>
    </w:p>
    <w:p w:rsidR="009743D6" w:rsidRDefault="009743D6" w:rsidP="00312379">
      <w:pPr>
        <w:pStyle w:val="Bullet-Open"/>
        <w:spacing w:before="0" w:after="240"/>
        <w:ind w:left="1080"/>
      </w:pPr>
      <w:r w:rsidRPr="00D1145A">
        <w:t>Wakefield–Everett 115</w:t>
      </w:r>
      <w:r>
        <w:t xml:space="preserve"> </w:t>
      </w:r>
      <w:r w:rsidRPr="00D1145A">
        <w:t xml:space="preserve">kV </w:t>
      </w:r>
      <w:r>
        <w:t>line</w:t>
      </w:r>
      <w:r w:rsidRPr="00D1145A">
        <w:t xml:space="preserve"> </w:t>
      </w:r>
    </w:p>
    <w:p w:rsidR="009743D6" w:rsidRDefault="009743D6" w:rsidP="00312379">
      <w:pPr>
        <w:pStyle w:val="Bullet-Solid"/>
      </w:pPr>
      <w:r>
        <w:t>Major components of Alternative D</w:t>
      </w:r>
    </w:p>
    <w:p w:rsidR="009743D6" w:rsidRDefault="009743D6" w:rsidP="005C21E4">
      <w:pPr>
        <w:pStyle w:val="Bullet-Open"/>
        <w:spacing w:before="0"/>
        <w:ind w:left="1080"/>
      </w:pPr>
      <w:r w:rsidRPr="00D1145A">
        <w:t>Based on HV</w:t>
      </w:r>
      <w:r>
        <w:t>DC</w:t>
      </w:r>
      <w:r w:rsidRPr="00D1145A">
        <w:t xml:space="preserve"> line with termination at </w:t>
      </w:r>
      <w:r w:rsidR="007743FF">
        <w:t xml:space="preserve">the </w:t>
      </w:r>
      <w:r w:rsidRPr="00D1145A">
        <w:t>K St</w:t>
      </w:r>
      <w:r w:rsidR="003741C2">
        <w:t>reet</w:t>
      </w:r>
      <w:r w:rsidR="007743FF">
        <w:t xml:space="preserve"> substation</w:t>
      </w:r>
      <w:r w:rsidRPr="00D1145A">
        <w:t>.</w:t>
      </w:r>
    </w:p>
    <w:p w:rsidR="009743D6" w:rsidRDefault="009743D6" w:rsidP="005C21E4">
      <w:pPr>
        <w:pStyle w:val="Bullet-Open"/>
        <w:spacing w:before="0" w:after="240"/>
        <w:ind w:left="1080"/>
      </w:pPr>
      <w:r w:rsidRPr="00D1145A">
        <w:t>Additional transmission upgrades for specific subareas to address remaining needs</w:t>
      </w:r>
      <w:r>
        <w:t>,</w:t>
      </w:r>
      <w:r w:rsidRPr="00D1145A">
        <w:t xml:space="preserve"> drawing on upgrades from Plans A, B, and C</w:t>
      </w:r>
      <w:r>
        <w:t>,</w:t>
      </w:r>
      <w:r w:rsidRPr="00D1145A">
        <w:t xml:space="preserve"> as appropriate</w:t>
      </w:r>
    </w:p>
    <w:p w:rsidR="009743D6" w:rsidRDefault="009743D6" w:rsidP="00073277">
      <w:r>
        <w:t xml:space="preserve">Although a previous analysis identified needs for the Berkshire County/Pittsfield area, this area has been reassessed </w:t>
      </w:r>
      <w:r w:rsidR="00B462A6">
        <w:t xml:space="preserve">using </w:t>
      </w:r>
      <w:r>
        <w:t>the latest available data, and a new report has been finalized and posted.</w:t>
      </w:r>
      <w:r w:rsidRPr="00393940">
        <w:rPr>
          <w:rStyle w:val="FootnoteReference"/>
          <w:sz w:val="22"/>
        </w:rPr>
        <w:footnoteReference w:id="148"/>
      </w:r>
      <w:r w:rsidRPr="00393940">
        <w:t xml:space="preserve"> </w:t>
      </w:r>
      <w:r>
        <w:t xml:space="preserve">The needs </w:t>
      </w:r>
      <w:r w:rsidR="003F2739">
        <w:t xml:space="preserve">that require solutions are </w:t>
      </w:r>
      <w:r>
        <w:t>as follows:</w:t>
      </w:r>
    </w:p>
    <w:p w:rsidR="009743D6" w:rsidRDefault="009743D6" w:rsidP="005C21E4">
      <w:pPr>
        <w:pStyle w:val="Bullet-Solid"/>
      </w:pPr>
      <w:r>
        <w:t>Thermal overloads on the 115 kV corridor between Berkshire and Montague (1231/1361 lines) and on the A127-9 line (Montague to Cabot J</w:t>
      </w:r>
      <w:r w:rsidR="003741C2">
        <w:t>unction</w:t>
      </w:r>
      <w:r>
        <w:t>)</w:t>
      </w:r>
    </w:p>
    <w:p w:rsidR="009743D6" w:rsidRDefault="003741C2" w:rsidP="005C21E4">
      <w:pPr>
        <w:pStyle w:val="Bullet-Solid"/>
      </w:pPr>
      <w:r>
        <w:t xml:space="preserve">Overloads on </w:t>
      </w:r>
      <w:r w:rsidR="009743D6">
        <w:t xml:space="preserve">the </w:t>
      </w:r>
      <w:r w:rsidR="009743D6" w:rsidRPr="000D2BCB">
        <w:t xml:space="preserve">Berkshire </w:t>
      </w:r>
      <w:r w:rsidR="00EF25EB" w:rsidRPr="000D2BCB">
        <w:t>2X</w:t>
      </w:r>
      <w:r w:rsidR="000D2BCB" w:rsidRPr="000D2BCB">
        <w:t xml:space="preserve"> </w:t>
      </w:r>
      <w:r w:rsidR="009743D6" w:rsidRPr="000D2BCB">
        <w:t>autotransformer</w:t>
      </w:r>
      <w:r w:rsidR="009743D6">
        <w:t xml:space="preserve"> (345/115 kV) </w:t>
      </w:r>
      <w:r>
        <w:t>under certain system conditions</w:t>
      </w:r>
    </w:p>
    <w:p w:rsidR="009743D6" w:rsidRDefault="009743D6" w:rsidP="005C21E4">
      <w:pPr>
        <w:pStyle w:val="Bullet-Solid"/>
      </w:pPr>
      <w:r>
        <w:t>Thermal overloads on the Pleasant–Blandford–Granville Junction 115 kV corridor (1421/1512 lines)</w:t>
      </w:r>
    </w:p>
    <w:p w:rsidR="009743D6" w:rsidRDefault="009743D6" w:rsidP="005C21E4">
      <w:pPr>
        <w:pStyle w:val="Bullet-Solid"/>
        <w:spacing w:after="240"/>
      </w:pPr>
      <w:r>
        <w:t>Voltage violations (&lt;0.95/unit</w:t>
      </w:r>
      <w:r w:rsidR="003F2739">
        <w:t xml:space="preserve"> of the nominal voltage</w:t>
      </w:r>
      <w:r>
        <w:t>) at several Pittsfield-area substations</w:t>
      </w:r>
      <w:r w:rsidR="003741C2">
        <w:t>,</w:t>
      </w:r>
      <w:r>
        <w:t xml:space="preserve"> as well as many Greenfield-area substations</w:t>
      </w:r>
      <w:r w:rsidR="003741C2">
        <w:t>, which</w:t>
      </w:r>
      <w:r>
        <w:t xml:space="preserve"> can go well below 0.90/unit under “low-hydro” conditions</w:t>
      </w:r>
    </w:p>
    <w:p w:rsidR="009743D6" w:rsidRDefault="009743D6" w:rsidP="00073277">
      <w:r>
        <w:t>Possible solutions to these needs include adding 345/115 kV autotransformers, upgrading considerable lengths of old 115</w:t>
      </w:r>
      <w:r w:rsidRPr="00E13F7C">
        <w:t> </w:t>
      </w:r>
      <w:r>
        <w:t>kV transmission lines, and installing additional capacitors to mitigate both thermal and voltage concerns. The selection of the final plan for this area is scheduled for late 2010 or early 2011.</w:t>
      </w:r>
    </w:p>
    <w:p w:rsidR="009743D6" w:rsidRPr="004C6713" w:rsidRDefault="009743D6" w:rsidP="00073277">
      <w:r>
        <w:rPr>
          <w:b/>
          <w:bCs/>
        </w:rPr>
        <w:t xml:space="preserve">Connecticut. </w:t>
      </w:r>
      <w:r>
        <w:t xml:space="preserve">The </w:t>
      </w:r>
      <w:r w:rsidR="00C9084C">
        <w:t xml:space="preserve">Needs Assessment phase of the </w:t>
      </w:r>
      <w:r>
        <w:t xml:space="preserve">Southwest </w:t>
      </w:r>
      <w:r w:rsidRPr="006137AF">
        <w:t xml:space="preserve">Connecticut study </w:t>
      </w:r>
      <w:r w:rsidR="00D4331C" w:rsidRPr="00D4331C">
        <w:t xml:space="preserve">currently is </w:t>
      </w:r>
      <w:r w:rsidR="00C9084C">
        <w:t xml:space="preserve">being </w:t>
      </w:r>
      <w:r w:rsidR="00D4331C" w:rsidRPr="00D4331C">
        <w:t>complet</w:t>
      </w:r>
      <w:r w:rsidR="00C9084C">
        <w:t>ed and has identified the following i</w:t>
      </w:r>
      <w:r w:rsidR="00D4331C" w:rsidRPr="00D4331C">
        <w:t>ssues:</w:t>
      </w:r>
      <w:r w:rsidR="001614A6">
        <w:rPr>
          <w:rStyle w:val="FootnoteReference"/>
        </w:rPr>
        <w:t xml:space="preserve"> </w:t>
      </w:r>
    </w:p>
    <w:p w:rsidR="009743D6" w:rsidRPr="004C6713" w:rsidRDefault="00C9084C" w:rsidP="00F82677">
      <w:pPr>
        <w:pStyle w:val="Bullet-Solid"/>
      </w:pPr>
      <w:r>
        <w:t>A r</w:t>
      </w:r>
      <w:r w:rsidR="00D4331C" w:rsidRPr="00D4331C">
        <w:t>equire</w:t>
      </w:r>
      <w:r>
        <w:t>ment for</w:t>
      </w:r>
      <w:r w:rsidR="00D4331C" w:rsidRPr="00D4331C">
        <w:t xml:space="preserve"> 115 kV reinforcements in the Bridgeport and New Haven areas</w:t>
      </w:r>
    </w:p>
    <w:p w:rsidR="009743D6" w:rsidRPr="004C6713" w:rsidRDefault="00D4331C" w:rsidP="00F82677">
      <w:pPr>
        <w:pStyle w:val="Bullet-Solid"/>
      </w:pPr>
      <w:r w:rsidRPr="00D4331C">
        <w:t>Low-voltage problems on the 115 kV system in the Naugatuck Valley area</w:t>
      </w:r>
    </w:p>
    <w:p w:rsidR="009743D6" w:rsidRPr="004C6713" w:rsidRDefault="00D4331C" w:rsidP="00F82677">
      <w:pPr>
        <w:pStyle w:val="Bullet-Solid"/>
      </w:pPr>
      <w:r w:rsidRPr="00D4331C">
        <w:t>Thermal overload problems along the 115 kV Stony Hill corridor</w:t>
      </w:r>
    </w:p>
    <w:p w:rsidR="009743D6" w:rsidRPr="004C6713" w:rsidRDefault="00D4331C" w:rsidP="00F82677">
      <w:pPr>
        <w:pStyle w:val="Bullet-Solid"/>
      </w:pPr>
      <w:r w:rsidRPr="00D4331C">
        <w:t>Thermal overload problems in the corridor down to Cos Cob</w:t>
      </w:r>
    </w:p>
    <w:p w:rsidR="009743D6" w:rsidRDefault="009743D6" w:rsidP="00F82677">
      <w:pPr>
        <w:pStyle w:val="Bullet-Solid"/>
        <w:spacing w:after="240"/>
      </w:pPr>
      <w:r>
        <w:t>Impending short-circuit issues at the Pequonnock 115 kV substations</w:t>
      </w:r>
    </w:p>
    <w:p w:rsidR="009743D6" w:rsidRDefault="009743D6" w:rsidP="00073277">
      <w:r>
        <w:t>Two other study efforts have begun in Connecticut. Other analyses have revealed that transmission reliability deficiencies can exist in the Hartford area, under certain system conditions, and also in the Middletown area. The scope of the Hartford Needs Assessment</w:t>
      </w:r>
      <w:r w:rsidR="00BC7589">
        <w:t>,</w:t>
      </w:r>
      <w:r>
        <w:t xml:space="preserve"> as presented to PAC</w:t>
      </w:r>
      <w:r w:rsidR="00BC7589">
        <w:t>,</w:t>
      </w:r>
      <w:r>
        <w:t xml:space="preserve"> included both five- and 10-year analys</w:t>
      </w:r>
      <w:r w:rsidR="00572018">
        <w:t>e</w:t>
      </w:r>
      <w:r>
        <w:t>s under various dispatches and system transfer levels.</w:t>
      </w:r>
      <w:r w:rsidRPr="00C25E8F">
        <w:rPr>
          <w:rStyle w:val="FootnoteReference"/>
          <w:sz w:val="22"/>
        </w:rPr>
        <w:footnoteReference w:id="149"/>
      </w:r>
      <w:r>
        <w:t xml:space="preserve"> The Middletown Needs Assessment has been structured similarly. The Hartford transmission system can experience flow-through issues when its 115 kV circuits are called on, under contingency conditions, to carry the power normally supplied via the 345 kV system. Additionally, load supply issues exist under certain dispatch and transfer conditions. Both voltage and thermal issues have been identified in the Middletown area under future conditions when local generation is unavailable and when the Haddam 345/115kV autotransformer is out of </w:t>
      </w:r>
      <w:r w:rsidRPr="005749BC">
        <w:t xml:space="preserve">service. </w:t>
      </w:r>
      <w:r w:rsidR="00D4331C" w:rsidRPr="00D4331C">
        <w:t>Both the Hartford and</w:t>
      </w:r>
      <w:r>
        <w:t xml:space="preserve"> the Middletown Needs </w:t>
      </w:r>
      <w:r w:rsidRPr="005749BC">
        <w:t>Assessments w</w:t>
      </w:r>
      <w:r>
        <w:t xml:space="preserve">ill identify the problem conditions and the critical load levels at which they occur. </w:t>
      </w:r>
      <w:bookmarkStart w:id="439" w:name="_Ref173302175"/>
      <w:bookmarkStart w:id="440" w:name="_Toc176245053"/>
    </w:p>
    <w:p w:rsidR="00FC0261" w:rsidRDefault="009743D6" w:rsidP="00235A65">
      <w:pPr>
        <w:pStyle w:val="Heading4"/>
      </w:pPr>
      <w:bookmarkStart w:id="441" w:name="_Ref266099552"/>
      <w:r w:rsidRPr="00B0067B">
        <w:t>Southern New England Transmission Projects</w:t>
      </w:r>
      <w:bookmarkEnd w:id="441"/>
    </w:p>
    <w:p w:rsidR="009743D6" w:rsidRPr="00411641" w:rsidRDefault="009743D6" w:rsidP="00073277">
      <w:r w:rsidRPr="00B0067B">
        <w:t>About 10 transmission projects in various stages are underway in southern New England</w:t>
      </w:r>
      <w:r w:rsidRPr="00B0067B">
        <w:rPr>
          <w:b/>
        </w:rPr>
        <w:t xml:space="preserve">. </w:t>
      </w:r>
      <w:r w:rsidRPr="00B0067B">
        <w:t xml:space="preserve">The system performance in southern New England is complicated by many factors, such as load levels, system transfers, and unit commitment. The several projects identified for this area must function reliably under a </w:t>
      </w:r>
      <w:r w:rsidR="00D4331C" w:rsidRPr="00D4331C">
        <w:t xml:space="preserve">wide variety of conditions, and their development must support the operation of the overall system. </w:t>
      </w:r>
    </w:p>
    <w:p w:rsidR="009743D6" w:rsidRPr="002951E4" w:rsidRDefault="00D4331C" w:rsidP="00073277">
      <w:r w:rsidRPr="00D4331C">
        <w:rPr>
          <w:b/>
          <w:color w:val="000000"/>
        </w:rPr>
        <w:t xml:space="preserve">NEEWS. </w:t>
      </w:r>
      <w:r w:rsidRPr="00D4331C">
        <w:t xml:space="preserve">The four components of the NEEWS project address the need for additional 345/115 kV transformation and </w:t>
      </w:r>
      <w:r w:rsidR="008B77D8">
        <w:t>contingency</w:t>
      </w:r>
      <w:r w:rsidRPr="00D4331C">
        <w:t xml:space="preserve"> coverage in the Rhode Island area (Rhode Island Reliability Project), the need for reinforcements in the Springfield, Massachusetts, area (Greater Springfield Reliability Project), and the need for increased transfer capability into and through Connecticut (Interstate Reliability Project and Central Connecticut Reliability Project). </w:t>
      </w:r>
    </w:p>
    <w:p w:rsidR="009743D6" w:rsidRPr="002951E4" w:rsidRDefault="00D4331C" w:rsidP="00073277">
      <w:r w:rsidRPr="00D4331C">
        <w:t>The specific needs for these components first identified are as follows:</w:t>
      </w:r>
    </w:p>
    <w:p w:rsidR="009743D6" w:rsidRDefault="009743D6" w:rsidP="00F82677">
      <w:pPr>
        <w:pStyle w:val="Bullet-Solid"/>
      </w:pPr>
      <w:r w:rsidRPr="00782838">
        <w:t xml:space="preserve">The </w:t>
      </w:r>
      <w:smartTag w:uri="urn:schemas-microsoft-com:office:smarttags" w:element="place">
        <w:smartTag w:uri="urn:schemas-microsoft-com:office:smarttags" w:element="City">
          <w:r w:rsidRPr="00782838">
            <w:t>Springfield</w:t>
          </w:r>
        </w:smartTag>
        <w:r w:rsidRPr="00782838">
          <w:t xml:space="preserve">, </w:t>
        </w:r>
        <w:smartTag w:uri="urn:schemas-microsoft-com:office:smarttags" w:element="State">
          <w:r w:rsidRPr="00782838">
            <w:t>Massachusetts</w:t>
          </w:r>
        </w:smartTag>
      </w:smartTag>
      <w:r w:rsidRPr="00782838">
        <w:t xml:space="preserve">, area experiences thermal overloads under forecasted normal conditions and significant thermal overloads and voltage problems under numerous contingencies. </w:t>
      </w:r>
      <w:r>
        <w:t xml:space="preserve">The severity of these problems increases when the system tries to move power into </w:t>
      </w:r>
      <w:smartTag w:uri="urn:schemas-microsoft-com:office:smarttags" w:element="State">
        <w:r>
          <w:t>Connecticut</w:t>
        </w:r>
      </w:smartTag>
      <w:r>
        <w:t xml:space="preserve"> from the rest of </w:t>
      </w:r>
      <w:smartTag w:uri="urn:schemas-microsoft-com:office:smarttags" w:element="place">
        <w:r>
          <w:t>New England</w:t>
        </w:r>
      </w:smartTag>
      <w:r>
        <w:t>.</w:t>
      </w:r>
    </w:p>
    <w:p w:rsidR="009743D6" w:rsidRDefault="002951E4" w:rsidP="00F82677">
      <w:pPr>
        <w:pStyle w:val="Bullet-Solid"/>
      </w:pPr>
      <w:r>
        <w:t>Regional east</w:t>
      </w:r>
      <w:r>
        <w:rPr>
          <w:rFonts w:cs="Times New Roman"/>
        </w:rPr>
        <w:t>–</w:t>
      </w:r>
      <w:r>
        <w:t>west p</w:t>
      </w:r>
      <w:r w:rsidR="009743D6">
        <w:t xml:space="preserve">ower </w:t>
      </w:r>
      <w:r>
        <w:t xml:space="preserve">flows and </w:t>
      </w:r>
      <w:r w:rsidR="009743D6">
        <w:t>transfers into and out of Connecticut are limited and eventually may result in the inability to serve load under many probable system conditions.</w:t>
      </w:r>
    </w:p>
    <w:p w:rsidR="009743D6" w:rsidRDefault="009743D6" w:rsidP="00F82677">
      <w:pPr>
        <w:pStyle w:val="Bullet-Solid"/>
      </w:pPr>
      <w:r>
        <w:t>East-to-west power flows inside Connecticut stress the existing system and could result in future thermal overloads under contingency conditions.</w:t>
      </w:r>
      <w:r w:rsidR="00946745">
        <w:t xml:space="preserve"> </w:t>
      </w:r>
    </w:p>
    <w:p w:rsidR="009743D6" w:rsidRDefault="009743D6" w:rsidP="00F82677">
      <w:pPr>
        <w:pStyle w:val="Bullet-Solid"/>
        <w:spacing w:after="240"/>
      </w:pPr>
      <w:r>
        <w:t xml:space="preserve">The </w:t>
      </w:r>
      <w:smartTag w:uri="urn:schemas-microsoft-com:office:smarttags" w:element="place">
        <w:smartTag w:uri="urn:schemas-microsoft-com:office:smarttags" w:element="State">
          <w:r>
            <w:t>Rhode Island</w:t>
          </w:r>
        </w:smartTag>
      </w:smartTag>
      <w:r>
        <w:t xml:space="preserve"> system is overly dependent on limited transmission lines or autotransformers to serve its needs, resulting in thermal overloads and voltage problems for contingency conditions.</w:t>
      </w:r>
    </w:p>
    <w:p w:rsidR="009743D6" w:rsidRDefault="009743D6" w:rsidP="00073277">
      <w:r w:rsidRPr="003870BE">
        <w:t>After considerable analyses</w:t>
      </w:r>
      <w:r>
        <w:t xml:space="preserve"> </w:t>
      </w:r>
      <w:r w:rsidRPr="003870BE">
        <w:t xml:space="preserve">of the alternatives, </w:t>
      </w:r>
      <w:r>
        <w:t xml:space="preserve">the following plan </w:t>
      </w:r>
      <w:r w:rsidRPr="003870BE">
        <w:t>consist</w:t>
      </w:r>
      <w:r>
        <w:t>ing</w:t>
      </w:r>
      <w:r w:rsidRPr="003870BE">
        <w:t xml:space="preserve"> of a number of</w:t>
      </w:r>
      <w:r>
        <w:t xml:space="preserve"> projects was selected</w:t>
      </w:r>
      <w:r w:rsidR="003F2739">
        <w:t>.</w:t>
      </w:r>
      <w:r w:rsidR="00D16AA3">
        <w:rPr>
          <w:rStyle w:val="FootnoteReference"/>
        </w:rPr>
        <w:footnoteReference w:id="150"/>
      </w:r>
      <w:r w:rsidRPr="003870BE">
        <w:t xml:space="preserve"> The major </w:t>
      </w:r>
      <w:r>
        <w:t xml:space="preserve">upgrades for each of the </w:t>
      </w:r>
      <w:r w:rsidRPr="00722026">
        <w:t>four components of the plan</w:t>
      </w:r>
      <w:r w:rsidRPr="003870BE">
        <w:t xml:space="preserve"> </w:t>
      </w:r>
      <w:r>
        <w:t>are</w:t>
      </w:r>
      <w:r w:rsidRPr="003870BE">
        <w:t xml:space="preserve"> as follows:</w:t>
      </w:r>
    </w:p>
    <w:p w:rsidR="009743D6" w:rsidRPr="00722026" w:rsidRDefault="009743D6" w:rsidP="00F564BB">
      <w:pPr>
        <w:pStyle w:val="Bullet-Solid"/>
      </w:pPr>
      <w:r w:rsidRPr="00722026">
        <w:t>Rhode Island component</w:t>
      </w:r>
    </w:p>
    <w:p w:rsidR="009743D6" w:rsidRDefault="009743D6" w:rsidP="00F564BB">
      <w:pPr>
        <w:pStyle w:val="Bullet-Open"/>
        <w:spacing w:after="120" w:line="260" w:lineRule="atLeast"/>
        <w:ind w:left="1080"/>
      </w:pPr>
      <w:r w:rsidRPr="004851E1">
        <w:t>A second West Farnum–Kent County 345 kV line</w:t>
      </w:r>
    </w:p>
    <w:p w:rsidR="009743D6" w:rsidRDefault="009743D6" w:rsidP="00F564BB">
      <w:pPr>
        <w:pStyle w:val="Bullet-Open"/>
        <w:spacing w:before="0" w:after="240" w:line="260" w:lineRule="atLeast"/>
        <w:ind w:left="1080"/>
      </w:pPr>
      <w:r>
        <w:t xml:space="preserve">One </w:t>
      </w:r>
      <w:r w:rsidRPr="004851E1">
        <w:t>additional Kent County 345/115</w:t>
      </w:r>
      <w:r>
        <w:t xml:space="preserve"> </w:t>
      </w:r>
      <w:r w:rsidRPr="004851E1">
        <w:t>kV autotransformer</w:t>
      </w:r>
    </w:p>
    <w:p w:rsidR="009743D6" w:rsidRPr="00722026" w:rsidRDefault="009743D6" w:rsidP="00F564BB">
      <w:pPr>
        <w:pStyle w:val="Bullet-Solid"/>
      </w:pPr>
      <w:r w:rsidRPr="00722026">
        <w:t>Springfield component</w:t>
      </w:r>
    </w:p>
    <w:p w:rsidR="009743D6" w:rsidRPr="00722026" w:rsidRDefault="009743D6" w:rsidP="00F564BB">
      <w:pPr>
        <w:pStyle w:val="Bullet-Open"/>
        <w:spacing w:after="120" w:line="260" w:lineRule="atLeast"/>
        <w:ind w:left="1080"/>
      </w:pPr>
      <w:r w:rsidRPr="00722026">
        <w:t>A new Ludlow–Agawam–North Bloomfield 345 kV line</w:t>
      </w:r>
    </w:p>
    <w:p w:rsidR="009743D6" w:rsidRPr="00722026" w:rsidRDefault="009743D6" w:rsidP="00F564BB">
      <w:pPr>
        <w:pStyle w:val="Bullet-Open"/>
        <w:spacing w:before="0" w:after="120" w:line="260" w:lineRule="atLeast"/>
        <w:ind w:left="1080"/>
      </w:pPr>
      <w:r w:rsidRPr="00722026">
        <w:t>Reconfiguration and expansion of the Ludlow 345 kV substation</w:t>
      </w:r>
    </w:p>
    <w:p w:rsidR="009743D6" w:rsidRPr="00722026" w:rsidRDefault="009743D6" w:rsidP="00F564BB">
      <w:pPr>
        <w:pStyle w:val="Bullet-Open"/>
        <w:spacing w:before="0" w:after="120" w:line="260" w:lineRule="atLeast"/>
        <w:ind w:left="1080"/>
      </w:pPr>
      <w:r w:rsidRPr="00722026">
        <w:t>Replacement of two 345 kV/115 kV autotransformers at Ludlow</w:t>
      </w:r>
    </w:p>
    <w:p w:rsidR="009743D6" w:rsidRPr="00722026" w:rsidRDefault="009743D6" w:rsidP="00F564BB">
      <w:pPr>
        <w:pStyle w:val="Bullet-Open"/>
        <w:spacing w:before="0" w:after="120" w:line="260" w:lineRule="atLeast"/>
        <w:ind w:left="1080"/>
      </w:pPr>
      <w:r w:rsidRPr="00722026">
        <w:t>A new 345 substation with two 345/115 kV autotransformers at Agawam</w:t>
      </w:r>
    </w:p>
    <w:p w:rsidR="009743D6" w:rsidRPr="00722026" w:rsidRDefault="00D4331C" w:rsidP="00F564BB">
      <w:pPr>
        <w:pStyle w:val="Bullet-Open"/>
        <w:spacing w:before="0" w:after="120" w:line="260" w:lineRule="atLeast"/>
        <w:ind w:left="1080"/>
      </w:pPr>
      <w:r w:rsidRPr="00D4331C">
        <w:t>A second 345/</w:t>
      </w:r>
      <w:r w:rsidR="009743D6" w:rsidRPr="00722026">
        <w:t>115 kV autotransformer at North Bloomfield</w:t>
      </w:r>
    </w:p>
    <w:p w:rsidR="009743D6" w:rsidRPr="00722026" w:rsidRDefault="009743D6" w:rsidP="00F564BB">
      <w:pPr>
        <w:pStyle w:val="Bullet-Open"/>
        <w:spacing w:before="0" w:after="120" w:line="260" w:lineRule="atLeast"/>
        <w:ind w:left="1080"/>
      </w:pPr>
      <w:r w:rsidRPr="00722026">
        <w:t>A new 115 kV switching station at Cadwell</w:t>
      </w:r>
    </w:p>
    <w:p w:rsidR="009743D6" w:rsidRPr="00722026" w:rsidRDefault="009743D6" w:rsidP="00F564BB">
      <w:pPr>
        <w:pStyle w:val="Bullet-Open"/>
        <w:spacing w:before="0" w:after="120" w:line="260" w:lineRule="atLeast"/>
        <w:ind w:left="1080"/>
      </w:pPr>
      <w:r w:rsidRPr="00722026">
        <w:t>Reconfiguration of the Fairmont substation into a breaker-and-a-half arrangement</w:t>
      </w:r>
    </w:p>
    <w:p w:rsidR="009E3C2F" w:rsidRDefault="009743D6" w:rsidP="00F564BB">
      <w:pPr>
        <w:pStyle w:val="Bullet-Open"/>
        <w:spacing w:before="0" w:after="120" w:line="260" w:lineRule="atLeast"/>
        <w:ind w:left="1080"/>
      </w:pPr>
      <w:r w:rsidRPr="00722026">
        <w:t>Two 345 kV 120 MVAR capacitor banks at Ludlow</w:t>
      </w:r>
    </w:p>
    <w:p w:rsidR="009743D6" w:rsidRPr="00722026" w:rsidRDefault="009E3C2F" w:rsidP="00F564BB">
      <w:pPr>
        <w:pStyle w:val="Bullet-Open"/>
        <w:spacing w:before="0" w:after="240" w:line="260" w:lineRule="atLeast"/>
        <w:ind w:left="1080"/>
      </w:pPr>
      <w:r>
        <w:t>Rebuilding and reconductoring numerous 115 kV circu</w:t>
      </w:r>
      <w:r w:rsidR="00001335">
        <w:t>i</w:t>
      </w:r>
      <w:r>
        <w:t>ts</w:t>
      </w:r>
      <w:r w:rsidR="009743D6" w:rsidRPr="00722026">
        <w:t xml:space="preserve"> </w:t>
      </w:r>
    </w:p>
    <w:p w:rsidR="009743D6" w:rsidRPr="00722026" w:rsidRDefault="009743D6" w:rsidP="00F564BB">
      <w:pPr>
        <w:pStyle w:val="Bullet-Solid"/>
      </w:pPr>
      <w:r>
        <w:t xml:space="preserve">Interstate </w:t>
      </w:r>
      <w:r w:rsidRPr="00722026">
        <w:t>component</w:t>
      </w:r>
    </w:p>
    <w:p w:rsidR="009743D6" w:rsidRPr="00722026" w:rsidRDefault="009743D6" w:rsidP="00F564BB">
      <w:pPr>
        <w:pStyle w:val="Bullet-Open"/>
        <w:spacing w:after="120" w:line="260" w:lineRule="atLeast"/>
        <w:ind w:left="1080"/>
      </w:pPr>
      <w:r w:rsidRPr="00722026">
        <w:t>A new Millbury–West Farnum–Lake Road–Card 345 kV line</w:t>
      </w:r>
    </w:p>
    <w:p w:rsidR="009743D6" w:rsidRPr="00722026" w:rsidRDefault="009743D6" w:rsidP="00F564BB">
      <w:pPr>
        <w:pStyle w:val="Bullet-Open"/>
        <w:spacing w:before="0" w:after="240" w:line="260" w:lineRule="atLeast"/>
        <w:ind w:left="1080"/>
      </w:pPr>
      <w:r w:rsidRPr="00722026">
        <w:t xml:space="preserve">Four 345 kV </w:t>
      </w:r>
      <w:r w:rsidRPr="00457660">
        <w:t>120</w:t>
      </w:r>
      <w:r w:rsidRPr="00722026">
        <w:t xml:space="preserve"> MVAR capacitor banks at Montville</w:t>
      </w:r>
    </w:p>
    <w:p w:rsidR="009743D6" w:rsidRPr="00722026" w:rsidRDefault="009743D6" w:rsidP="00F564BB">
      <w:pPr>
        <w:pStyle w:val="Bullet-Solid"/>
      </w:pPr>
      <w:r w:rsidRPr="00722026">
        <w:t>Central Connecticut component</w:t>
      </w:r>
    </w:p>
    <w:p w:rsidR="009743D6" w:rsidRDefault="009743D6" w:rsidP="00F564BB">
      <w:pPr>
        <w:pStyle w:val="Bullet-Open"/>
        <w:spacing w:before="0" w:after="120" w:line="260" w:lineRule="atLeast"/>
        <w:ind w:left="1080"/>
      </w:pPr>
      <w:r w:rsidRPr="004851E1">
        <w:t>A new North Bloomfield–Frost Bridge 345 kV line</w:t>
      </w:r>
    </w:p>
    <w:p w:rsidR="009743D6" w:rsidRDefault="009743D6" w:rsidP="00F564BB">
      <w:pPr>
        <w:pStyle w:val="Bullet-Open"/>
        <w:spacing w:before="0" w:after="240" w:line="260" w:lineRule="atLeast"/>
        <w:ind w:left="1080"/>
      </w:pPr>
      <w:r>
        <w:t>Expansion of the Frost Bridge 345 kV substation</w:t>
      </w:r>
      <w:r w:rsidR="00AF6A06">
        <w:t xml:space="preserve">, including </w:t>
      </w:r>
      <w:r>
        <w:t>the addition of a second</w:t>
      </w:r>
      <w:r w:rsidRPr="004851E1">
        <w:t xml:space="preserve"> 345/</w:t>
      </w:r>
      <w:r w:rsidR="00794C3E" w:rsidRPr="004851E1">
        <w:t>115</w:t>
      </w:r>
      <w:r w:rsidR="00794C3E">
        <w:t> </w:t>
      </w:r>
      <w:r w:rsidRPr="004851E1">
        <w:t>kV autotransformer</w:t>
      </w:r>
    </w:p>
    <w:p w:rsidR="005E617A" w:rsidRDefault="00D4331C" w:rsidP="00945A8C">
      <w:r w:rsidRPr="00D4331C">
        <w:t xml:space="preserve">The plan also includes other projects ranging from relatively minor ones, such as </w:t>
      </w:r>
      <w:r w:rsidRPr="0090670C">
        <w:t xml:space="preserve">upgrading </w:t>
      </w:r>
      <w:r w:rsidR="008B77D8" w:rsidRPr="0090670C">
        <w:t>ter</w:t>
      </w:r>
      <w:r w:rsidR="0090670C" w:rsidRPr="0090670C">
        <w:t xml:space="preserve">minal equipment at </w:t>
      </w:r>
      <w:r w:rsidRPr="0090670C">
        <w:t>115 kV substation</w:t>
      </w:r>
      <w:r w:rsidR="0090670C" w:rsidRPr="0090670C">
        <w:t>s</w:t>
      </w:r>
      <w:r w:rsidRPr="0090670C">
        <w:t xml:space="preserve"> and installing higher-rated ci</w:t>
      </w:r>
      <w:r w:rsidRPr="00D4331C">
        <w:t xml:space="preserve">rcuit breakers, to more involved projects, such as reconfiguring, rebuilding, and reconductoring 115 kV lines. (See the </w:t>
      </w:r>
      <w:r w:rsidRPr="00D4331C">
        <w:rPr>
          <w:i/>
        </w:rPr>
        <w:t>Southern New England Region</w:t>
      </w:r>
      <w:r w:rsidRPr="00D4331C">
        <w:t xml:space="preserve"> in Section </w:t>
      </w:r>
      <w:fldSimple w:instr=" REF _Ref202020990 \r \h  \* MERGEFORMAT ">
        <w:r w:rsidR="00E5699E">
          <w:t>6.4.2.2</w:t>
        </w:r>
      </w:fldSimple>
      <w:r w:rsidRPr="00D4331C">
        <w:t xml:space="preserve"> for the NEEWS re</w:t>
      </w:r>
      <w:r w:rsidR="00945A8C">
        <w:t>assessment</w:t>
      </w:r>
      <w:r w:rsidRPr="00D4331C">
        <w:t xml:space="preserve"> results to date.)</w:t>
      </w:r>
    </w:p>
    <w:p w:rsidR="009743D6" w:rsidRDefault="001A390E" w:rsidP="00073277">
      <w:r>
        <w:t>Other transmission projects in southern New England are as follows</w:t>
      </w:r>
      <w:r w:rsidR="00DB647C">
        <w:t>:</w:t>
      </w:r>
    </w:p>
    <w:p w:rsidR="009743D6" w:rsidRDefault="009743D6" w:rsidP="00412B87">
      <w:pPr>
        <w:pStyle w:val="Bullet-Solid"/>
        <w:rPr>
          <w:b/>
        </w:rPr>
      </w:pPr>
      <w:r>
        <w:rPr>
          <w:b/>
        </w:rPr>
        <w:t>Downtown Boston 345kV Reliability Project</w:t>
      </w:r>
      <w:r w:rsidR="003F2739" w:rsidRPr="00070661">
        <w:rPr>
          <w:rFonts w:cs="Times New Roman"/>
          <w:b/>
          <w:bCs/>
        </w:rPr>
        <w:t>—</w:t>
      </w:r>
      <w:r>
        <w:t xml:space="preserve">The completion of the first and second phases of the Boston 345 kV Transmission Reliability Project occurred in early 2009. </w:t>
      </w:r>
      <w:r w:rsidRPr="000542B5">
        <w:t>This project include</w:t>
      </w:r>
      <w:r>
        <w:t>d</w:t>
      </w:r>
      <w:r w:rsidRPr="000542B5">
        <w:t xml:space="preserve"> the construction of a </w:t>
      </w:r>
      <w:r>
        <w:t xml:space="preserve">new </w:t>
      </w:r>
      <w:r w:rsidRPr="000542B5">
        <w:t xml:space="preserve">Stoughton 345 kV </w:t>
      </w:r>
      <w:r>
        <w:t xml:space="preserve">switching </w:t>
      </w:r>
      <w:r w:rsidRPr="000542B5">
        <w:t xml:space="preserve">station and the installation of three new underground 345 kV lines </w:t>
      </w:r>
      <w:r>
        <w:t>and</w:t>
      </w:r>
      <w:r w:rsidRPr="000542B5">
        <w:t xml:space="preserve"> associated 345/115 kV autotransformers</w:t>
      </w:r>
      <w:r>
        <w:t xml:space="preserve">. Two </w:t>
      </w:r>
      <w:r w:rsidRPr="000542B5">
        <w:t>17</w:t>
      </w:r>
      <w:r>
        <w:t>.5</w:t>
      </w:r>
      <w:r w:rsidRPr="000542B5">
        <w:t>-mile cable</w:t>
      </w:r>
      <w:r>
        <w:t xml:space="preserve">s connect the Stoughton and </w:t>
      </w:r>
      <w:r w:rsidRPr="000542B5">
        <w:t>K Street substation</w:t>
      </w:r>
      <w:r>
        <w:t>s, and one 11-mile cable connects the Stoughton and Hyde Park substations, significantly increasing the reliability to the downtown Boston area.</w:t>
      </w:r>
    </w:p>
    <w:p w:rsidR="009743D6" w:rsidRDefault="009743D6" w:rsidP="00412B87">
      <w:pPr>
        <w:pStyle w:val="Bullet-Solid"/>
      </w:pPr>
      <w:r>
        <w:rPr>
          <w:b/>
        </w:rPr>
        <w:t>Merrimack Valley/North Shore Project</w:t>
      </w:r>
      <w:r w:rsidR="003F2739" w:rsidRPr="00070661">
        <w:rPr>
          <w:rFonts w:cs="Times New Roman"/>
          <w:b/>
          <w:bCs/>
        </w:rPr>
        <w:t>—</w:t>
      </w:r>
      <w:r>
        <w:t xml:space="preserve">Engineering and construction of the </w:t>
      </w:r>
      <w:r w:rsidR="00D4331C" w:rsidRPr="00D4331C">
        <w:t>last of the</w:t>
      </w:r>
      <w:r w:rsidR="00D16C03">
        <w:t xml:space="preserve"> </w:t>
      </w:r>
      <w:r>
        <w:t xml:space="preserve">upgrades associated with the Merrimack Valley/North Shore Project currently </w:t>
      </w:r>
      <w:r w:rsidR="00794C3E">
        <w:t>is</w:t>
      </w:r>
      <w:r>
        <w:t xml:space="preserve"> in progress.</w:t>
      </w:r>
      <w:r w:rsidRPr="00794C3E">
        <w:rPr>
          <w:rStyle w:val="FootnoteReference"/>
          <w:sz w:val="22"/>
        </w:rPr>
        <w:footnoteReference w:id="151"/>
      </w:r>
      <w:r w:rsidRPr="00794C3E">
        <w:t xml:space="preserve"> </w:t>
      </w:r>
      <w:r>
        <w:t>The new Wakefield Junction substation was placed in service in late 2009</w:t>
      </w:r>
      <w:r w:rsidR="00DB647C">
        <w:t>, and t</w:t>
      </w:r>
      <w:r>
        <w:t>he Golden Hill substation was removed in early 2010. The remaining upgrades will be completed in the 2011 to 2014 timeframe.</w:t>
      </w:r>
    </w:p>
    <w:p w:rsidR="009743D6" w:rsidRDefault="009743D6" w:rsidP="00412B87">
      <w:pPr>
        <w:pStyle w:val="Bullet-Solid"/>
      </w:pPr>
      <w:r>
        <w:rPr>
          <w:b/>
        </w:rPr>
        <w:t>Mystic and West Walpole Reactor Projects</w:t>
      </w:r>
      <w:r w:rsidR="003F2739" w:rsidRPr="00070661">
        <w:rPr>
          <w:rFonts w:cs="Times New Roman"/>
          <w:b/>
          <w:bCs/>
        </w:rPr>
        <w:t>—</w:t>
      </w:r>
      <w:r>
        <w:t xml:space="preserve">The extensive light-load studies completed in 2008 concluded that </w:t>
      </w:r>
      <w:r w:rsidRPr="00B76281">
        <w:t>additional static reactor</w:t>
      </w:r>
      <w:r>
        <w:t>s</w:t>
      </w:r>
      <w:r w:rsidRPr="00B76281">
        <w:t xml:space="preserve"> in the Boston area could </w:t>
      </w:r>
      <w:r>
        <w:t xml:space="preserve">further </w:t>
      </w:r>
      <w:r w:rsidRPr="00B76281">
        <w:t xml:space="preserve">help control </w:t>
      </w:r>
      <w:r>
        <w:t xml:space="preserve">steady-state </w:t>
      </w:r>
      <w:r w:rsidRPr="00B76281">
        <w:t>high voltages</w:t>
      </w:r>
      <w:r>
        <w:t xml:space="preserve"> and provide needed light-load reactive-compensation reserves</w:t>
      </w:r>
      <w:r w:rsidRPr="00B76281">
        <w:t>.</w:t>
      </w:r>
      <w:r>
        <w:t xml:space="preserve"> The first was installed at the Mystic station in early 2009 (345</w:t>
      </w:r>
      <w:r w:rsidR="00997D15">
        <w:t xml:space="preserve"> </w:t>
      </w:r>
      <w:r>
        <w:t>kV, 160 MVAR) and the second at West Walpole mid</w:t>
      </w:r>
      <w:r w:rsidR="008C369D">
        <w:t>-</w:t>
      </w:r>
      <w:r>
        <w:t>2010.</w:t>
      </w:r>
      <w:r w:rsidRPr="00721291">
        <w:rPr>
          <w:rStyle w:val="FootnoteReference"/>
          <w:sz w:val="22"/>
        </w:rPr>
        <w:footnoteReference w:id="152"/>
      </w:r>
    </w:p>
    <w:p w:rsidR="009743D6" w:rsidRDefault="009743D6" w:rsidP="00412B87">
      <w:pPr>
        <w:pStyle w:val="Bullet-Solid"/>
      </w:pPr>
      <w:r w:rsidRPr="00531842">
        <w:rPr>
          <w:b/>
        </w:rPr>
        <w:t>Bear Swamp–Pratts Junction 230</w:t>
      </w:r>
      <w:r>
        <w:rPr>
          <w:b/>
        </w:rPr>
        <w:t xml:space="preserve"> </w:t>
      </w:r>
      <w:r w:rsidRPr="00531842">
        <w:rPr>
          <w:b/>
        </w:rPr>
        <w:t>kV Refurbishment</w:t>
      </w:r>
      <w:r>
        <w:rPr>
          <w:b/>
        </w:rPr>
        <w:t xml:space="preserve"> (E205 line</w:t>
      </w:r>
      <w:r w:rsidR="003F2739">
        <w:rPr>
          <w:b/>
        </w:rPr>
        <w:t>)</w:t>
      </w:r>
      <w:r w:rsidR="003F2739" w:rsidRPr="00070661">
        <w:rPr>
          <w:rFonts w:cs="Times New Roman"/>
          <w:b/>
          <w:bCs/>
        </w:rPr>
        <w:t>—</w:t>
      </w:r>
      <w:r>
        <w:t>Detailed field inspections revealed significant reliability issues with the condition of the equipment on this over-50-year-old line. Issues with wooden poles included checking, bowing, splitting, and woodpecker holes. Work on this major rebuild, which includes removing and replacing 300 to 400 structures, has begun.</w:t>
      </w:r>
      <w:r w:rsidRPr="00794C3E">
        <w:rPr>
          <w:rStyle w:val="FootnoteReference"/>
          <w:sz w:val="22"/>
        </w:rPr>
        <w:footnoteReference w:id="153"/>
      </w:r>
      <w:r w:rsidRPr="00794C3E">
        <w:t xml:space="preserve"> </w:t>
      </w:r>
      <w:r>
        <w:t xml:space="preserve">A similar rebuild is being engineered and scheduled for the A127 and B128 115 kV lines that run westerly from Millbury to the Harriman/Sherman substations. </w:t>
      </w:r>
    </w:p>
    <w:p w:rsidR="009743D6" w:rsidRPr="00ED3B90" w:rsidRDefault="009743D6" w:rsidP="00412B87">
      <w:pPr>
        <w:pStyle w:val="Bullet-Solid"/>
      </w:pPr>
      <w:r>
        <w:rPr>
          <w:b/>
        </w:rPr>
        <w:t>Central/Western Massachusetts Upgrades</w:t>
      </w:r>
      <w:r w:rsidR="003F2739" w:rsidRPr="00070661">
        <w:rPr>
          <w:rFonts w:cs="Times New Roman"/>
          <w:b/>
          <w:bCs/>
        </w:rPr>
        <w:t>—</w:t>
      </w:r>
      <w:r>
        <w:t xml:space="preserve">Past studies developed a 10-year plan </w:t>
      </w:r>
      <w:r w:rsidRPr="000A3E85">
        <w:t xml:space="preserve">for central Massachusetts and </w:t>
      </w:r>
      <w:r>
        <w:t>portions of western Massachusetts.</w:t>
      </w:r>
      <w:r w:rsidRPr="00794C3E">
        <w:rPr>
          <w:rStyle w:val="FootnoteReference"/>
          <w:sz w:val="22"/>
        </w:rPr>
        <w:footnoteReference w:id="154"/>
      </w:r>
      <w:r>
        <w:t xml:space="preserve"> This plan calls for adding a third autotransformer at the Wachusett 345/115 kV substation and a second 230/115 kV autotransformer at Bear Swamp, replacing transformers at Pratts Junction and Carpenter Hill substations, adding a new 115 kV line from </w:t>
      </w:r>
      <w:r w:rsidRPr="00ED3B90">
        <w:t>Millbury to Webster, and implementing several other 115 kV upgrades</w:t>
      </w:r>
      <w:r w:rsidR="00E84B2C">
        <w:t>.</w:t>
      </w:r>
      <w:r w:rsidR="0076739E">
        <w:t xml:space="preserve"> </w:t>
      </w:r>
    </w:p>
    <w:p w:rsidR="009743D6" w:rsidRDefault="009743D6" w:rsidP="00412B87">
      <w:pPr>
        <w:pStyle w:val="Bullet-Solid"/>
      </w:pPr>
      <w:r w:rsidRPr="00A2264A">
        <w:rPr>
          <w:b/>
        </w:rPr>
        <w:t>Auburn Reliability Project</w:t>
      </w:r>
      <w:r w:rsidR="003F2739" w:rsidRPr="00A2264A">
        <w:rPr>
          <w:rFonts w:cs="Times New Roman"/>
          <w:b/>
          <w:bCs/>
        </w:rPr>
        <w:t>—</w:t>
      </w:r>
      <w:r w:rsidR="00D02668" w:rsidRPr="00A2264A">
        <w:rPr>
          <w:rFonts w:cs="Times New Roman"/>
          <w:bCs/>
        </w:rPr>
        <w:t>Past studies</w:t>
      </w:r>
      <w:r w:rsidR="00D02668" w:rsidRPr="00A2264A">
        <w:rPr>
          <w:rFonts w:cs="Times New Roman"/>
          <w:b/>
          <w:bCs/>
        </w:rPr>
        <w:t xml:space="preserve"> </w:t>
      </w:r>
      <w:r w:rsidRPr="00A2264A">
        <w:t xml:space="preserve">of the area surrounding the Auburn Street substation </w:t>
      </w:r>
      <w:r w:rsidR="00A2264A" w:rsidRPr="00A2264A">
        <w:t xml:space="preserve">have </w:t>
      </w:r>
      <w:r w:rsidRPr="00A2264A">
        <w:t>found</w:t>
      </w:r>
      <w:r w:rsidRPr="00ED3B90">
        <w:t xml:space="preserve"> overloads of the existing 345/115 kV autotransformer and several 115 kV lines, voltage problems, and breaker overstresses. The solution to eliminate these identified reliability deficiencies includes a new bay configuration at the Auburn Street substation along with the installation of a second autotransformer and the replacement of a number of breakers. The 115 kV Auburn Street</w:t>
      </w:r>
      <w:r w:rsidR="00492844">
        <w:t>–</w:t>
      </w:r>
      <w:r w:rsidRPr="00ED3B90">
        <w:t>Parkview and Bridgewater</w:t>
      </w:r>
      <w:r w:rsidR="00492844">
        <w:t>–</w:t>
      </w:r>
      <w:r w:rsidRPr="00ED3B90">
        <w:t xml:space="preserve">East Bridgewater </w:t>
      </w:r>
      <w:r w:rsidR="00492844">
        <w:t xml:space="preserve">lines </w:t>
      </w:r>
      <w:r w:rsidRPr="00ED3B90">
        <w:t xml:space="preserve">will be reconductored. Changes to the original Auburn substation equipment layout have been made through the engineering and design phases of the project. Additionally, a number of distribution substation changes </w:t>
      </w:r>
      <w:r w:rsidR="007B60AB">
        <w:t xml:space="preserve">are being discussed that could </w:t>
      </w:r>
      <w:r w:rsidRPr="00ED3B90">
        <w:t>modif</w:t>
      </w:r>
      <w:r w:rsidR="007B60AB">
        <w:t xml:space="preserve">y </w:t>
      </w:r>
      <w:r w:rsidRPr="00ED3B90">
        <w:t>the original project and its subsequent cost. The Bridgewater–Easton 115 kV line (E1) will be extended to supply a new municipal substation in Mansfield. The new Avon substation will be constructed and tapped off the newly reconductored</w:t>
      </w:r>
      <w:r>
        <w:t xml:space="preserve"> Auburn Street–Parkview line (A94). The addition of a second distribution transformer at Dupont requires associated terminal work.</w:t>
      </w:r>
      <w:r w:rsidR="00CA653F" w:rsidRPr="00794C3E">
        <w:rPr>
          <w:rStyle w:val="FootnoteReference"/>
          <w:sz w:val="22"/>
        </w:rPr>
        <w:footnoteReference w:id="155"/>
      </w:r>
    </w:p>
    <w:p w:rsidR="009743D6" w:rsidRDefault="009743D6" w:rsidP="00412B87">
      <w:pPr>
        <w:pStyle w:val="Bullet-Solid"/>
      </w:pPr>
      <w:r>
        <w:rPr>
          <w:b/>
        </w:rPr>
        <w:t>Lower SEMA Short- and Long-Term Upgrades</w:t>
      </w:r>
      <w:r w:rsidR="003F2739" w:rsidRPr="00070661">
        <w:rPr>
          <w:rFonts w:cs="Times New Roman"/>
          <w:b/>
          <w:bCs/>
        </w:rPr>
        <w:t>—</w:t>
      </w:r>
      <w:r>
        <w:t xml:space="preserve">Plans to eliminate the criteria violations in the lower southeastern Massachusetts (LSM) area, which includes Cape Cod, were separated into two phases. Phase one included the projects that could be put in place in an expedited time frame. Phase two includes those projects that would serve as the long-term solution for reliable supply but would require state siting hearings. </w:t>
      </w:r>
      <w:r w:rsidRPr="00E13F7C">
        <w:t xml:space="preserve">The short-term </w:t>
      </w:r>
      <w:r>
        <w:t>upgrades were</w:t>
      </w:r>
      <w:r w:rsidRPr="00E13F7C">
        <w:t xml:space="preserve"> completed</w:t>
      </w:r>
      <w:r>
        <w:t xml:space="preserve"> in 2009</w:t>
      </w:r>
      <w:r w:rsidRPr="00E13F7C">
        <w:t xml:space="preserve">, and the </w:t>
      </w:r>
      <w:r>
        <w:t>long-term upgrades have now reached the siting stage.</w:t>
      </w:r>
      <w:r w:rsidRPr="00283871">
        <w:rPr>
          <w:rStyle w:val="FootnoteReference"/>
          <w:sz w:val="22"/>
        </w:rPr>
        <w:footnoteReference w:id="156"/>
      </w:r>
      <w:r w:rsidR="00BC552A" w:rsidRPr="00BC552A">
        <w:t xml:space="preserve"> </w:t>
      </w:r>
      <w:r>
        <w:t>The short-term plan</w:t>
      </w:r>
      <w:r w:rsidRPr="00E13F7C">
        <w:t xml:space="preserve"> include</w:t>
      </w:r>
      <w:r>
        <w:t>d</w:t>
      </w:r>
      <w:r w:rsidRPr="00E13F7C">
        <w:t xml:space="preserve"> the following system improvements:</w:t>
      </w:r>
    </w:p>
    <w:p w:rsidR="009743D6" w:rsidRDefault="009743D6" w:rsidP="00412B87">
      <w:pPr>
        <w:pStyle w:val="Bullet-Open"/>
        <w:ind w:left="1080"/>
      </w:pPr>
      <w:r>
        <w:t>Looping the Bridgewater–Pilgrim 345 kV line into the Carver substation</w:t>
      </w:r>
    </w:p>
    <w:p w:rsidR="009743D6" w:rsidRDefault="009743D6" w:rsidP="00412B87">
      <w:pPr>
        <w:pStyle w:val="Bullet-Open"/>
        <w:ind w:left="1080"/>
      </w:pPr>
      <w:r>
        <w:t xml:space="preserve">Adding a second Carver </w:t>
      </w:r>
      <w:r w:rsidR="00D16C03">
        <w:t xml:space="preserve">345/115 kV </w:t>
      </w:r>
      <w:r>
        <w:t>autotransformer</w:t>
      </w:r>
    </w:p>
    <w:p w:rsidR="009743D6" w:rsidRDefault="009743D6" w:rsidP="00412B87">
      <w:pPr>
        <w:pStyle w:val="Bullet-Open"/>
        <w:ind w:left="1080"/>
      </w:pPr>
      <w:r>
        <w:t>Expanding the Carver 345 kV and 115 kV substations and the Brook Street and Barnstable 115 kV substations</w:t>
      </w:r>
    </w:p>
    <w:p w:rsidR="009743D6" w:rsidRDefault="009743D6" w:rsidP="00412B87">
      <w:pPr>
        <w:pStyle w:val="Bullet-Open"/>
        <w:ind w:left="1080"/>
      </w:pPr>
      <w:r>
        <w:t>Upgrading the Kingston terminal of the 191 line between Kingston and Auburn Street</w:t>
      </w:r>
    </w:p>
    <w:p w:rsidR="009743D6" w:rsidRDefault="009743D6" w:rsidP="00412B87">
      <w:pPr>
        <w:pStyle w:val="Bullet-Open"/>
        <w:ind w:left="1080"/>
      </w:pPr>
      <w:r>
        <w:t>Installing a second Carver–Tremont 115 kV line</w:t>
      </w:r>
    </w:p>
    <w:p w:rsidR="009743D6" w:rsidRDefault="009743D6" w:rsidP="00412B87">
      <w:pPr>
        <w:pStyle w:val="Bullet-Open"/>
        <w:ind w:left="1080"/>
      </w:pPr>
      <w:r>
        <w:t>Connecting the spare conductors of the Jordan Road–Auburn Street line as a new Brook Street–Auburn Street 115 kV circuit</w:t>
      </w:r>
    </w:p>
    <w:p w:rsidR="009743D6" w:rsidRDefault="009743D6" w:rsidP="00412B87">
      <w:pPr>
        <w:pStyle w:val="Bullet-Open"/>
        <w:ind w:left="1080"/>
      </w:pPr>
      <w:r>
        <w:t>Adding 115 kV breakers at Auburn Street</w:t>
      </w:r>
    </w:p>
    <w:p w:rsidR="009743D6" w:rsidRDefault="009743D6" w:rsidP="00412B87">
      <w:pPr>
        <w:pStyle w:val="Bullet-Open"/>
        <w:ind w:left="1080"/>
      </w:pPr>
      <w:r>
        <w:t>Reconnecting the Auburn Street–Kingston line to a new position at Auburn Street</w:t>
      </w:r>
    </w:p>
    <w:p w:rsidR="009743D6" w:rsidRDefault="009743D6" w:rsidP="00412B87">
      <w:pPr>
        <w:pStyle w:val="Bullet-Open"/>
        <w:spacing w:after="240"/>
        <w:ind w:left="1080"/>
      </w:pPr>
      <w:r w:rsidRPr="0042368C">
        <w:t>Adding a</w:t>
      </w:r>
      <w:r>
        <w:t xml:space="preserve"> static VAR compensator </w:t>
      </w:r>
      <w:r w:rsidRPr="0042368C">
        <w:t>at Barnstable</w:t>
      </w:r>
      <w:r>
        <w:t xml:space="preserve"> </w:t>
      </w:r>
    </w:p>
    <w:p w:rsidR="00F158B9" w:rsidRDefault="00736D04">
      <w:pPr>
        <w:ind w:left="720"/>
      </w:pPr>
      <w:r>
        <w:t>The long-term plan includes adding a new 345 kV transmission line from the Carver substation to a new 345/115 kV substation</w:t>
      </w:r>
      <w:r w:rsidR="00D4331C" w:rsidRPr="00D4331C">
        <w:t xml:space="preserve">. This new </w:t>
      </w:r>
      <w:r w:rsidR="00C7308B">
        <w:t>four</w:t>
      </w:r>
      <w:r w:rsidR="00D4331C" w:rsidRPr="00D4331C">
        <w:t>-breaker ring</w:t>
      </w:r>
      <w:r w:rsidR="00C7308B">
        <w:t>-</w:t>
      </w:r>
      <w:r w:rsidR="00D4331C" w:rsidRPr="00D4331C">
        <w:t xml:space="preserve">bus substation, which has been designated the Service Road Substation, will be </w:t>
      </w:r>
      <w:r>
        <w:t>located west of the Barnstable substation</w:t>
      </w:r>
      <w:r w:rsidR="00D4331C" w:rsidRPr="00D4331C">
        <w:t xml:space="preserve"> adjacent to the 115 </w:t>
      </w:r>
      <w:r w:rsidR="00C7308B">
        <w:t xml:space="preserve">kV </w:t>
      </w:r>
      <w:r>
        <w:t>l</w:t>
      </w:r>
      <w:r w:rsidR="00D4331C" w:rsidRPr="00D4331C">
        <w:t xml:space="preserve">ine </w:t>
      </w:r>
      <w:r>
        <w:t>right of way</w:t>
      </w:r>
      <w:r w:rsidR="0099189C">
        <w:t xml:space="preserve">. </w:t>
      </w:r>
      <w:r w:rsidR="00D4331C" w:rsidRPr="00D4331C">
        <w:t>The</w:t>
      </w:r>
      <w:r>
        <w:t xml:space="preserve"> </w:t>
      </w:r>
      <w:r w:rsidR="00D4331C" w:rsidRPr="00D4331C">
        <w:t>Carver</w:t>
      </w:r>
      <w:r w:rsidR="00C7308B">
        <w:rPr>
          <w:rFonts w:cs="Times New Roman"/>
        </w:rPr>
        <w:t>–</w:t>
      </w:r>
      <w:r w:rsidR="00D4331C" w:rsidRPr="00D4331C">
        <w:t>Bourne section of the 345 kV line is new construction</w:t>
      </w:r>
      <w:r w:rsidR="00C7308B">
        <w:t>,</w:t>
      </w:r>
      <w:r w:rsidR="00D4331C" w:rsidRPr="00D4331C">
        <w:t xml:space="preserve"> and the</w:t>
      </w:r>
      <w:r>
        <w:t xml:space="preserve"> Bourne</w:t>
      </w:r>
      <w:r w:rsidR="00C7308B">
        <w:rPr>
          <w:rFonts w:cs="Times New Roman"/>
        </w:rPr>
        <w:t>–</w:t>
      </w:r>
      <w:r>
        <w:t>Barnstable portion of the new 345 kV line will use an existing 115</w:t>
      </w:r>
      <w:r w:rsidR="000054D3">
        <w:t> </w:t>
      </w:r>
      <w:r>
        <w:t xml:space="preserve">kV line built to 345 kV standards. </w:t>
      </w:r>
      <w:r w:rsidR="00D4331C" w:rsidRPr="00D4331C">
        <w:t xml:space="preserve">The 115 </w:t>
      </w:r>
      <w:r w:rsidR="00C7308B">
        <w:t>kV l</w:t>
      </w:r>
      <w:r w:rsidR="00D4331C" w:rsidRPr="00D4331C">
        <w:t xml:space="preserve">ine will be tapped into the new substation. The plan </w:t>
      </w:r>
      <w:r>
        <w:t xml:space="preserve">also involves placing the existing 345 kV Cape Cod Canal crossing on separate towers to eliminate a DCT contingency and reconductoring the 115 kV D21 line between Bell Rock and High Hill. In addition to these upgrades, a 115 kV line from </w:t>
      </w:r>
      <w:r w:rsidR="005E617A">
        <w:t>Bourne</w:t>
      </w:r>
      <w:r>
        <w:t xml:space="preserve"> to Barnstable is planned to address load growth on the Cape Cod peninsula.</w:t>
      </w:r>
    </w:p>
    <w:p w:rsidR="009743D6" w:rsidRPr="00924C17" w:rsidRDefault="009743D6" w:rsidP="00412B87">
      <w:pPr>
        <w:pStyle w:val="Bullet-Solid"/>
      </w:pPr>
      <w:r>
        <w:rPr>
          <w:b/>
        </w:rPr>
        <w:t>Greater Rhode Island (Advanced NEEWS) Project</w:t>
      </w:r>
      <w:r w:rsidR="003F2739" w:rsidRPr="00070661">
        <w:rPr>
          <w:rFonts w:cs="Times New Roman"/>
          <w:b/>
          <w:bCs/>
        </w:rPr>
        <w:t>—</w:t>
      </w:r>
      <w:r>
        <w:t xml:space="preserve">Reliability concerns with the 115 kV system in the Bridgewater–Somerset–Tiverton areas of southeastern Massachusetts and the adjoining area in Rhode Island had been identified previously. The solutions to these concerns were a group of upgrades that had been combined with the advanced Rhode Island </w:t>
      </w:r>
      <w:r w:rsidRPr="008B01B0">
        <w:t>upgrades (associated with NEEWS studies) to become</w:t>
      </w:r>
      <w:r>
        <w:t xml:space="preserve"> what is now known </w:t>
      </w:r>
      <w:r w:rsidRPr="00ED3B90">
        <w:t>as the Greater Rhode Island Transmission</w:t>
      </w:r>
      <w:r>
        <w:t xml:space="preserve"> Reinforcements.</w:t>
      </w:r>
      <w:r w:rsidRPr="00283871">
        <w:rPr>
          <w:rStyle w:val="FootnoteReference"/>
          <w:sz w:val="22"/>
        </w:rPr>
        <w:footnoteReference w:id="157"/>
      </w:r>
      <w:r w:rsidRPr="00283871">
        <w:t xml:space="preserve"> </w:t>
      </w:r>
      <w:r>
        <w:t xml:space="preserve">The advanced NEEWS upgrades are now under construction; the two largest upgrades are the new Berry Street 345/115kV substation (MA) and the expansion of the Kent County substation (RI) with an additional 345/115 kV autotransformer. The proposed non-NEEWS </w:t>
      </w:r>
      <w:smartTag w:uri="urn:schemas-microsoft-com:office:smarttags" w:element="stockticker">
        <w:r>
          <w:t>G</w:t>
        </w:r>
      </w:smartTag>
      <w:r>
        <w:t xml:space="preserve">RI solutions in the Massachusetts area include, among other projects, the construction of </w:t>
      </w:r>
      <w:r w:rsidRPr="002E7A00">
        <w:t xml:space="preserve">new </w:t>
      </w:r>
      <w:r>
        <w:t>Brayton Point</w:t>
      </w:r>
      <w:r w:rsidR="001D018F">
        <w:t>–</w:t>
      </w:r>
      <w:r>
        <w:t>Somerset and Somerset</w:t>
      </w:r>
      <w:r w:rsidR="001D018F">
        <w:t>–</w:t>
      </w:r>
      <w:r>
        <w:t>Bell Rock</w:t>
      </w:r>
      <w:r w:rsidR="001D018F">
        <w:t xml:space="preserve"> </w:t>
      </w:r>
      <w:r w:rsidR="001D018F" w:rsidRPr="002E7A00">
        <w:t>115 kV transmission circuits</w:t>
      </w:r>
      <w:r>
        <w:t xml:space="preserve">. These currently are scheduled for a 2014 in-service date and will be reexamined as part of the Eastern REMVEC study (discussed in Section </w:t>
      </w:r>
      <w:fldSimple w:instr=" REF _Ref202020990 \r \h  \* MERGEFORMAT ">
        <w:r w:rsidR="00E5699E">
          <w:t>6.4.2.2</w:t>
        </w:r>
      </w:fldSimple>
      <w:r w:rsidR="003174D8" w:rsidRPr="003174D8">
        <w:t>).</w:t>
      </w:r>
      <w:r>
        <w:t xml:space="preserve"> The propose</w:t>
      </w:r>
      <w:smartTag w:uri="urn:schemas-microsoft-com:office:smarttags" w:element="stockticker">
        <w:r>
          <w:t xml:space="preserve">d </w:t>
        </w:r>
        <w:smartTag w:uri="urn:schemas-microsoft-com:office:smarttags" w:element="stockticker">
          <w:r>
            <w:t>G</w:t>
          </w:r>
        </w:smartTag>
      </w:smartTag>
      <w:r>
        <w:t>RI advanced NEEWS solutions in Rhode Island also include the reconductoring of the Pawtucket–Somerset (MA) 115 kV line (placed in service in late 2009) and West Farnum breaker replacements.</w:t>
      </w:r>
    </w:p>
    <w:p w:rsidR="009743D6" w:rsidRDefault="009743D6" w:rsidP="00412B87">
      <w:pPr>
        <w:pStyle w:val="Bullet-Solid"/>
      </w:pPr>
      <w:r>
        <w:t xml:space="preserve"> </w:t>
      </w:r>
      <w:r w:rsidRPr="00DA3813">
        <w:rPr>
          <w:b/>
        </w:rPr>
        <w:t xml:space="preserve">Grand Avenue </w:t>
      </w:r>
      <w:r>
        <w:rPr>
          <w:b/>
        </w:rPr>
        <w:t xml:space="preserve">Substation </w:t>
      </w:r>
      <w:r w:rsidRPr="00DA3813">
        <w:rPr>
          <w:b/>
        </w:rPr>
        <w:t>Rebuild</w:t>
      </w:r>
      <w:r w:rsidR="003F2739" w:rsidRPr="00070661">
        <w:rPr>
          <w:rFonts w:cs="Times New Roman"/>
          <w:b/>
          <w:bCs/>
        </w:rPr>
        <w:t>—</w:t>
      </w:r>
      <w:r>
        <w:t>A plan for rebuilding the Grand Avenue 115 kV substation has been developed and currently is in the engineering phase.</w:t>
      </w:r>
      <w:r w:rsidRPr="00283871">
        <w:rPr>
          <w:rStyle w:val="FootnoteReference"/>
          <w:sz w:val="22"/>
        </w:rPr>
        <w:footnoteReference w:id="158"/>
      </w:r>
      <w:r w:rsidRPr="00283871">
        <w:t xml:space="preserve"> </w:t>
      </w:r>
      <w:r>
        <w:t>A detailed engineering review of the existing substation determined that it was past its useful life and that upgrades were not practical when considering the capabilities of the bus work, the ground grid, disconnect switches, and other equipment. Maintenance of the existing equipment had become increasingly difficult with the clearances that existed and the extent of the outages that had to be secured for work to proceed.</w:t>
      </w:r>
    </w:p>
    <w:p w:rsidR="002878A4" w:rsidRDefault="009743D6" w:rsidP="009D1346">
      <w:pPr>
        <w:pStyle w:val="Heading2"/>
      </w:pPr>
      <w:bookmarkStart w:id="442" w:name="_Ref174813562"/>
      <w:bookmarkStart w:id="443" w:name="_Toc176245054"/>
      <w:bookmarkStart w:id="444" w:name="_Toc201670000"/>
      <w:bookmarkStart w:id="445" w:name="_Ref202065656"/>
      <w:bookmarkStart w:id="446" w:name="_Ref202260285"/>
      <w:bookmarkStart w:id="447" w:name="_Ref202452926"/>
      <w:bookmarkStart w:id="448" w:name="_Ref202510203"/>
      <w:bookmarkStart w:id="449" w:name="_Ref205187833"/>
      <w:bookmarkStart w:id="450" w:name="_Ref205187844"/>
      <w:bookmarkStart w:id="451" w:name="_Ref205187874"/>
      <w:bookmarkStart w:id="452" w:name="_Toc207531897"/>
      <w:bookmarkStart w:id="453" w:name="_Ref235244694"/>
      <w:bookmarkStart w:id="454" w:name="_Toc239157148"/>
      <w:bookmarkStart w:id="455" w:name="_Toc271632245"/>
      <w:bookmarkEnd w:id="439"/>
      <w:bookmarkEnd w:id="440"/>
      <w:r w:rsidRPr="004E34B9">
        <w:t>Transmission Improvements to Load and Generation Pocke</w:t>
      </w:r>
      <w:bookmarkEnd w:id="442"/>
      <w:bookmarkEnd w:id="443"/>
      <w:r w:rsidRPr="004E34B9">
        <w:t>ts</w:t>
      </w:r>
      <w:bookmarkEnd w:id="444"/>
      <w:bookmarkEnd w:id="445"/>
      <w:bookmarkEnd w:id="446"/>
      <w:bookmarkEnd w:id="447"/>
      <w:bookmarkEnd w:id="448"/>
      <w:bookmarkEnd w:id="449"/>
      <w:bookmarkEnd w:id="450"/>
      <w:bookmarkEnd w:id="451"/>
      <w:bookmarkEnd w:id="452"/>
      <w:bookmarkEnd w:id="453"/>
      <w:bookmarkEnd w:id="454"/>
      <w:r w:rsidRPr="004E34B9">
        <w:t xml:space="preserve"> Addressing Reliability Issues</w:t>
      </w:r>
      <w:bookmarkEnd w:id="455"/>
      <w:r w:rsidR="0076739E">
        <w:t xml:space="preserve"> </w:t>
      </w:r>
    </w:p>
    <w:p w:rsidR="009743D6" w:rsidRPr="00E57C55" w:rsidRDefault="009743D6" w:rsidP="00073277">
      <w:r>
        <w:t>The performance of the transmission system is highly dependent on embedded generators operating to maintain reliability</w:t>
      </w:r>
      <w:r w:rsidR="00A347A9">
        <w:t xml:space="preserve"> </w:t>
      </w:r>
      <w:r>
        <w:t xml:space="preserve">in several smaller areas of the system. Consistent with ISO operating requirements, </w:t>
      </w:r>
      <w:r w:rsidRPr="00E57C55">
        <w:t>th</w:t>
      </w:r>
      <w:r w:rsidR="00CE7C4D" w:rsidRPr="00CE7C4D">
        <w:t xml:space="preserve">e </w:t>
      </w:r>
      <w:r w:rsidRPr="00E57C55">
        <w:t>generators may be required to provide</w:t>
      </w:r>
      <w:r w:rsidR="00A347A9" w:rsidRPr="00E57C55">
        <w:t xml:space="preserve"> second-contingency protection or</w:t>
      </w:r>
      <w:r w:rsidRPr="00E57C55">
        <w:t xml:space="preserve">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relatively high reliability payments associated with out-of-merit unit commitments (see Section </w:t>
      </w:r>
      <w:fldSimple w:instr=" REF _Ref231032955 \r \h  \* MERGEFORMAT ">
        <w:r w:rsidR="00E5699E">
          <w:t>6.6</w:t>
        </w:r>
      </w:fldSimple>
      <w:r w:rsidRPr="00E57C55">
        <w:t xml:space="preserve">). </w:t>
      </w:r>
    </w:p>
    <w:p w:rsidR="009743D6" w:rsidRPr="00E57C55" w:rsidRDefault="009743D6" w:rsidP="00073277">
      <w:r w:rsidRPr="00E57C55">
        <w:t>The areas that have or could potentially benefit from additional generators for local reliability support are as follows:</w:t>
      </w:r>
    </w:p>
    <w:p w:rsidR="009743D6" w:rsidRPr="00E57C55" w:rsidRDefault="009743D6" w:rsidP="00412B87">
      <w:pPr>
        <w:pStyle w:val="Bullet-Solid"/>
      </w:pPr>
      <w:r w:rsidRPr="00E57C55">
        <w:t>Maine</w:t>
      </w:r>
    </w:p>
    <w:p w:rsidR="009743D6" w:rsidRPr="00E57C55" w:rsidRDefault="009743D6" w:rsidP="00412B87">
      <w:pPr>
        <w:pStyle w:val="Bullet-Solid"/>
      </w:pPr>
      <w:r w:rsidRPr="00E57C55">
        <w:t>Massachusetts—the Boston area, the North Shore area, southeastern Massachusetts, western Massachusetts, and the Springfield area</w:t>
      </w:r>
    </w:p>
    <w:p w:rsidR="009743D6" w:rsidRPr="00E57C55" w:rsidRDefault="009743D6" w:rsidP="00412B87">
      <w:pPr>
        <w:pStyle w:val="Bullet-Solid"/>
      </w:pPr>
      <w:r w:rsidRPr="00E57C55">
        <w:t>Connecticut</w:t>
      </w:r>
      <w:bookmarkStart w:id="456" w:name="_Ref173301176"/>
    </w:p>
    <w:p w:rsidR="009743D6" w:rsidRDefault="009743D6" w:rsidP="00073277">
      <w:r w:rsidRPr="00E57C55">
        <w:t>The following sections describe several of the areas currently depending on generating units to some degree to maintain reliability</w:t>
      </w:r>
      <w:r w:rsidR="003152C8" w:rsidRPr="00E57C55">
        <w:t>. They also</w:t>
      </w:r>
      <w:r w:rsidRPr="00E57C55">
        <w:t xml:space="preserve"> provide the status of the transmission projects that will either reduce or eliminate the need to run these units out of merit</w:t>
      </w:r>
      <w:r w:rsidR="00E57C55">
        <w:t xml:space="preserve"> </w:t>
      </w:r>
      <w:r w:rsidR="00EF25EB" w:rsidRPr="00E57C55">
        <w:t>to respect reliability requirements</w:t>
      </w:r>
      <w:r w:rsidR="00CF1044" w:rsidRPr="00E57C55">
        <w:t>.</w:t>
      </w:r>
    </w:p>
    <w:p w:rsidR="00B462A6" w:rsidRDefault="009743D6">
      <w:pPr>
        <w:pStyle w:val="Heading3"/>
      </w:pPr>
      <w:bookmarkStart w:id="457" w:name="_Toc239157149"/>
      <w:bookmarkStart w:id="458" w:name="_Toc271632246"/>
      <w:r>
        <w:t>Maine</w:t>
      </w:r>
      <w:bookmarkEnd w:id="457"/>
      <w:bookmarkEnd w:id="458"/>
    </w:p>
    <w:p w:rsidR="009743D6" w:rsidRPr="006D2FA3" w:rsidRDefault="009743D6" w:rsidP="00073277">
      <w:r w:rsidRPr="006D2FA3">
        <w:t xml:space="preserve">Generation in western Maine is required to provide voltage support for the 115 kV transmission system. Low-voltage conditions can develop </w:t>
      </w:r>
      <w:r>
        <w:t>in</w:t>
      </w:r>
      <w:r w:rsidRPr="006D2FA3">
        <w:t xml:space="preserve"> parts of western Maine</w:t>
      </w:r>
      <w:r>
        <w:t>,</w:t>
      </w:r>
      <w:r w:rsidRPr="006D2FA3">
        <w:t xml:space="preserve"> geographically and electrically distant from the 345 kV system during both pre- and post-contingency scenarios. Several 115 kV contingencies can result in unacceptably low voltages on many of the 115 kV buses in the western Maine area. </w:t>
      </w:r>
    </w:p>
    <w:p w:rsidR="009743D6" w:rsidRDefault="009743D6" w:rsidP="00073277">
      <w:r w:rsidRPr="006D2FA3">
        <w:t>Generation also is required for maintaining system reliability following second contingencies involving flows from New Hampshire to Maine. In addition</w:t>
      </w:r>
      <w:r>
        <w:t>,</w:t>
      </w:r>
      <w:r w:rsidRPr="006D2FA3">
        <w:t xml:space="preserve"> in 2008, Sable Offshore Energy’s production facility sustained a series of problems that, on several occasions, disrupted the supply of gas to generators in Maine (see </w:t>
      </w:r>
      <w:r>
        <w:t>Section</w:t>
      </w:r>
      <w:r w:rsidR="00683F38">
        <w:t xml:space="preserve"> </w:t>
      </w:r>
      <w:fldSimple w:instr=" REF _Ref231034526 \r \h  \* MERGEFORMAT ">
        <w:r w:rsidR="00E5699E">
          <w:t>7.2</w:t>
        </w:r>
      </w:fldSimple>
      <w:r w:rsidR="003174D8" w:rsidRPr="003174D8">
        <w:t>).</w:t>
      </w:r>
      <w:r w:rsidRPr="006D2FA3">
        <w:t xml:space="preserve"> This in turn depleted electric power capacity in Maine, which depends heavily on gas</w:t>
      </w:r>
      <w:r w:rsidR="00D16C03">
        <w:t>-fueled</w:t>
      </w:r>
      <w:r w:rsidRPr="006D2FA3">
        <w:t xml:space="preserve"> generation. In such scenarios, available generation in Maine </w:t>
      </w:r>
      <w:r>
        <w:t xml:space="preserve">must </w:t>
      </w:r>
      <w:r w:rsidRPr="006D2FA3">
        <w:t xml:space="preserve">be on line to maintain system reliability in </w:t>
      </w:r>
      <w:r>
        <w:t xml:space="preserve">that </w:t>
      </w:r>
      <w:r w:rsidRPr="00D93D8A">
        <w:t>state. The system did</w:t>
      </w:r>
      <w:r>
        <w:t xml:space="preserve"> not experience any </w:t>
      </w:r>
      <w:r w:rsidRPr="00D93D8A">
        <w:t>reliability problems because operating procedures helped anticipate the gas supply problems</w:t>
      </w:r>
      <w:r>
        <w:t>. Recently in 2009, the Canaport LNG facility was placed in service, decreasing the likelihood of such gas supply disruptions (see Section</w:t>
      </w:r>
      <w:r w:rsidR="00B161F9">
        <w:t xml:space="preserve"> </w:t>
      </w:r>
      <w:fldSimple w:instr=" REF _Ref266109986 \r \h  \* MERGEFORMAT ">
        <w:r w:rsidR="00E5699E">
          <w:t>7.3.1.3</w:t>
        </w:r>
      </w:fldSimple>
      <w:r w:rsidR="003174D8" w:rsidRPr="003174D8">
        <w:t>).</w:t>
      </w:r>
      <w:r>
        <w:t xml:space="preserve"> </w:t>
      </w:r>
    </w:p>
    <w:p w:rsidR="00B462A6" w:rsidRDefault="009743D6">
      <w:pPr>
        <w:pStyle w:val="Heading3"/>
      </w:pPr>
      <w:bookmarkStart w:id="459" w:name="_Toc207531898"/>
      <w:bookmarkStart w:id="460" w:name="_Toc239157150"/>
      <w:bookmarkStart w:id="461" w:name="_Toc271632247"/>
      <w:r>
        <w:t>Boston Area</w:t>
      </w:r>
      <w:bookmarkEnd w:id="459"/>
      <w:bookmarkEnd w:id="460"/>
      <w:bookmarkEnd w:id="461"/>
    </w:p>
    <w:p w:rsidR="009743D6" w:rsidRDefault="009743D6" w:rsidP="00073277">
      <w:r w:rsidRPr="00183E64">
        <w:t xml:space="preserve">The cost </w:t>
      </w:r>
      <w:r>
        <w:t>o</w:t>
      </w:r>
      <w:r w:rsidRPr="00183E64">
        <w:t xml:space="preserve">f </w:t>
      </w:r>
      <w:r>
        <w:t>operating</w:t>
      </w:r>
      <w:r w:rsidRPr="00183E64">
        <w:t xml:space="preserve"> local generation to control high voltages in Boston ha</w:t>
      </w:r>
      <w:r>
        <w:t>d</w:t>
      </w:r>
      <w:r w:rsidRPr="00183E64">
        <w:t xml:space="preserve"> been significant</w:t>
      </w:r>
      <w:r>
        <w:t xml:space="preserve"> in previous years</w:t>
      </w:r>
      <w:r w:rsidRPr="00183E64">
        <w:t>. An extensive high</w:t>
      </w:r>
      <w:r>
        <w:t>-</w:t>
      </w:r>
      <w:r w:rsidRPr="00183E64">
        <w:t xml:space="preserve">voltage study </w:t>
      </w:r>
      <w:r>
        <w:t xml:space="preserve">of Boston </w:t>
      </w:r>
      <w:r w:rsidRPr="00183E64">
        <w:t xml:space="preserve">was </w:t>
      </w:r>
      <w:r>
        <w:t>conducted</w:t>
      </w:r>
      <w:r w:rsidRPr="00183E64">
        <w:t xml:space="preserve"> to investigate </w:t>
      </w:r>
      <w:r>
        <w:t xml:space="preserve">whether </w:t>
      </w:r>
      <w:r w:rsidRPr="00183E64">
        <w:t xml:space="preserve">the need to run local generation </w:t>
      </w:r>
      <w:r>
        <w:t xml:space="preserve">during light-load periods </w:t>
      </w:r>
      <w:r w:rsidRPr="00183E64">
        <w:t>could be eliminated. The stud</w:t>
      </w:r>
      <w:r>
        <w:t>y</w:t>
      </w:r>
      <w:r w:rsidRPr="00183E64">
        <w:t xml:space="preserve"> concluded that </w:t>
      </w:r>
      <w:r>
        <w:t xml:space="preserve">the area can be operated reliably without </w:t>
      </w:r>
      <w:r w:rsidRPr="00183E64">
        <w:t>any generation in the Boston area to control high voltages during light-</w:t>
      </w:r>
      <w:r w:rsidRPr="00665922">
        <w:t>load periods</w:t>
      </w:r>
      <w:r w:rsidR="0007483F">
        <w:t xml:space="preserve">. It also concluded that </w:t>
      </w:r>
      <w:r w:rsidRPr="00665922">
        <w:t xml:space="preserve">no dynamic voltage control device </w:t>
      </w:r>
      <w:r>
        <w:t xml:space="preserve">would be </w:t>
      </w:r>
      <w:r w:rsidRPr="00665922">
        <w:t>needed</w:t>
      </w:r>
      <w:r>
        <w:t xml:space="preserve"> with all lines in service</w:t>
      </w:r>
      <w:r w:rsidRPr="00665922">
        <w:t xml:space="preserve"> and an additional static reactor in the Boston area could help control high voltages</w:t>
      </w:r>
      <w:r>
        <w:t>, especially during line-out conditions</w:t>
      </w:r>
      <w:r w:rsidRPr="00665922">
        <w:t>. The voltage control payments fo</w:t>
      </w:r>
      <w:r>
        <w:t xml:space="preserve">r this area in 2009 were eliminated to a large degree following the installation of additional planned reactors. </w:t>
      </w:r>
      <w:r w:rsidRPr="00EC7AFC">
        <w:t xml:space="preserve">Further reductions are likely after the </w:t>
      </w:r>
      <w:r w:rsidRPr="00F35E0F">
        <w:t xml:space="preserve">second West Walpole </w:t>
      </w:r>
      <w:r w:rsidR="00D16C03">
        <w:t>variable-shunt</w:t>
      </w:r>
      <w:r w:rsidRPr="00F35E0F">
        <w:t xml:space="preserve"> reactor is installed, which is planned for mid-2010</w:t>
      </w:r>
      <w:r w:rsidRPr="00EC7AFC">
        <w:t xml:space="preserve"> (</w:t>
      </w:r>
      <w:r w:rsidR="003174D8" w:rsidRPr="003174D8">
        <w:t>see</w:t>
      </w:r>
      <w:r w:rsidR="00006481">
        <w:t xml:space="preserve"> Section</w:t>
      </w:r>
      <w:r w:rsidR="002A7047">
        <w:t> </w:t>
      </w:r>
      <w:fldSimple w:instr=" REF _Ref266099552 \r \h  \* MERGEFORMAT ">
        <w:r w:rsidR="00E5699E">
          <w:t>6.4.2.3</w:t>
        </w:r>
      </w:fldSimple>
      <w:r w:rsidR="003174D8" w:rsidRPr="003174D8">
        <w:t>).</w:t>
      </w:r>
    </w:p>
    <w:p w:rsidR="009743D6" w:rsidRDefault="009743D6" w:rsidP="00073277">
      <w:r>
        <w:t xml:space="preserve">Running local generation for second-contingency coverage under some conditions also had been needed in the past. This also has been eliminated to a large degree with the installation of the third </w:t>
      </w:r>
      <w:r w:rsidR="00965694">
        <w:t xml:space="preserve">cable from </w:t>
      </w:r>
      <w:r>
        <w:t xml:space="preserve">Stoughton </w:t>
      </w:r>
      <w:r w:rsidR="00965694">
        <w:t xml:space="preserve">to K Street </w:t>
      </w:r>
      <w:r>
        <w:t>(</w:t>
      </w:r>
      <w:r w:rsidR="00572018">
        <w:t>s</w:t>
      </w:r>
      <w:r>
        <w:t>ee Section</w:t>
      </w:r>
      <w:r w:rsidR="00006481">
        <w:t xml:space="preserve"> </w:t>
      </w:r>
      <w:fldSimple w:instr=" REF _Ref266099552 \r \h  \* MERGEFORMAT ">
        <w:r w:rsidR="00E5699E">
          <w:t>6.4.2.3</w:t>
        </w:r>
      </w:fldSimple>
      <w:r w:rsidR="003174D8" w:rsidRPr="003174D8">
        <w:t>).</w:t>
      </w:r>
      <w:bookmarkEnd w:id="456"/>
    </w:p>
    <w:p w:rsidR="00B462A6" w:rsidRDefault="009743D6">
      <w:pPr>
        <w:pStyle w:val="Heading3"/>
      </w:pPr>
      <w:bookmarkStart w:id="462" w:name="_Toc207531899"/>
      <w:bookmarkStart w:id="463" w:name="_Toc239157151"/>
      <w:bookmarkStart w:id="464" w:name="_Toc271632248"/>
      <w:r>
        <w:t>Southeastern Massachusetts</w:t>
      </w:r>
      <w:bookmarkEnd w:id="462"/>
      <w:bookmarkEnd w:id="463"/>
      <w:bookmarkEnd w:id="464"/>
    </w:p>
    <w:p w:rsidR="009743D6" w:rsidRDefault="009743D6" w:rsidP="00073277">
      <w:r>
        <w:t xml:space="preserve">In the southeastern part of Massachusetts, the Canal generating units have been run to control the high-voltage conditions that exist during light-load periods and to provide for transmission security during virtually all load levels. </w:t>
      </w:r>
      <w:r w:rsidRPr="008A3856">
        <w:t xml:space="preserve">These </w:t>
      </w:r>
      <w:r w:rsidRPr="00F35E0F">
        <w:t>circumstances</w:t>
      </w:r>
      <w:r w:rsidRPr="008A3856">
        <w:t xml:space="preserve"> resulted in significant costs in 2007, which increased roughly 50% for 2008. As detailed in Section </w:t>
      </w:r>
      <w:fldSimple w:instr=" REF _Ref202020990 \r \h  \* MERGEFORMAT ">
        <w:r w:rsidR="00E5699E">
          <w:t>6.4.2.2</w:t>
        </w:r>
      </w:fldSimple>
      <w:r w:rsidRPr="008A3856">
        <w:t>, the</w:t>
      </w:r>
      <w:r>
        <w:t xml:space="preserve"> </w:t>
      </w:r>
      <w:r w:rsidR="00882EEE">
        <w:t xml:space="preserve">SEMA </w:t>
      </w:r>
      <w:r w:rsidRPr="00E6237E">
        <w:t>short</w:t>
      </w:r>
      <w:r>
        <w:t>-</w:t>
      </w:r>
      <w:r w:rsidRPr="00E6237E">
        <w:t xml:space="preserve">term </w:t>
      </w:r>
      <w:r>
        <w:t>upgrades</w:t>
      </w:r>
      <w:r w:rsidRPr="00E6237E">
        <w:t xml:space="preserve"> </w:t>
      </w:r>
      <w:r>
        <w:t>are in service, and these recent improvements, coupled with rece</w:t>
      </w:r>
      <w:r w:rsidR="0007483F">
        <w:t xml:space="preserve">ntly experienced low </w:t>
      </w:r>
      <w:r>
        <w:t xml:space="preserve">load levels, already have significantly reduced the need for out-of-merit generation support. The long-term improvements, planned </w:t>
      </w:r>
      <w:r w:rsidR="008C369D">
        <w:t>to begin</w:t>
      </w:r>
      <w:r>
        <w:t xml:space="preserve"> siting in 2010, should eliminate the need entirely when placed in service in 2012.</w:t>
      </w:r>
    </w:p>
    <w:p w:rsidR="00B462A6" w:rsidRDefault="009743D6">
      <w:pPr>
        <w:pStyle w:val="Heading3"/>
      </w:pPr>
      <w:bookmarkStart w:id="465" w:name="_Toc207531900"/>
      <w:bookmarkStart w:id="466" w:name="_Toc239157152"/>
      <w:bookmarkStart w:id="467" w:name="_Toc271632249"/>
      <w:r w:rsidRPr="004E530D">
        <w:t>Western Massachusetts</w:t>
      </w:r>
      <w:bookmarkEnd w:id="465"/>
      <w:bookmarkEnd w:id="466"/>
      <w:bookmarkEnd w:id="467"/>
    </w:p>
    <w:p w:rsidR="009743D6" w:rsidRDefault="009743D6" w:rsidP="00073277">
      <w:r>
        <w:t xml:space="preserve">The primary supplies for the Pittsfield area consist of the Berkshire autotransformer, the Bear Swamp autotransformer, and the Pittsfield generating units. The Pittsfield units are located in an extremely weak part of the system. Without these facilities, the area relies on a 115 kV transmission system, which is unable to </w:t>
      </w:r>
      <w:r w:rsidRPr="00C1453F">
        <w:t>provide adequate</w:t>
      </w:r>
      <w:r w:rsidRPr="00184C44">
        <w:t xml:space="preserve"> voltage</w:t>
      </w:r>
      <w:r>
        <w:t xml:space="preserve"> support in the area under certain conditions. A new autotransformer has been placed in service at Berkshire that allow</w:t>
      </w:r>
      <w:r w:rsidR="00572018">
        <w:t>s</w:t>
      </w:r>
      <w:r>
        <w:t xml:space="preserve"> the old</w:t>
      </w:r>
      <w:r w:rsidR="00D16C03">
        <w:t>er</w:t>
      </w:r>
      <w:r>
        <w:t xml:space="preserve"> transformer to function as a spare, thereby reducing the risk of </w:t>
      </w:r>
      <w:r w:rsidR="00B47F86">
        <w:t>a</w:t>
      </w:r>
      <w:r w:rsidR="00D16C03">
        <w:t xml:space="preserve"> long-term </w:t>
      </w:r>
      <w:r>
        <w:t xml:space="preserve">failure of this essential part of the supply to load in this area. </w:t>
      </w:r>
    </w:p>
    <w:p w:rsidR="009743D6" w:rsidRDefault="009743D6" w:rsidP="00073277">
      <w:r>
        <w:t xml:space="preserve">Studies of alternative transmission solutions surrounding the Berkshire substation are in process and should be </w:t>
      </w:r>
      <w:r w:rsidRPr="006D2FA3">
        <w:t xml:space="preserve">completed by </w:t>
      </w:r>
      <w:r>
        <w:t xml:space="preserve">late </w:t>
      </w:r>
      <w:r w:rsidRPr="006D2FA3">
        <w:t xml:space="preserve">2010. </w:t>
      </w:r>
      <w:r>
        <w:t>Some out-of-merit costs will continue until improvements are made in the area.</w:t>
      </w:r>
      <w:bookmarkStart w:id="468" w:name="_Ref202510226"/>
      <w:bookmarkStart w:id="469" w:name="_Toc207531901"/>
      <w:bookmarkStart w:id="470" w:name="_Toc239157153"/>
    </w:p>
    <w:p w:rsidR="00B462A6" w:rsidRDefault="009743D6">
      <w:pPr>
        <w:pStyle w:val="Heading3"/>
      </w:pPr>
      <w:bookmarkStart w:id="471" w:name="_Toc271632250"/>
      <w:r w:rsidRPr="002E7A00">
        <w:t>Springfield Area</w:t>
      </w:r>
      <w:bookmarkEnd w:id="468"/>
      <w:bookmarkEnd w:id="469"/>
      <w:bookmarkEnd w:id="470"/>
      <w:bookmarkEnd w:id="471"/>
    </w:p>
    <w:p w:rsidR="009743D6" w:rsidRDefault="009743D6" w:rsidP="00073277">
      <w:r>
        <w:t>Currently, t</w:t>
      </w:r>
      <w:r w:rsidRPr="002E7A00">
        <w:t xml:space="preserve">he West Springfield station and Berkshire </w:t>
      </w:r>
      <w:r>
        <w:t>p</w:t>
      </w:r>
      <w:r w:rsidRPr="002E7A00">
        <w:t>ower</w:t>
      </w:r>
      <w:r>
        <w:t xml:space="preserve"> </w:t>
      </w:r>
      <w:r w:rsidR="00AF6A06">
        <w:t xml:space="preserve">generation </w:t>
      </w:r>
      <w:r>
        <w:t>plants</w:t>
      </w:r>
      <w:r w:rsidRPr="006D2FA3">
        <w:t xml:space="preserve"> are needed to support local reliability during peak hours and to avoid overloads in violation of reliability criteria. A solution for the Greater</w:t>
      </w:r>
      <w:r>
        <w:t xml:space="preserve"> Springfield area has been formulated as part of </w:t>
      </w:r>
      <w:r w:rsidRPr="008B01B0">
        <w:t>the NEEWS study</w:t>
      </w:r>
      <w:r>
        <w:t xml:space="preserve"> (see Section </w:t>
      </w:r>
      <w:fldSimple w:instr=" REF _Ref202020990 \r \h  \* MERGEFORMAT ">
        <w:r w:rsidR="00E5699E">
          <w:t>6.4.2.2</w:t>
        </w:r>
      </w:fldSimple>
      <w:r w:rsidRPr="006D2FA3">
        <w:t>)</w:t>
      </w:r>
      <w:r w:rsidR="00882EEE">
        <w:t xml:space="preserve">. The </w:t>
      </w:r>
      <w:r w:rsidR="00D4331C" w:rsidRPr="00D4331C">
        <w:t>GRSP component of NEEWS has</w:t>
      </w:r>
      <w:r>
        <w:t xml:space="preserve"> been approved by siting authorities in Connecticut</w:t>
      </w:r>
      <w:r w:rsidR="00882EEE">
        <w:t xml:space="preserve"> and is expecting approval in Massachusetts later this year</w:t>
      </w:r>
      <w:r>
        <w:t xml:space="preserve">. This solution will accommodate load </w:t>
      </w:r>
      <w:r w:rsidRPr="00E53E36">
        <w:t>growth as well as reduce</w:t>
      </w:r>
      <w:r>
        <w:t xml:space="preserve"> dependence on operating these local units for local reliability. It also may allow for the eventual retirement of the olde</w:t>
      </w:r>
      <w:r w:rsidR="00FB61A8">
        <w:t>st</w:t>
      </w:r>
      <w:r>
        <w:t xml:space="preserve"> of these </w:t>
      </w:r>
      <w:r w:rsidR="00FB61A8">
        <w:t xml:space="preserve">generation </w:t>
      </w:r>
      <w:r>
        <w:t>units</w:t>
      </w:r>
      <w:bookmarkStart w:id="472" w:name="_Ref173559579"/>
      <w:r>
        <w:t xml:space="preserve"> and </w:t>
      </w:r>
      <w:r w:rsidRPr="00F35E0F">
        <w:t>provide the opportunity</w:t>
      </w:r>
      <w:r>
        <w:t xml:space="preserve"> for new units to interconnect.</w:t>
      </w:r>
    </w:p>
    <w:p w:rsidR="00B462A6" w:rsidRDefault="009743D6">
      <w:pPr>
        <w:pStyle w:val="Heading3"/>
      </w:pPr>
      <w:bookmarkStart w:id="473" w:name="_Toc207531902"/>
      <w:bookmarkStart w:id="474" w:name="_Toc239157154"/>
      <w:bookmarkStart w:id="475" w:name="_Toc271632251"/>
      <w:r>
        <w:t>Connecticut</w:t>
      </w:r>
      <w:bookmarkEnd w:id="473"/>
      <w:bookmarkEnd w:id="474"/>
      <w:bookmarkEnd w:id="475"/>
    </w:p>
    <w:p w:rsidR="009743D6" w:rsidRPr="002626C5" w:rsidRDefault="009743D6" w:rsidP="00073277">
      <w:r>
        <w:t xml:space="preserve">Most of the existing generation in Connecticut is necessary to ensure reliable service until the new resources secured through the FCA are in place. Until that time, imports into Connecticut will be constrained by both thermal and voltage limits for contingency events. As a result of the resources committed from the FCA, </w:t>
      </w:r>
      <w:r w:rsidRPr="00D93D8A">
        <w:t xml:space="preserve">the </w:t>
      </w:r>
      <w:r>
        <w:t>I</w:t>
      </w:r>
      <w:r w:rsidRPr="00D93D8A">
        <w:t xml:space="preserve">nterstate and the </w:t>
      </w:r>
      <w:r>
        <w:t>C</w:t>
      </w:r>
      <w:r w:rsidRPr="00D93D8A">
        <w:t xml:space="preserve">entral Connecticut components of the NEEWS project </w:t>
      </w:r>
      <w:r>
        <w:t xml:space="preserve">are under further review, including examination of the sensitivity to the </w:t>
      </w:r>
      <w:r w:rsidR="00EF25EB" w:rsidRPr="00E57C55">
        <w:t>un</w:t>
      </w:r>
      <w:r w:rsidRPr="00E57C55">
        <w:t>availability</w:t>
      </w:r>
      <w:r>
        <w:t xml:space="preserve"> of Vermont Yankee and Kleen Energy</w:t>
      </w:r>
      <w:r w:rsidRPr="00D93D8A">
        <w:t>.</w:t>
      </w:r>
      <w:r>
        <w:t xml:space="preserve"> </w:t>
      </w:r>
      <w:r w:rsidR="001463E7">
        <w:t>New study efforts currently are establishing a</w:t>
      </w:r>
      <w:r>
        <w:t xml:space="preserve"> final date of need.</w:t>
      </w:r>
      <w:r w:rsidRPr="00D93D8A">
        <w:t xml:space="preserve"> </w:t>
      </w:r>
    </w:p>
    <w:p w:rsidR="00B462A6" w:rsidRDefault="009743D6">
      <w:pPr>
        <w:pStyle w:val="Heading3"/>
      </w:pPr>
      <w:bookmarkStart w:id="476" w:name="_Toc207531903"/>
      <w:bookmarkStart w:id="477" w:name="_Toc239157155"/>
      <w:bookmarkStart w:id="478" w:name="_Toc271632252"/>
      <w:r w:rsidRPr="006D2FA3">
        <w:t>Southwest Connecticut Area</w:t>
      </w:r>
      <w:bookmarkEnd w:id="476"/>
      <w:bookmarkEnd w:id="477"/>
      <w:bookmarkEnd w:id="478"/>
    </w:p>
    <w:p w:rsidR="009743D6" w:rsidRPr="006D2FA3" w:rsidRDefault="009743D6" w:rsidP="00073277">
      <w:r>
        <w:t xml:space="preserve">The need to run out-of-merit generation in southwest Connecticut has been virtually eliminated </w:t>
      </w:r>
      <w:r w:rsidR="001463E7">
        <w:t xml:space="preserve">by placing in service </w:t>
      </w:r>
      <w:r>
        <w:t xml:space="preserve">the </w:t>
      </w:r>
      <w:r w:rsidRPr="00CF0505">
        <w:t>Glenbrook–Norwalk and Middletown–Norwalk projects in late 2008</w:t>
      </w:r>
      <w:r>
        <w:t xml:space="preserve">. </w:t>
      </w:r>
    </w:p>
    <w:p w:rsidR="002878A4" w:rsidRDefault="009743D6" w:rsidP="009D1346">
      <w:pPr>
        <w:pStyle w:val="Heading2"/>
      </w:pPr>
      <w:bookmarkStart w:id="479" w:name="_Toc201482354"/>
      <w:bookmarkStart w:id="480" w:name="_Toc201482355"/>
      <w:bookmarkStart w:id="481" w:name="_Toc201482357"/>
      <w:bookmarkStart w:id="482" w:name="_Toc201482358"/>
      <w:bookmarkStart w:id="483" w:name="_Toc201482359"/>
      <w:bookmarkStart w:id="484" w:name="_Toc201482361"/>
      <w:bookmarkStart w:id="485" w:name="_Toc176245056"/>
      <w:bookmarkStart w:id="486" w:name="_Toc207531904"/>
      <w:bookmarkStart w:id="487" w:name="_Ref231032955"/>
      <w:bookmarkStart w:id="488" w:name="_Toc239157156"/>
      <w:bookmarkStart w:id="489" w:name="_Ref266110978"/>
      <w:bookmarkStart w:id="490" w:name="_Toc271632253"/>
      <w:bookmarkStart w:id="491" w:name="_Ref170789901"/>
      <w:bookmarkStart w:id="492" w:name="_Ref172086094"/>
      <w:bookmarkStart w:id="493" w:name="_Toc176245064"/>
      <w:bookmarkEnd w:id="472"/>
      <w:bookmarkEnd w:id="479"/>
      <w:bookmarkEnd w:id="480"/>
      <w:bookmarkEnd w:id="481"/>
      <w:bookmarkEnd w:id="482"/>
      <w:bookmarkEnd w:id="483"/>
      <w:bookmarkEnd w:id="484"/>
      <w:r w:rsidRPr="0067764D">
        <w:t>Out</w:t>
      </w:r>
      <w:r w:rsidRPr="0067764D">
        <w:noBreakHyphen/>
        <w:t>of</w:t>
      </w:r>
      <w:r w:rsidRPr="0067764D">
        <w:noBreakHyphen/>
        <w:t>Merit Operating Situations</w:t>
      </w:r>
      <w:bookmarkEnd w:id="485"/>
      <w:bookmarkEnd w:id="486"/>
      <w:bookmarkEnd w:id="487"/>
      <w:bookmarkEnd w:id="488"/>
      <w:bookmarkEnd w:id="489"/>
      <w:bookmarkEnd w:id="490"/>
    </w:p>
    <w:p w:rsidR="009743D6" w:rsidRPr="004B5CD6" w:rsidRDefault="009743D6" w:rsidP="00073277">
      <w:pPr>
        <w:rPr>
          <w:sz w:val="24"/>
          <w:szCs w:val="24"/>
        </w:rPr>
      </w:pPr>
      <w:r w:rsidRPr="00FE40D4">
        <w:t xml:space="preserve">As </w:t>
      </w:r>
      <w:r>
        <w:t>part of the FCM rules (</w:t>
      </w:r>
      <w:r w:rsidR="003174D8" w:rsidRPr="003174D8">
        <w:t xml:space="preserve">Section </w:t>
      </w:r>
      <w:fldSimple w:instr=" REF _Ref266110745 \r \h  \* MERGEFORMAT ">
        <w:r w:rsidR="00E5699E">
          <w:t>4.2</w:t>
        </w:r>
      </w:fldSimple>
      <w:r w:rsidR="003174D8" w:rsidRPr="003174D8">
        <w:t>),</w:t>
      </w:r>
      <w:r w:rsidRPr="00FE40D4">
        <w:t xml:space="preserve"> the ISO reviews each delist bid to determine whether the capacity associated with the delist bid is needed for the reliability of the New England </w:t>
      </w:r>
      <w:r w:rsidR="007063CB">
        <w:t xml:space="preserve">electric </w:t>
      </w:r>
      <w:r w:rsidRPr="00FE40D4">
        <w:t>power system.</w:t>
      </w:r>
      <w:r w:rsidRPr="00DE65EE">
        <w:rPr>
          <w:sz w:val="24"/>
          <w:szCs w:val="24"/>
        </w:rPr>
        <w:t xml:space="preserve"> </w:t>
      </w:r>
      <w:r>
        <w:t>C</w:t>
      </w:r>
      <w:r w:rsidRPr="00FE40D4">
        <w:t>apacity determined not to be needed for reliability</w:t>
      </w:r>
      <w:r>
        <w:t xml:space="preserve"> </w:t>
      </w:r>
      <w:r w:rsidR="008B2156">
        <w:t xml:space="preserve">is </w:t>
      </w:r>
      <w:r w:rsidR="00BC7F25" w:rsidRPr="00BC7F25">
        <w:t>allowed to delist.</w:t>
      </w:r>
    </w:p>
    <w:p w:rsidR="009743D6" w:rsidRPr="008F4A96" w:rsidRDefault="00A73FE0" w:rsidP="00073277">
      <w:r w:rsidRPr="00A73FE0">
        <w:t>For the third FCA, for the 2012/2013 capacity commitment period, 326 delist bids totaling</w:t>
      </w:r>
      <w:r w:rsidR="009743D6">
        <w:t xml:space="preserve"> approximately 2,291 MW of summer-qualified capacity were submitted. In accordance with Planning Procedure No. 10 (PP 10), </w:t>
      </w:r>
      <w:r w:rsidR="009743D6" w:rsidRPr="006061D3">
        <w:rPr>
          <w:i/>
        </w:rPr>
        <w:t>Planning Procedure to Support the Forward Capacity Market</w:t>
      </w:r>
      <w:r w:rsidR="009743D6">
        <w:t xml:space="preserve">, the ISO reviewed and analyzed these bids and </w:t>
      </w:r>
      <w:r w:rsidR="009743D6" w:rsidRPr="00665922">
        <w:t xml:space="preserve">determined that </w:t>
      </w:r>
      <w:r w:rsidR="009743D6">
        <w:t xml:space="preserve">581 MW, representing Salem Harbor Units #3 and #4, </w:t>
      </w:r>
      <w:r w:rsidR="009743D6" w:rsidRPr="00665922">
        <w:t>w</w:t>
      </w:r>
      <w:r w:rsidR="009743D6">
        <w:t>ere</w:t>
      </w:r>
      <w:r w:rsidR="009743D6" w:rsidRPr="00665922">
        <w:t xml:space="preserve"> needed for </w:t>
      </w:r>
      <w:r w:rsidR="009743D6" w:rsidRPr="00233F7E">
        <w:t>reliability.</w:t>
      </w:r>
      <w:r w:rsidR="009743D6" w:rsidRPr="00233F7E">
        <w:rPr>
          <w:rStyle w:val="FootnoteReference"/>
          <w:sz w:val="22"/>
        </w:rPr>
        <w:footnoteReference w:id="159"/>
      </w:r>
      <w:r w:rsidR="009743D6" w:rsidRPr="00233F7E">
        <w:t xml:space="preserve"> In a February </w:t>
      </w:r>
      <w:r w:rsidR="00C814EB" w:rsidRPr="00233F7E">
        <w:t>26</w:t>
      </w:r>
      <w:r w:rsidR="009743D6" w:rsidRPr="00233F7E">
        <w:t xml:space="preserve">, 2010, order, FERC accepted the ISO’s </w:t>
      </w:r>
      <w:r w:rsidR="00E904AF" w:rsidRPr="00233F7E">
        <w:t>determination.</w:t>
      </w:r>
      <w:r w:rsidR="00E904AF" w:rsidRPr="00233F7E">
        <w:rPr>
          <w:rStyle w:val="FootnoteReference"/>
          <w:sz w:val="22"/>
        </w:rPr>
        <w:footnoteReference w:id="160"/>
      </w:r>
      <w:r w:rsidR="00E904AF" w:rsidRPr="00233F7E">
        <w:t xml:space="preserve"> </w:t>
      </w:r>
      <w:r w:rsidRPr="00233F7E">
        <w:t xml:space="preserve">For the fourth FCA, for the 2013/2014 capacity commitment </w:t>
      </w:r>
      <w:r w:rsidR="00E904AF" w:rsidRPr="00233F7E">
        <w:t xml:space="preserve">period, </w:t>
      </w:r>
      <w:r w:rsidRPr="00233F7E">
        <w:t>119 delist bids were received, representing 1,</w:t>
      </w:r>
      <w:r w:rsidR="00882EEE" w:rsidRPr="00233F7E">
        <w:t>248</w:t>
      </w:r>
      <w:r w:rsidR="00882EEE">
        <w:t> </w:t>
      </w:r>
      <w:r w:rsidRPr="00233F7E">
        <w:t>MW</w:t>
      </w:r>
      <w:r w:rsidR="00D4331C" w:rsidRPr="00D4331C">
        <w:t>. FCA #4 was held in August 2010.</w:t>
      </w:r>
      <w:r w:rsidR="001614A6" w:rsidRPr="00E00008">
        <w:rPr>
          <w:rStyle w:val="FootnoteReference"/>
          <w:sz w:val="22"/>
        </w:rPr>
        <w:footnoteReference w:id="161"/>
      </w:r>
      <w:r w:rsidR="009743D6" w:rsidRPr="00E00008">
        <w:t xml:space="preserve"> </w:t>
      </w:r>
    </w:p>
    <w:p w:rsidR="002878A4" w:rsidRDefault="008F4A96" w:rsidP="009D1346">
      <w:pPr>
        <w:pStyle w:val="Heading2"/>
      </w:pPr>
      <w:bookmarkStart w:id="494" w:name="_Toc271632254"/>
      <w:r w:rsidRPr="00E57C55">
        <w:t xml:space="preserve">Other </w:t>
      </w:r>
      <w:r w:rsidR="00EF25EB" w:rsidRPr="00E57C55">
        <w:t>Needed</w:t>
      </w:r>
      <w:r w:rsidR="00976152" w:rsidRPr="00E57C55">
        <w:t xml:space="preserve"> and</w:t>
      </w:r>
      <w:r w:rsidR="00EF25EB" w:rsidRPr="00E57C55">
        <w:t xml:space="preserve"> Elective</w:t>
      </w:r>
      <w:r w:rsidR="00976152" w:rsidRPr="00E57C55">
        <w:t xml:space="preserve"> </w:t>
      </w:r>
      <w:r w:rsidRPr="00E57C55">
        <w:t>Transmission Upgrades</w:t>
      </w:r>
      <w:bookmarkEnd w:id="494"/>
    </w:p>
    <w:p w:rsidR="008F4A96" w:rsidRDefault="008F4A96" w:rsidP="008F4A96">
      <w:r w:rsidRPr="008F4A96">
        <w:t xml:space="preserve">This </w:t>
      </w:r>
      <w:r w:rsidR="00EF25EB" w:rsidRPr="00EF25EB">
        <w:t xml:space="preserve">section </w:t>
      </w:r>
      <w:r w:rsidR="00EF25EB" w:rsidRPr="00E57C55">
        <w:t>discusses</w:t>
      </w:r>
      <w:r w:rsidRPr="00E57C55">
        <w:t xml:space="preserve"> several needed </w:t>
      </w:r>
      <w:r w:rsidR="00EF25EB" w:rsidRPr="00E57C55">
        <w:t>Market</w:t>
      </w:r>
      <w:r w:rsidR="009C3F31">
        <w:t>-</w:t>
      </w:r>
      <w:r w:rsidR="00EF25EB" w:rsidRPr="00EF25EB">
        <w:t xml:space="preserve">Efficiency-Related Transmission Upgrades. It also </w:t>
      </w:r>
      <w:r w:rsidR="00C15E87">
        <w:t>provides information on several</w:t>
      </w:r>
      <w:r w:rsidR="00EF25EB" w:rsidRPr="00EF25EB">
        <w:t xml:space="preserve"> transmission upgrades developed and paid for by market participants. The transmission upgrades must meet reliability performance requirements.</w:t>
      </w:r>
    </w:p>
    <w:p w:rsidR="00B462A6" w:rsidRDefault="008F4A96">
      <w:pPr>
        <w:pStyle w:val="Heading3"/>
      </w:pPr>
      <w:bookmarkStart w:id="495" w:name="_Toc271632255"/>
      <w:r w:rsidRPr="00E57C55">
        <w:t>Need</w:t>
      </w:r>
      <w:r w:rsidR="00A3061A" w:rsidRPr="00E57C55">
        <w:t xml:space="preserve">ed </w:t>
      </w:r>
      <w:r w:rsidRPr="00E57C55">
        <w:t>Market</w:t>
      </w:r>
      <w:r w:rsidR="00F811DF">
        <w:t>-</w:t>
      </w:r>
      <w:r w:rsidRPr="00E57C55">
        <w:t>Efficiency-Related Transmission Upgrades</w:t>
      </w:r>
      <w:bookmarkEnd w:id="495"/>
    </w:p>
    <w:p w:rsidR="00C15E87" w:rsidRDefault="00C15E87" w:rsidP="00657A1E">
      <w:r w:rsidRPr="00C41DC9">
        <w:t xml:space="preserve">The </w:t>
      </w:r>
      <w:r>
        <w:t xml:space="preserve">purpose </w:t>
      </w:r>
      <w:r w:rsidRPr="00C41DC9">
        <w:t xml:space="preserve">of and requirements for Market Efficiency Transmission Upgrades are described in </w:t>
      </w:r>
      <w:r w:rsidRPr="008F4A96">
        <w:t>Section </w:t>
      </w:r>
      <w:fldSimple w:instr=" REF _Ref262119775 \r \h  \* MERGEFORMAT ">
        <w:r w:rsidR="00E5699E">
          <w:t>6.2.3.2</w:t>
        </w:r>
      </w:fldSimple>
      <w:r w:rsidRPr="008F4A96">
        <w:t>. However</w:t>
      </w:r>
      <w:r w:rsidRPr="00C41DC9">
        <w:t>, market</w:t>
      </w:r>
      <w:r>
        <w:t>-</w:t>
      </w:r>
      <w:r w:rsidRPr="00C41DC9">
        <w:t>efficiency benefits also may be associated with Reliability Transmission Upgrades, particularly when out-of-merit operating costs are reduced.</w:t>
      </w:r>
      <w:r>
        <w:t xml:space="preserve"> </w:t>
      </w:r>
    </w:p>
    <w:p w:rsidR="00F158B9" w:rsidRDefault="00EF25EB" w:rsidP="00235A65">
      <w:pPr>
        <w:pStyle w:val="Heading4"/>
      </w:pPr>
      <w:r w:rsidRPr="00EF25EB">
        <w:t>Transmission Improvements to Mitigate Congestion</w:t>
      </w:r>
    </w:p>
    <w:p w:rsidR="009743D6" w:rsidRDefault="009743D6" w:rsidP="00657A1E">
      <w:r>
        <w:t>Recent experience has demonstrated that the regional transmission system has little congestion</w:t>
      </w:r>
      <w:r w:rsidR="00A73FE0" w:rsidRPr="00A73FE0">
        <w:t>.</w:t>
      </w:r>
      <w:r w:rsidR="00DD790E">
        <w:rPr>
          <w:rStyle w:val="FootnoteReference"/>
        </w:rPr>
        <w:footnoteReference w:id="162"/>
      </w:r>
      <w:r w:rsidR="00A73FE0" w:rsidRPr="00A73FE0">
        <w:t xml:space="preserve"> </w:t>
      </w:r>
      <w:r w:rsidR="00233F7E">
        <w:t xml:space="preserve">The U.S. Department of Energy (DOE) recognized the regional investment in new supply- and demand-side resources, as well as planning and development of extensive transmission upgrades, and it removed New England as “an area of concern” for the identification of National Interest Electric Transmission Corridors (NIETC) (see Section </w:t>
      </w:r>
      <w:fldSimple w:instr=" REF _Ref266111354 \r \h  \* MERGEFORMAT ">
        <w:r w:rsidR="00E5699E">
          <w:t>11.1.1</w:t>
        </w:r>
      </w:fldSimple>
      <w:r w:rsidR="00233F7E" w:rsidRPr="003174D8">
        <w:t>).</w:t>
      </w:r>
      <w:r w:rsidR="00233F7E">
        <w:t xml:space="preserve"> </w:t>
      </w:r>
      <w:r w:rsidR="00882EEE">
        <w:t>For most of the system in 2009, t</w:t>
      </w:r>
      <w:r w:rsidR="00A73FE0" w:rsidRPr="00A73FE0">
        <w:t>he mean difference between the congestion component of the LMP at the Hub and the regional energy zones was less than $0.21/MWh.</w:t>
      </w:r>
      <w:r w:rsidRPr="008A3856">
        <w:t xml:space="preserve"> However, </w:t>
      </w:r>
      <w:r w:rsidR="008B2156">
        <w:t xml:space="preserve">in some </w:t>
      </w:r>
      <w:r w:rsidRPr="008A3856">
        <w:t>areas of the system</w:t>
      </w:r>
      <w:r w:rsidR="008B2156">
        <w:t xml:space="preserve">, </w:t>
      </w:r>
      <w:r w:rsidRPr="008A3856">
        <w:t xml:space="preserve">the mean difference </w:t>
      </w:r>
      <w:r w:rsidRPr="00F35E0F">
        <w:t>between t</w:t>
      </w:r>
      <w:r w:rsidRPr="008A3856">
        <w:t xml:space="preserve">he loss component of the LMP </w:t>
      </w:r>
      <w:r w:rsidRPr="00F35E0F">
        <w:t>at the Hub</w:t>
      </w:r>
      <w:r w:rsidRPr="008A3856">
        <w:t xml:space="preserve"> and the energy zone was </w:t>
      </w:r>
      <w:r>
        <w:t>as much as $3.</w:t>
      </w:r>
      <w:r w:rsidRPr="008A3856">
        <w:t>31</w:t>
      </w:r>
      <w:r w:rsidRPr="00F35E0F">
        <w:t>/</w:t>
      </w:r>
      <w:r>
        <w:t>M</w:t>
      </w:r>
      <w:r w:rsidRPr="00F35E0F">
        <w:t>Wh.</w:t>
      </w:r>
      <w:r w:rsidRPr="008A3856">
        <w:t xml:space="preserve"> This</w:t>
      </w:r>
      <w:r>
        <w:t xml:space="preserve"> signifies a fairly inefficient portion of the system due to high losses. The congestion costs are not significant enough to warrant mitigation by a transmission upgrade; </w:t>
      </w:r>
      <w:r w:rsidRPr="00DA1B0D">
        <w:t xml:space="preserve">however, </w:t>
      </w:r>
      <w:r w:rsidR="00EF25EB" w:rsidRPr="00DA1B0D">
        <w:t>planned Reliability Transmission Upgrades</w:t>
      </w:r>
      <w:r w:rsidR="00662103" w:rsidRPr="00DA1B0D">
        <w:t xml:space="preserve"> </w:t>
      </w:r>
      <w:r w:rsidRPr="00DA1B0D">
        <w:t>might</w:t>
      </w:r>
      <w:r>
        <w:t xml:space="preserve"> help reduce congestion costs further. Similarly, planned Reliability Transmission Upgrades may also reduce transmission system losses. </w:t>
      </w:r>
    </w:p>
    <w:p w:rsidR="00F158B9" w:rsidRDefault="003174D8" w:rsidP="00235A65">
      <w:pPr>
        <w:pStyle w:val="Heading4"/>
      </w:pPr>
      <w:r w:rsidRPr="003174D8">
        <w:t>Reliability Transmission Upgrade Improvements to Load and Generation Pockets</w:t>
      </w:r>
    </w:p>
    <w:p w:rsidR="009743D6" w:rsidRDefault="009743D6" w:rsidP="00073277">
      <w:r>
        <w:t xml:space="preserve">Transmission solutions have been and are being put in place where developers have not proposed adding new resources to relieve transmission system performance concerns. The ISO is studying many of these areas, and while transmission projects are still being planned for some areas, other areas already have projects under construction and in-service to mitigate dependence on the embedded generating units. While the transmission system modifications needed to address the system performance problems in these </w:t>
      </w:r>
      <w:r w:rsidRPr="008A3856">
        <w:t>areas were Reliability Transmission Upgrades, these upgrades contributed to a substantial reduction in</w:t>
      </w:r>
      <w:r w:rsidRPr="00F35E0F">
        <w:t xml:space="preserve"> out-of-merit operating costs.</w:t>
      </w:r>
    </w:p>
    <w:p w:rsidR="009743D6" w:rsidRDefault="009743D6" w:rsidP="00073277">
      <w:r>
        <w:t xml:space="preserve">Generating units in load pockets may receive second-contingency or voltage-control payments for must-run situations. </w:t>
      </w:r>
      <w:r w:rsidR="00832C7A">
        <w:fldChar w:fldCharType="begin"/>
      </w:r>
      <w:r w:rsidR="00C41DC9">
        <w:instrText xml:space="preserve"> REF _Ref262119835 \h </w:instrText>
      </w:r>
      <w:r w:rsidR="00832C7A">
        <w:fldChar w:fldCharType="separate"/>
      </w:r>
      <w:r w:rsidR="00E5699E" w:rsidRPr="00C810A9">
        <w:t xml:space="preserve">Table </w:t>
      </w:r>
      <w:r w:rsidR="00E5699E">
        <w:rPr>
          <w:noProof/>
        </w:rPr>
        <w:t>6</w:t>
      </w:r>
      <w:r w:rsidR="00E5699E">
        <w:noBreakHyphen/>
      </w:r>
      <w:r w:rsidR="00E5699E">
        <w:rPr>
          <w:noProof/>
        </w:rPr>
        <w:t>2</w:t>
      </w:r>
      <w:r w:rsidR="00832C7A">
        <w:fldChar w:fldCharType="end"/>
      </w:r>
      <w:r>
        <w:t xml:space="preserve"> shows the Net Commitment</w:t>
      </w:r>
      <w:r w:rsidR="001C59DF">
        <w:t>-</w:t>
      </w:r>
      <w:r>
        <w:t>Period Compensation (NCPC) by type and year.</w:t>
      </w:r>
      <w:r w:rsidRPr="00066476">
        <w:rPr>
          <w:rStyle w:val="FootnoteReference"/>
          <w:sz w:val="22"/>
        </w:rPr>
        <w:footnoteReference w:id="163"/>
      </w:r>
      <w:r>
        <w:t xml:space="preserve"> In 2009, the total amount of NCPC was reduced by approximately 90% from levels experienced from 2005 through 2008. This was in large part due to transmission upgrades that have improved the reliability of service to load pockets. One set of transmission improvements in Lower SEMA reduced NCPC to the entire </w:t>
      </w:r>
      <w:r w:rsidRPr="00657A1E">
        <w:t>SEMA Reliability Region by</w:t>
      </w:r>
      <w:r>
        <w:t xml:space="preserve"> approximately $130 million from 2008 to 2009.</w:t>
      </w:r>
      <w:r w:rsidR="00D16AA3" w:rsidRPr="00066476">
        <w:rPr>
          <w:rStyle w:val="FootnoteReference"/>
          <w:sz w:val="22"/>
        </w:rPr>
        <w:footnoteReference w:id="164"/>
      </w:r>
      <w:r w:rsidR="00D16AA3" w:rsidRPr="00066476">
        <w:t xml:space="preserve"> </w:t>
      </w:r>
      <w:r>
        <w:t xml:space="preserve">Additional plans are in place to eliminate constraints in this </w:t>
      </w:r>
      <w:r w:rsidRPr="00362C4D">
        <w:t>area</w:t>
      </w:r>
      <w:r>
        <w:t xml:space="preserve">. </w:t>
      </w:r>
      <w:r w:rsidRPr="00362C4D">
        <w:t>Other contributing factors to lower NCP</w:t>
      </w:r>
      <w:r>
        <w:t>C</w:t>
      </w:r>
      <w:r w:rsidRPr="00362C4D">
        <w:t xml:space="preserve"> </w:t>
      </w:r>
      <w:r w:rsidR="005304D0">
        <w:t xml:space="preserve">in 2009 </w:t>
      </w:r>
      <w:r w:rsidRPr="00362C4D">
        <w:t>were</w:t>
      </w:r>
      <w:r w:rsidR="002A470C">
        <w:t xml:space="preserve"> </w:t>
      </w:r>
      <w:r w:rsidRPr="00362C4D">
        <w:t xml:space="preserve">low loads and inexpensive natural gas and </w:t>
      </w:r>
      <w:r w:rsidR="00C92348">
        <w:t xml:space="preserve">fuel </w:t>
      </w:r>
      <w:r w:rsidRPr="00362C4D">
        <w:t>oil</w:t>
      </w:r>
      <w:r>
        <w:t xml:space="preserve"> for generating units in the load pockets. </w:t>
      </w:r>
    </w:p>
    <w:p w:rsidR="006A7038" w:rsidRDefault="009743D6" w:rsidP="002A470C">
      <w:pPr>
        <w:pStyle w:val="Caption"/>
        <w:tabs>
          <w:tab w:val="center" w:pos="4680"/>
          <w:tab w:val="left" w:pos="5892"/>
        </w:tabs>
        <w:ind w:left="0" w:right="0"/>
      </w:pPr>
      <w:bookmarkStart w:id="496" w:name="_Ref262119835"/>
      <w:bookmarkStart w:id="497" w:name="_Toc271552418"/>
      <w:r w:rsidRPr="00C810A9">
        <w:t xml:space="preserve">Table </w:t>
      </w:r>
      <w:r w:rsidR="00832C7A">
        <w:fldChar w:fldCharType="begin"/>
      </w:r>
      <w:r w:rsidR="00B2406F">
        <w:instrText xml:space="preserve"> STYLEREF 1 \s </w:instrText>
      </w:r>
      <w:r w:rsidR="00832C7A">
        <w:fldChar w:fldCharType="separate"/>
      </w:r>
      <w:r w:rsidR="00E5699E">
        <w:rPr>
          <w:noProof/>
        </w:rPr>
        <w:t>6</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496"/>
      <w:r w:rsidR="00AC7087">
        <w:br/>
        <w:t>Net Commitment-</w:t>
      </w:r>
      <w:r w:rsidRPr="00C810A9">
        <w:t>Period Compensation by Type and Year</w:t>
      </w:r>
      <w:r w:rsidR="00A047CC">
        <w:t xml:space="preserve"> (</w:t>
      </w:r>
      <w:r w:rsidR="00233F7E">
        <w:t xml:space="preserve">million </w:t>
      </w:r>
      <w:r>
        <w:t>$</w:t>
      </w:r>
      <w:r w:rsidR="00A047CC">
        <w:t>)</w:t>
      </w:r>
      <w:bookmarkEnd w:id="497"/>
    </w:p>
    <w:tbl>
      <w:tblPr>
        <w:tblStyle w:val="TableGrid"/>
        <w:tblW w:w="0" w:type="auto"/>
        <w:jc w:val="center"/>
        <w:tblInd w:w="12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1073"/>
        <w:gridCol w:w="1467"/>
        <w:gridCol w:w="1183"/>
        <w:gridCol w:w="1199"/>
      </w:tblGrid>
      <w:tr w:rsidR="00B36436" w:rsidRPr="00006F93" w:rsidTr="00D77C66">
        <w:trPr>
          <w:cantSplit/>
          <w:jc w:val="center"/>
        </w:trPr>
        <w:tc>
          <w:tcPr>
            <w:tcW w:w="1073" w:type="dxa"/>
            <w:shd w:val="clear" w:color="auto" w:fill="FBCE76" w:themeFill="background2" w:themeFillTint="99"/>
            <w:vAlign w:val="center"/>
          </w:tcPr>
          <w:p w:rsidR="006A7038" w:rsidRDefault="009743D6">
            <w:pPr>
              <w:keepNext/>
              <w:keepLines/>
              <w:spacing w:after="0"/>
              <w:jc w:val="center"/>
              <w:rPr>
                <w:rFonts w:ascii="Arial" w:hAnsi="Arial" w:cs="Arial"/>
                <w:b/>
                <w:sz w:val="18"/>
                <w:szCs w:val="18"/>
              </w:rPr>
            </w:pPr>
            <w:r w:rsidRPr="00E7790B">
              <w:rPr>
                <w:rFonts w:ascii="Arial" w:hAnsi="Arial" w:cs="Arial"/>
                <w:b/>
                <w:sz w:val="18"/>
                <w:szCs w:val="18"/>
              </w:rPr>
              <w:t>Year</w:t>
            </w:r>
          </w:p>
        </w:tc>
        <w:tc>
          <w:tcPr>
            <w:tcW w:w="1467" w:type="dxa"/>
            <w:shd w:val="clear" w:color="auto" w:fill="FBCE76" w:themeFill="background2" w:themeFillTint="99"/>
            <w:vAlign w:val="center"/>
          </w:tcPr>
          <w:p w:rsidR="006A7038" w:rsidRDefault="009743D6">
            <w:pPr>
              <w:keepNext/>
              <w:keepLines/>
              <w:spacing w:after="0"/>
              <w:jc w:val="center"/>
              <w:rPr>
                <w:rFonts w:ascii="Arial" w:hAnsi="Arial" w:cs="Arial"/>
                <w:b/>
                <w:sz w:val="18"/>
                <w:szCs w:val="18"/>
              </w:rPr>
            </w:pPr>
            <w:r w:rsidRPr="00E7790B">
              <w:rPr>
                <w:rFonts w:ascii="Arial" w:hAnsi="Arial" w:cs="Arial"/>
                <w:b/>
                <w:sz w:val="18"/>
                <w:szCs w:val="18"/>
              </w:rPr>
              <w:t>Second Contingency</w:t>
            </w:r>
            <w:r w:rsidRPr="00E7790B">
              <w:rPr>
                <w:rFonts w:ascii="Arial" w:hAnsi="Arial" w:cs="Arial"/>
                <w:b/>
                <w:sz w:val="18"/>
                <w:szCs w:val="18"/>
                <w:vertAlign w:val="superscript"/>
              </w:rPr>
              <w:t>(a)</w:t>
            </w:r>
          </w:p>
        </w:tc>
        <w:tc>
          <w:tcPr>
            <w:tcW w:w="1183" w:type="dxa"/>
            <w:shd w:val="clear" w:color="auto" w:fill="FBCE76" w:themeFill="background2" w:themeFillTint="99"/>
            <w:vAlign w:val="center"/>
          </w:tcPr>
          <w:p w:rsidR="006A7038" w:rsidRDefault="009743D6">
            <w:pPr>
              <w:keepNext/>
              <w:keepLines/>
              <w:spacing w:after="0"/>
              <w:jc w:val="center"/>
              <w:rPr>
                <w:rFonts w:ascii="Arial" w:hAnsi="Arial" w:cs="Arial"/>
                <w:b/>
                <w:sz w:val="18"/>
                <w:szCs w:val="18"/>
              </w:rPr>
            </w:pPr>
            <w:r w:rsidRPr="00E7790B">
              <w:rPr>
                <w:rFonts w:ascii="Arial" w:hAnsi="Arial" w:cs="Arial"/>
                <w:b/>
                <w:sz w:val="18"/>
                <w:szCs w:val="18"/>
              </w:rPr>
              <w:t>Voltage</w:t>
            </w:r>
          </w:p>
        </w:tc>
        <w:tc>
          <w:tcPr>
            <w:tcW w:w="1199" w:type="dxa"/>
            <w:shd w:val="clear" w:color="auto" w:fill="FBCE76" w:themeFill="background2" w:themeFillTint="99"/>
            <w:vAlign w:val="center"/>
          </w:tcPr>
          <w:p w:rsidR="006A7038" w:rsidRDefault="009743D6">
            <w:pPr>
              <w:keepNext/>
              <w:keepLines/>
              <w:spacing w:after="0"/>
              <w:jc w:val="center"/>
              <w:rPr>
                <w:rFonts w:ascii="Arial" w:hAnsi="Arial" w:cs="Arial"/>
                <w:b/>
                <w:sz w:val="18"/>
                <w:szCs w:val="18"/>
              </w:rPr>
            </w:pPr>
            <w:r w:rsidRPr="00E7790B">
              <w:rPr>
                <w:rFonts w:ascii="Arial" w:hAnsi="Arial" w:cs="Arial"/>
                <w:b/>
                <w:sz w:val="18"/>
                <w:szCs w:val="18"/>
              </w:rPr>
              <w:t>Total</w:t>
            </w:r>
            <w:r w:rsidR="00705D33" w:rsidRPr="00705D33">
              <w:rPr>
                <w:rFonts w:ascii="Arial" w:hAnsi="Arial" w:cs="Arial"/>
                <w:b/>
                <w:sz w:val="18"/>
                <w:szCs w:val="18"/>
                <w:vertAlign w:val="superscript"/>
              </w:rPr>
              <w:t>(b)</w:t>
            </w:r>
          </w:p>
        </w:tc>
      </w:tr>
      <w:tr w:rsidR="00B36436" w:rsidRPr="00006F93" w:rsidTr="00D77C66">
        <w:trPr>
          <w:cantSplit/>
          <w:jc w:val="center"/>
        </w:trPr>
        <w:tc>
          <w:tcPr>
            <w:tcW w:w="1073" w:type="dxa"/>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2003</w:t>
            </w:r>
            <w:r w:rsidR="00705D33">
              <w:rPr>
                <w:rFonts w:ascii="Arial" w:hAnsi="Arial" w:cs="Arial"/>
                <w:b/>
                <w:sz w:val="18"/>
                <w:szCs w:val="18"/>
                <w:vertAlign w:val="superscript"/>
              </w:rPr>
              <w:t>(c</w:t>
            </w:r>
            <w:r w:rsidRPr="00E7790B">
              <w:rPr>
                <w:rFonts w:ascii="Arial" w:hAnsi="Arial" w:cs="Arial"/>
                <w:b/>
                <w:sz w:val="18"/>
                <w:szCs w:val="18"/>
                <w:vertAlign w:val="superscript"/>
              </w:rPr>
              <w:t>)</w:t>
            </w:r>
          </w:p>
        </w:tc>
        <w:tc>
          <w:tcPr>
            <w:tcW w:w="1467" w:type="dxa"/>
            <w:tcMar>
              <w:left w:w="0" w:type="dxa"/>
              <w:right w:w="288" w:type="dxa"/>
            </w:tcMar>
            <w:vAlign w:val="center"/>
          </w:tcPr>
          <w:p w:rsidR="006A7038" w:rsidRDefault="00233F7E" w:rsidP="00A0135A">
            <w:pPr>
              <w:keepNext/>
              <w:keepLines/>
              <w:spacing w:after="0"/>
              <w:jc w:val="right"/>
              <w:rPr>
                <w:rFonts w:ascii="Arial" w:hAnsi="Arial" w:cs="Arial"/>
                <w:b/>
                <w:bCs/>
                <w:sz w:val="18"/>
                <w:szCs w:val="18"/>
              </w:rPr>
            </w:pPr>
            <w:r>
              <w:rPr>
                <w:rFonts w:ascii="Arial" w:hAnsi="Arial" w:cs="Arial"/>
                <w:sz w:val="18"/>
                <w:szCs w:val="18"/>
              </w:rPr>
              <w:t>36.0</w:t>
            </w:r>
          </w:p>
        </w:tc>
        <w:tc>
          <w:tcPr>
            <w:tcW w:w="1183"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14</w:t>
            </w:r>
            <w:r w:rsidR="00A0135A">
              <w:rPr>
                <w:rFonts w:ascii="Arial" w:hAnsi="Arial" w:cs="Arial"/>
                <w:sz w:val="18"/>
                <w:szCs w:val="18"/>
              </w:rPr>
              <w:t>.</w:t>
            </w:r>
            <w:r w:rsidRPr="00006F93">
              <w:rPr>
                <w:rFonts w:ascii="Arial" w:hAnsi="Arial" w:cs="Arial"/>
                <w:sz w:val="18"/>
                <w:szCs w:val="18"/>
              </w:rPr>
              <w:t>4</w:t>
            </w:r>
          </w:p>
        </w:tc>
        <w:tc>
          <w:tcPr>
            <w:tcW w:w="1199"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50</w:t>
            </w:r>
            <w:r w:rsidR="00A0135A">
              <w:rPr>
                <w:rFonts w:ascii="Arial" w:hAnsi="Arial" w:cs="Arial"/>
                <w:sz w:val="18"/>
                <w:szCs w:val="18"/>
              </w:rPr>
              <w:t>.4</w:t>
            </w:r>
          </w:p>
        </w:tc>
      </w:tr>
      <w:tr w:rsidR="00B36436" w:rsidRPr="00006F93" w:rsidTr="00D77C66">
        <w:trPr>
          <w:cantSplit/>
          <w:jc w:val="center"/>
        </w:trPr>
        <w:tc>
          <w:tcPr>
            <w:tcW w:w="1073" w:type="dxa"/>
            <w:shd w:val="clear" w:color="auto" w:fill="FDEED1" w:themeFill="background2" w:themeFillTint="33"/>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2004</w:t>
            </w:r>
          </w:p>
        </w:tc>
        <w:tc>
          <w:tcPr>
            <w:tcW w:w="1467" w:type="dxa"/>
            <w:shd w:val="clear" w:color="auto" w:fill="FDEED1" w:themeFill="background2" w:themeFillTint="33"/>
            <w:tcMar>
              <w:left w:w="0" w:type="dxa"/>
              <w:right w:w="288" w:type="dxa"/>
            </w:tcMar>
            <w:vAlign w:val="center"/>
          </w:tcPr>
          <w:p w:rsidR="006A7038" w:rsidRDefault="00233F7E" w:rsidP="00A0135A">
            <w:pPr>
              <w:keepNext/>
              <w:keepLines/>
              <w:spacing w:after="0"/>
              <w:jc w:val="right"/>
              <w:rPr>
                <w:rFonts w:ascii="Arial" w:hAnsi="Arial" w:cs="Arial"/>
                <w:b/>
                <w:bCs/>
                <w:sz w:val="18"/>
                <w:szCs w:val="18"/>
              </w:rPr>
            </w:pPr>
            <w:r>
              <w:rPr>
                <w:rFonts w:ascii="Arial" w:hAnsi="Arial" w:cs="Arial"/>
                <w:sz w:val="18"/>
                <w:szCs w:val="18"/>
              </w:rPr>
              <w:t>43.9</w:t>
            </w:r>
          </w:p>
        </w:tc>
        <w:tc>
          <w:tcPr>
            <w:tcW w:w="1183"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6</w:t>
            </w:r>
            <w:r w:rsidR="00A0135A">
              <w:rPr>
                <w:rFonts w:ascii="Arial" w:hAnsi="Arial" w:cs="Arial"/>
                <w:sz w:val="18"/>
                <w:szCs w:val="18"/>
              </w:rPr>
              <w:t>8.0</w:t>
            </w:r>
          </w:p>
        </w:tc>
        <w:tc>
          <w:tcPr>
            <w:tcW w:w="1199"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111</w:t>
            </w:r>
            <w:r w:rsidR="00A0135A">
              <w:rPr>
                <w:rFonts w:ascii="Arial" w:hAnsi="Arial" w:cs="Arial"/>
                <w:sz w:val="18"/>
                <w:szCs w:val="18"/>
              </w:rPr>
              <w:t>.9</w:t>
            </w:r>
          </w:p>
        </w:tc>
      </w:tr>
      <w:tr w:rsidR="00B36436" w:rsidRPr="00006F93" w:rsidTr="00D77C66">
        <w:trPr>
          <w:cantSplit/>
          <w:jc w:val="center"/>
        </w:trPr>
        <w:tc>
          <w:tcPr>
            <w:tcW w:w="1073" w:type="dxa"/>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2005</w:t>
            </w:r>
          </w:p>
        </w:tc>
        <w:tc>
          <w:tcPr>
            <w:tcW w:w="1467"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133</w:t>
            </w:r>
            <w:r w:rsidR="00233F7E">
              <w:rPr>
                <w:rFonts w:ascii="Arial" w:hAnsi="Arial" w:cs="Arial"/>
                <w:sz w:val="18"/>
                <w:szCs w:val="18"/>
              </w:rPr>
              <w:t>.7</w:t>
            </w:r>
          </w:p>
        </w:tc>
        <w:tc>
          <w:tcPr>
            <w:tcW w:w="1183"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75</w:t>
            </w:r>
            <w:r w:rsidR="00A0135A">
              <w:rPr>
                <w:rFonts w:ascii="Arial" w:hAnsi="Arial" w:cs="Arial"/>
                <w:sz w:val="18"/>
                <w:szCs w:val="18"/>
              </w:rPr>
              <w:t>.1</w:t>
            </w:r>
          </w:p>
        </w:tc>
        <w:tc>
          <w:tcPr>
            <w:tcW w:w="1199"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208</w:t>
            </w:r>
            <w:r w:rsidR="00A0135A">
              <w:rPr>
                <w:rFonts w:ascii="Arial" w:hAnsi="Arial" w:cs="Arial"/>
                <w:sz w:val="18"/>
                <w:szCs w:val="18"/>
              </w:rPr>
              <w:t>.8</w:t>
            </w:r>
          </w:p>
        </w:tc>
      </w:tr>
      <w:tr w:rsidR="00B36436" w:rsidRPr="00006F93" w:rsidTr="00D77C66">
        <w:trPr>
          <w:cantSplit/>
          <w:jc w:val="center"/>
        </w:trPr>
        <w:tc>
          <w:tcPr>
            <w:tcW w:w="1073" w:type="dxa"/>
            <w:shd w:val="clear" w:color="auto" w:fill="FDEED1" w:themeFill="background2" w:themeFillTint="33"/>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2006</w:t>
            </w:r>
          </w:p>
        </w:tc>
        <w:tc>
          <w:tcPr>
            <w:tcW w:w="1467"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179</w:t>
            </w:r>
            <w:r w:rsidR="00A0135A">
              <w:rPr>
                <w:rFonts w:ascii="Arial" w:hAnsi="Arial" w:cs="Arial"/>
                <w:sz w:val="18"/>
                <w:szCs w:val="18"/>
              </w:rPr>
              <w:t>.9</w:t>
            </w:r>
          </w:p>
        </w:tc>
        <w:tc>
          <w:tcPr>
            <w:tcW w:w="1183"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19</w:t>
            </w:r>
            <w:r w:rsidR="00A0135A">
              <w:rPr>
                <w:rFonts w:ascii="Arial" w:hAnsi="Arial" w:cs="Arial"/>
                <w:sz w:val="18"/>
                <w:szCs w:val="18"/>
              </w:rPr>
              <w:t>.0</w:t>
            </w:r>
          </w:p>
        </w:tc>
        <w:tc>
          <w:tcPr>
            <w:tcW w:w="1199"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19</w:t>
            </w:r>
            <w:r w:rsidR="00A0135A">
              <w:rPr>
                <w:rFonts w:ascii="Arial" w:hAnsi="Arial" w:cs="Arial"/>
                <w:sz w:val="18"/>
                <w:szCs w:val="18"/>
              </w:rPr>
              <w:t>9.0</w:t>
            </w:r>
          </w:p>
        </w:tc>
      </w:tr>
      <w:tr w:rsidR="00B36436" w:rsidRPr="00006F93" w:rsidTr="00D77C66">
        <w:trPr>
          <w:cantSplit/>
          <w:jc w:val="center"/>
        </w:trPr>
        <w:tc>
          <w:tcPr>
            <w:tcW w:w="1073" w:type="dxa"/>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2007</w:t>
            </w:r>
          </w:p>
        </w:tc>
        <w:tc>
          <w:tcPr>
            <w:tcW w:w="1467"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169</w:t>
            </w:r>
            <w:r w:rsidR="00A0135A">
              <w:rPr>
                <w:rFonts w:ascii="Arial" w:hAnsi="Arial" w:cs="Arial"/>
                <w:sz w:val="18"/>
                <w:szCs w:val="18"/>
              </w:rPr>
              <w:t>.5</w:t>
            </w:r>
          </w:p>
        </w:tc>
        <w:tc>
          <w:tcPr>
            <w:tcW w:w="1183"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46</w:t>
            </w:r>
            <w:r w:rsidR="00A0135A">
              <w:rPr>
                <w:rFonts w:ascii="Arial" w:hAnsi="Arial" w:cs="Arial"/>
                <w:sz w:val="18"/>
                <w:szCs w:val="18"/>
              </w:rPr>
              <w:t>.0</w:t>
            </w:r>
          </w:p>
        </w:tc>
        <w:tc>
          <w:tcPr>
            <w:tcW w:w="1199"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215</w:t>
            </w:r>
            <w:r w:rsidR="00A0135A">
              <w:rPr>
                <w:rFonts w:ascii="Arial" w:hAnsi="Arial" w:cs="Arial"/>
                <w:sz w:val="18"/>
                <w:szCs w:val="18"/>
              </w:rPr>
              <w:t>.5</w:t>
            </w:r>
          </w:p>
        </w:tc>
      </w:tr>
      <w:tr w:rsidR="00B36436" w:rsidRPr="00006F93" w:rsidTr="00D77C66">
        <w:trPr>
          <w:cantSplit/>
          <w:jc w:val="center"/>
        </w:trPr>
        <w:tc>
          <w:tcPr>
            <w:tcW w:w="1073" w:type="dxa"/>
            <w:shd w:val="clear" w:color="auto" w:fill="FDEED1" w:themeFill="background2" w:themeFillTint="33"/>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2008</w:t>
            </w:r>
          </w:p>
        </w:tc>
        <w:tc>
          <w:tcPr>
            <w:tcW w:w="1467"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182</w:t>
            </w:r>
            <w:r w:rsidR="00A0135A">
              <w:rPr>
                <w:rFonts w:ascii="Arial" w:hAnsi="Arial" w:cs="Arial"/>
                <w:sz w:val="18"/>
                <w:szCs w:val="18"/>
              </w:rPr>
              <w:t>.5</w:t>
            </w:r>
          </w:p>
        </w:tc>
        <w:tc>
          <w:tcPr>
            <w:tcW w:w="1183"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29</w:t>
            </w:r>
            <w:r w:rsidR="00A0135A">
              <w:rPr>
                <w:rFonts w:ascii="Arial" w:hAnsi="Arial" w:cs="Arial"/>
                <w:sz w:val="18"/>
                <w:szCs w:val="18"/>
              </w:rPr>
              <w:t>.4</w:t>
            </w:r>
          </w:p>
        </w:tc>
        <w:tc>
          <w:tcPr>
            <w:tcW w:w="1199" w:type="dxa"/>
            <w:shd w:val="clear" w:color="auto" w:fill="FDEED1" w:themeFill="background2" w:themeFillTint="33"/>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211</w:t>
            </w:r>
            <w:r w:rsidR="00A0135A">
              <w:rPr>
                <w:rFonts w:ascii="Arial" w:hAnsi="Arial" w:cs="Arial"/>
                <w:sz w:val="18"/>
                <w:szCs w:val="18"/>
              </w:rPr>
              <w:t>.9</w:t>
            </w:r>
          </w:p>
        </w:tc>
      </w:tr>
      <w:tr w:rsidR="00B36436" w:rsidRPr="00006F93" w:rsidTr="00D77C66">
        <w:trPr>
          <w:cantSplit/>
          <w:jc w:val="center"/>
        </w:trPr>
        <w:tc>
          <w:tcPr>
            <w:tcW w:w="1073" w:type="dxa"/>
            <w:vAlign w:val="center"/>
          </w:tcPr>
          <w:p w:rsidR="006A7038" w:rsidRDefault="009743D6">
            <w:pPr>
              <w:keepNext/>
              <w:keepLines/>
              <w:spacing w:after="0"/>
              <w:rPr>
                <w:rFonts w:ascii="Arial" w:hAnsi="Arial" w:cs="Arial"/>
                <w:b/>
                <w:sz w:val="18"/>
                <w:szCs w:val="18"/>
              </w:rPr>
            </w:pPr>
            <w:r w:rsidRPr="00E7790B">
              <w:rPr>
                <w:rFonts w:ascii="Arial" w:hAnsi="Arial" w:cs="Arial"/>
                <w:b/>
                <w:sz w:val="18"/>
                <w:szCs w:val="18"/>
              </w:rPr>
              <w:t>2009</w:t>
            </w:r>
          </w:p>
        </w:tc>
        <w:tc>
          <w:tcPr>
            <w:tcW w:w="1467"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17</w:t>
            </w:r>
            <w:r w:rsidR="00A0135A">
              <w:rPr>
                <w:rFonts w:ascii="Arial" w:hAnsi="Arial" w:cs="Arial"/>
                <w:sz w:val="18"/>
                <w:szCs w:val="18"/>
              </w:rPr>
              <w:t>.2</w:t>
            </w:r>
          </w:p>
        </w:tc>
        <w:tc>
          <w:tcPr>
            <w:tcW w:w="1183"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5</w:t>
            </w:r>
            <w:r w:rsidR="00A0135A">
              <w:rPr>
                <w:rFonts w:ascii="Arial" w:hAnsi="Arial" w:cs="Arial"/>
                <w:sz w:val="18"/>
                <w:szCs w:val="18"/>
              </w:rPr>
              <w:t>.</w:t>
            </w:r>
            <w:r w:rsidRPr="00006F93">
              <w:rPr>
                <w:rFonts w:ascii="Arial" w:hAnsi="Arial" w:cs="Arial"/>
                <w:sz w:val="18"/>
                <w:szCs w:val="18"/>
              </w:rPr>
              <w:t>0</w:t>
            </w:r>
          </w:p>
        </w:tc>
        <w:tc>
          <w:tcPr>
            <w:tcW w:w="1199" w:type="dxa"/>
            <w:tcMar>
              <w:left w:w="0" w:type="dxa"/>
              <w:right w:w="288" w:type="dxa"/>
            </w:tcMar>
            <w:vAlign w:val="center"/>
          </w:tcPr>
          <w:p w:rsidR="006A7038" w:rsidRDefault="009743D6" w:rsidP="00A0135A">
            <w:pPr>
              <w:keepNext/>
              <w:keepLines/>
              <w:spacing w:after="0"/>
              <w:jc w:val="right"/>
              <w:rPr>
                <w:rFonts w:ascii="Arial" w:hAnsi="Arial" w:cs="Arial"/>
                <w:b/>
                <w:bCs/>
                <w:sz w:val="18"/>
                <w:szCs w:val="18"/>
              </w:rPr>
            </w:pPr>
            <w:r w:rsidRPr="00006F93">
              <w:rPr>
                <w:rFonts w:ascii="Arial" w:hAnsi="Arial" w:cs="Arial"/>
                <w:sz w:val="18"/>
                <w:szCs w:val="18"/>
              </w:rPr>
              <w:t>22</w:t>
            </w:r>
            <w:r w:rsidR="00A0135A">
              <w:rPr>
                <w:rFonts w:ascii="Arial" w:hAnsi="Arial" w:cs="Arial"/>
                <w:sz w:val="18"/>
                <w:szCs w:val="18"/>
              </w:rPr>
              <w:t>.2</w:t>
            </w:r>
          </w:p>
        </w:tc>
      </w:tr>
    </w:tbl>
    <w:p w:rsidR="00705D33" w:rsidRDefault="009743D6" w:rsidP="00D70F17">
      <w:pPr>
        <w:keepNext/>
        <w:keepLines/>
        <w:tabs>
          <w:tab w:val="left" w:pos="7110"/>
        </w:tabs>
        <w:spacing w:before="120" w:after="80" w:line="240" w:lineRule="auto"/>
        <w:ind w:left="2520" w:right="2160" w:hanging="274"/>
        <w:rPr>
          <w:rFonts w:ascii="Arial" w:hAnsi="Arial" w:cs="Arial"/>
          <w:sz w:val="16"/>
          <w:szCs w:val="16"/>
        </w:rPr>
      </w:pPr>
      <w:r w:rsidRPr="00E7790B">
        <w:rPr>
          <w:rFonts w:ascii="Arial" w:hAnsi="Arial" w:cs="Arial"/>
          <w:sz w:val="16"/>
          <w:szCs w:val="16"/>
        </w:rPr>
        <w:t>(a)</w:t>
      </w:r>
      <w:r w:rsidRPr="00006F93">
        <w:rPr>
          <w:rFonts w:ascii="Arial" w:hAnsi="Arial" w:cs="Arial"/>
        </w:rPr>
        <w:t xml:space="preserve"> </w:t>
      </w:r>
      <w:r w:rsidR="00D70F17">
        <w:rPr>
          <w:rFonts w:ascii="Arial" w:hAnsi="Arial" w:cs="Arial"/>
        </w:rPr>
        <w:tab/>
      </w:r>
      <w:r w:rsidRPr="00006F93">
        <w:rPr>
          <w:rFonts w:ascii="Arial" w:hAnsi="Arial" w:cs="Arial"/>
          <w:sz w:val="16"/>
          <w:szCs w:val="16"/>
        </w:rPr>
        <w:t>NCPC for first-contingency commitment and distribution support are not included.</w:t>
      </w:r>
    </w:p>
    <w:p w:rsidR="00341886" w:rsidRDefault="00705D33" w:rsidP="00D70F17">
      <w:pPr>
        <w:keepNext/>
        <w:keepLines/>
        <w:tabs>
          <w:tab w:val="left" w:pos="7110"/>
        </w:tabs>
        <w:spacing w:after="80" w:line="240" w:lineRule="auto"/>
        <w:ind w:left="2520" w:right="2160" w:hanging="274"/>
        <w:rPr>
          <w:rFonts w:ascii="Arial" w:hAnsi="Arial" w:cs="Arial"/>
          <w:sz w:val="16"/>
          <w:szCs w:val="16"/>
        </w:rPr>
      </w:pPr>
      <w:r>
        <w:rPr>
          <w:rFonts w:ascii="Arial" w:hAnsi="Arial" w:cs="Arial"/>
          <w:sz w:val="16"/>
          <w:szCs w:val="16"/>
        </w:rPr>
        <w:t xml:space="preserve">(b) </w:t>
      </w:r>
      <w:r w:rsidR="00D70F17">
        <w:rPr>
          <w:rFonts w:ascii="Arial" w:hAnsi="Arial" w:cs="Arial"/>
          <w:sz w:val="16"/>
          <w:szCs w:val="16"/>
        </w:rPr>
        <w:tab/>
      </w:r>
      <w:r>
        <w:rPr>
          <w:rFonts w:ascii="Arial" w:hAnsi="Arial" w:cs="Arial"/>
          <w:sz w:val="16"/>
          <w:szCs w:val="16"/>
        </w:rPr>
        <w:t>Numbers may not add because of rounding.</w:t>
      </w:r>
      <w:r w:rsidR="009743D6" w:rsidRPr="00006F93">
        <w:rPr>
          <w:rFonts w:ascii="Arial" w:hAnsi="Arial" w:cs="Arial"/>
          <w:sz w:val="16"/>
          <w:szCs w:val="16"/>
        </w:rPr>
        <w:t xml:space="preserve"> </w:t>
      </w:r>
    </w:p>
    <w:p w:rsidR="00341886" w:rsidRDefault="009743D6" w:rsidP="00D70F17">
      <w:pPr>
        <w:tabs>
          <w:tab w:val="left" w:pos="7110"/>
        </w:tabs>
        <w:spacing w:line="240" w:lineRule="auto"/>
        <w:ind w:left="2520" w:right="2160" w:hanging="274"/>
        <w:rPr>
          <w:rFonts w:ascii="Arial" w:hAnsi="Arial" w:cs="Arial"/>
          <w:sz w:val="16"/>
          <w:szCs w:val="16"/>
        </w:rPr>
      </w:pPr>
      <w:r w:rsidRPr="00006F93">
        <w:rPr>
          <w:rFonts w:ascii="Arial" w:hAnsi="Arial" w:cs="Arial"/>
          <w:sz w:val="16"/>
          <w:szCs w:val="16"/>
        </w:rPr>
        <w:t xml:space="preserve">(b) </w:t>
      </w:r>
      <w:r w:rsidR="00D70F17">
        <w:rPr>
          <w:rFonts w:ascii="Arial" w:hAnsi="Arial" w:cs="Arial"/>
          <w:sz w:val="16"/>
          <w:szCs w:val="16"/>
        </w:rPr>
        <w:tab/>
      </w:r>
      <w:r w:rsidRPr="00006F93">
        <w:rPr>
          <w:rFonts w:ascii="Arial" w:hAnsi="Arial" w:cs="Arial"/>
          <w:sz w:val="16"/>
          <w:szCs w:val="16"/>
        </w:rPr>
        <w:t>Recording of data began in March 2003.</w:t>
      </w:r>
    </w:p>
    <w:p w:rsidR="009743D6" w:rsidRDefault="009743D6" w:rsidP="007B6C7C">
      <w:r>
        <w:t xml:space="preserve">At approximately $22 million of reliability NCPC </w:t>
      </w:r>
      <w:r w:rsidRPr="00DA1B0D">
        <w:t>payments</w:t>
      </w:r>
      <w:r w:rsidR="008D7A46" w:rsidRPr="00DA1B0D">
        <w:t xml:space="preserve"> </w:t>
      </w:r>
      <w:r w:rsidR="00EF25EB" w:rsidRPr="00DA1B0D">
        <w:t>in 2009,</w:t>
      </w:r>
      <w:r w:rsidRPr="00DA1B0D">
        <w:t xml:space="preserve"> </w:t>
      </w:r>
      <w:r w:rsidR="00B2799F">
        <w:t xml:space="preserve">the current </w:t>
      </w:r>
      <w:r>
        <w:t xml:space="preserve">incentives </w:t>
      </w:r>
      <w:r w:rsidR="00B2799F">
        <w:t xml:space="preserve">are limited for </w:t>
      </w:r>
      <w:r>
        <w:t>pursu</w:t>
      </w:r>
      <w:r w:rsidR="00B2799F">
        <w:t>ing</w:t>
      </w:r>
      <w:r>
        <w:t xml:space="preserve"> transmission upgrades solely to </w:t>
      </w:r>
      <w:r w:rsidR="00B2799F">
        <w:t xml:space="preserve">reduce dependence on these generating units and </w:t>
      </w:r>
      <w:r>
        <w:t xml:space="preserve">improve the economic performance of the system. </w:t>
      </w:r>
    </w:p>
    <w:p w:rsidR="00B462A6" w:rsidRDefault="009743D6">
      <w:pPr>
        <w:pStyle w:val="Heading3"/>
      </w:pPr>
      <w:bookmarkStart w:id="498" w:name="_Toc271632256"/>
      <w:r>
        <w:t>Required Generator</w:t>
      </w:r>
      <w:r w:rsidR="00F811DF">
        <w:t>-</w:t>
      </w:r>
      <w:r>
        <w:t>Interconnection-Related Upgrades</w:t>
      </w:r>
      <w:bookmarkEnd w:id="498"/>
    </w:p>
    <w:p w:rsidR="009743D6" w:rsidRDefault="009743D6" w:rsidP="00073277">
      <w:r>
        <w:t>No significant transmission system upgrades resulted from the interconnection of generators. Most of the Generator</w:t>
      </w:r>
      <w:r w:rsidR="0006569B">
        <w:t>-</w:t>
      </w:r>
      <w:r>
        <w:t xml:space="preserve">Interconnection-Related Upgrades are fairly local to the point of interconnection of the generator. </w:t>
      </w:r>
      <w:r w:rsidRPr="0093639D">
        <w:t>The PTF upgrades</w:t>
      </w:r>
      <w:r>
        <w:t xml:space="preserve"> are identified </w:t>
      </w:r>
      <w:r w:rsidR="00D512EA">
        <w:t>i</w:t>
      </w:r>
      <w:r>
        <w:t xml:space="preserve">n the </w:t>
      </w:r>
      <w:r w:rsidRPr="00F35E0F">
        <w:rPr>
          <w:i/>
        </w:rPr>
        <w:t>RSP Project List</w:t>
      </w:r>
      <w:r>
        <w:t>.</w:t>
      </w:r>
    </w:p>
    <w:p w:rsidR="00B462A6" w:rsidRDefault="00EF25EB">
      <w:pPr>
        <w:pStyle w:val="Heading3"/>
      </w:pPr>
      <w:bookmarkStart w:id="499" w:name="_Toc271632257"/>
      <w:r w:rsidRPr="00EF25EB">
        <w:t>Elective Transmission Upgrades and Merchant Transmission</w:t>
      </w:r>
      <w:bookmarkEnd w:id="499"/>
    </w:p>
    <w:p w:rsidR="009743D6" w:rsidRPr="008D7A46" w:rsidRDefault="00135710" w:rsidP="00073277">
      <w:r w:rsidRPr="008D7A46">
        <w:t xml:space="preserve">Currently </w:t>
      </w:r>
      <w:r w:rsidR="00EF25EB" w:rsidRPr="00EF25EB">
        <w:t>six projects are Elective Transmission Upgrades or merchant transmission facilities:</w:t>
      </w:r>
    </w:p>
    <w:p w:rsidR="009743D6" w:rsidRPr="008D7A46" w:rsidRDefault="003174D8" w:rsidP="00006F93">
      <w:pPr>
        <w:pStyle w:val="Bullet-Solid"/>
      </w:pPr>
      <w:r w:rsidRPr="003174D8">
        <w:t>Two</w:t>
      </w:r>
      <w:r w:rsidR="008D7A46">
        <w:t>-</w:t>
      </w:r>
      <w:r w:rsidRPr="003174D8">
        <w:t xml:space="preserve">terminal, 1,000 MW, 500 kV, DC line between Maine Yankee substation and South Boston, MA </w:t>
      </w:r>
    </w:p>
    <w:p w:rsidR="009743D6" w:rsidRPr="008D7A46" w:rsidRDefault="00EF25EB" w:rsidP="00006F93">
      <w:pPr>
        <w:pStyle w:val="Bullet-Solid"/>
      </w:pPr>
      <w:r w:rsidRPr="00EF25EB">
        <w:t>HVDC line between Orrington, ME, and Boston, MA</w:t>
      </w:r>
    </w:p>
    <w:p w:rsidR="009743D6" w:rsidRPr="008D7A46" w:rsidRDefault="00EF25EB" w:rsidP="00006F93">
      <w:pPr>
        <w:pStyle w:val="Bullet-Solid"/>
      </w:pPr>
      <w:r w:rsidRPr="00EF25EB">
        <w:t xml:space="preserve">345/230 kV DC line between Plattsburgh, NY, </w:t>
      </w:r>
      <w:r w:rsidR="00CE038D">
        <w:t>and</w:t>
      </w:r>
      <w:r w:rsidRPr="00EF25EB">
        <w:t xml:space="preserve"> New Haven, VT</w:t>
      </w:r>
    </w:p>
    <w:p w:rsidR="009743D6" w:rsidRPr="002A06A3" w:rsidRDefault="00EF25EB" w:rsidP="00006F93">
      <w:pPr>
        <w:pStyle w:val="Bullet-Solid"/>
      </w:pPr>
      <w:r w:rsidRPr="002A06A3">
        <w:t>345 kV tie line connecting Houlton, M</w:t>
      </w:r>
      <w:r w:rsidR="00CE038D">
        <w:t>E,</w:t>
      </w:r>
      <w:r w:rsidRPr="002A06A3">
        <w:t xml:space="preserve"> and </w:t>
      </w:r>
      <w:r w:rsidR="008F66DC" w:rsidRPr="002A06A3">
        <w:t xml:space="preserve">the </w:t>
      </w:r>
      <w:r w:rsidRPr="002A06A3">
        <w:t>Maine Electric Power Company (MEPCO)</w:t>
      </w:r>
    </w:p>
    <w:p w:rsidR="009743D6" w:rsidRPr="008D7A46" w:rsidRDefault="00EF25EB" w:rsidP="00006F93">
      <w:pPr>
        <w:pStyle w:val="Bullet-Solid"/>
      </w:pPr>
      <w:r w:rsidRPr="00EF25EB">
        <w:t xml:space="preserve">345kV </w:t>
      </w:r>
      <w:r w:rsidR="008D7A46">
        <w:t>t</w:t>
      </w:r>
      <w:r w:rsidRPr="00EF25EB">
        <w:t>ie line connecting Bridgewater, M</w:t>
      </w:r>
      <w:r w:rsidR="00CE038D">
        <w:t>E,</w:t>
      </w:r>
      <w:r w:rsidRPr="00EF25EB">
        <w:t xml:space="preserve"> and MEPCO</w:t>
      </w:r>
    </w:p>
    <w:p w:rsidR="004B0730" w:rsidRDefault="00EF25EB" w:rsidP="00006F93">
      <w:r w:rsidRPr="00EF25EB">
        <w:t>These projects are all currently under study.</w:t>
      </w:r>
    </w:p>
    <w:p w:rsidR="002878A4" w:rsidRDefault="002A06A3" w:rsidP="009D1346">
      <w:pPr>
        <w:pStyle w:val="Heading2"/>
      </w:pPr>
      <w:bookmarkStart w:id="500" w:name="_Toc207531905"/>
      <w:bookmarkStart w:id="501" w:name="_Toc239157157"/>
      <w:r>
        <w:tab/>
      </w:r>
      <w:bookmarkStart w:id="502" w:name="_Toc271632258"/>
      <w:r w:rsidR="009743D6" w:rsidRPr="00D45070">
        <w:t>Summary</w:t>
      </w:r>
      <w:bookmarkEnd w:id="502"/>
    </w:p>
    <w:bookmarkEnd w:id="500"/>
    <w:bookmarkEnd w:id="501"/>
    <w:p w:rsidR="009743D6" w:rsidRPr="001A390E" w:rsidRDefault="009743D6" w:rsidP="00073277">
      <w:r>
        <w:t xml:space="preserve">To date, seven major 345 kV transmission projects have been completed in four states; one additional project has completed siting and is under construction; and four others have either completed siting, are in siting, or are expected to </w:t>
      </w:r>
      <w:r w:rsidRPr="00362C4D">
        <w:t>be in siting by the end of 2010. These projects reinforce</w:t>
      </w:r>
      <w:r>
        <w:t xml:space="preserve"> critical load pockets, such as in Southwest Connecticut and </w:t>
      </w:r>
      <w:smartTag w:uri="urn:schemas-microsoft-com:office:smarttags" w:element="City">
        <w:r>
          <w:t>Boston</w:t>
        </w:r>
      </w:smartTag>
      <w:r>
        <w:t xml:space="preserve">, and areas that have experienced significant load growth, such as </w:t>
      </w:r>
      <w:smartTag w:uri="urn:schemas-microsoft-com:office:smarttags" w:element="place">
        <w:r>
          <w:t>Northwest Vermont</w:t>
        </w:r>
      </w:smartTag>
      <w:r>
        <w:t>. These projects also include a new interconnection to New Brunswick, which increases the ability of New England to import power from Canada. The replacement of existing underwater transmission cable</w:t>
      </w:r>
      <w:r w:rsidR="00A4324F">
        <w:t>s</w:t>
      </w:r>
      <w:r>
        <w:t xml:space="preserve"> </w:t>
      </w:r>
      <w:r w:rsidRPr="00012568">
        <w:t>(the NNC) between</w:t>
      </w:r>
      <w:r>
        <w:t xml:space="preserve"> </w:t>
      </w:r>
      <w:r w:rsidRPr="006A44CA">
        <w:t>Connecticut and Long Island</w:t>
      </w:r>
      <w:r>
        <w:t xml:space="preserve"> </w:t>
      </w:r>
      <w:r w:rsidRPr="006A44CA">
        <w:t xml:space="preserve">also </w:t>
      </w:r>
      <w:r>
        <w:t xml:space="preserve">has been completed </w:t>
      </w:r>
      <w:r w:rsidRPr="001A390E">
        <w:t xml:space="preserve">recently to preserve the integrity of this tie line. </w:t>
      </w:r>
    </w:p>
    <w:p w:rsidR="009743D6" w:rsidRDefault="009743D6" w:rsidP="00073277">
      <w:r w:rsidRPr="001A390E">
        <w:t>The Maine Power Reliability Program</w:t>
      </w:r>
      <w:r w:rsidR="001A390E">
        <w:t xml:space="preserve">, for which the MPUC has approved most of the </w:t>
      </w:r>
      <w:r w:rsidR="00A4324F">
        <w:t xml:space="preserve">component </w:t>
      </w:r>
      <w:r w:rsidR="001A390E">
        <w:t>projects,</w:t>
      </w:r>
      <w:r w:rsidR="001A390E" w:rsidRPr="001A390E">
        <w:t xml:space="preserve"> </w:t>
      </w:r>
      <w:r w:rsidR="001A390E">
        <w:t xml:space="preserve">will </w:t>
      </w:r>
      <w:r w:rsidRPr="001A390E">
        <w:t>establish</w:t>
      </w:r>
      <w:r>
        <w:t xml:space="preserve"> a second </w:t>
      </w:r>
      <w:r w:rsidRPr="008A49DC">
        <w:t>345</w:t>
      </w:r>
      <w:r>
        <w:t> </w:t>
      </w:r>
      <w:r w:rsidRPr="00816C14">
        <w:t>kV line in the north from Orrington to Surowiec</w:t>
      </w:r>
      <w:r>
        <w:t xml:space="preserve">. It also will add </w:t>
      </w:r>
      <w:r w:rsidRPr="00816C14">
        <w:t>new 345 kV lines in south</w:t>
      </w:r>
      <w:r>
        <w:t>ern Maine,</w:t>
      </w:r>
      <w:r w:rsidRPr="00816C14">
        <w:t xml:space="preserve"> creat</w:t>
      </w:r>
      <w:r>
        <w:t>ing</w:t>
      </w:r>
      <w:r w:rsidRPr="00816C14">
        <w:t xml:space="preserve"> a third parallel path from Surowiec to </w:t>
      </w:r>
      <w:r>
        <w:t>Three Rivers in southern Maine</w:t>
      </w:r>
      <w:r w:rsidRPr="00816C14">
        <w:t xml:space="preserve">. </w:t>
      </w:r>
      <w:r>
        <w:t xml:space="preserve">This program will reinforce and augment the 345/115 kV transformation capability in various load centers of Maine for greater reliability to area loads. </w:t>
      </w:r>
      <w:r w:rsidRPr="00816C14">
        <w:t>While</w:t>
      </w:r>
      <w:r>
        <w:t xml:space="preserve"> these new paths provide basic infrastructure to increase transfer capability out of Maine, they also will increase the ability to move power into Maine from New Hampshire and improve the ability of the transmission system within Maine to move power into the load pockets as necessary.</w:t>
      </w:r>
    </w:p>
    <w:p w:rsidR="009743D6" w:rsidRDefault="009743D6" w:rsidP="00073277">
      <w:r>
        <w:t>The New England East–West Solution series of projects ha</w:t>
      </w:r>
      <w:r w:rsidR="00CE038D">
        <w:t>s</w:t>
      </w:r>
      <w:r>
        <w:t xml:space="preserve"> been identified to improve system reliability. RSP10 shows that the Springfield and Rhode Island components should be placed in-service as soon as possible, while</w:t>
      </w:r>
      <w:r w:rsidR="00B462A6">
        <w:t xml:space="preserve"> </w:t>
      </w:r>
      <w:r w:rsidR="00D4331C" w:rsidRPr="00D4331C">
        <w:t>the 345 kV lines planned into Connecticut (i.e., the Interstate component) and through Connecticut (the Central Connecticut component) are under further review</w:t>
      </w:r>
      <w:r w:rsidR="00B462A6" w:rsidRPr="00B462A6">
        <w:t xml:space="preserve"> </w:t>
      </w:r>
      <w:r w:rsidR="00B462A6">
        <w:t>based on the latest forecast</w:t>
      </w:r>
      <w:r w:rsidR="003C1D47">
        <w:t>,</w:t>
      </w:r>
      <w:r w:rsidR="00B462A6">
        <w:t xml:space="preserve"> FCM-obtained </w:t>
      </w:r>
      <w:r w:rsidR="00B462A6" w:rsidRPr="00D4331C">
        <w:t>resources</w:t>
      </w:r>
      <w:r w:rsidR="003C1D47">
        <w:t>, and other factors</w:t>
      </w:r>
      <w:r w:rsidR="00D4331C" w:rsidRPr="00D4331C">
        <w:t>.</w:t>
      </w:r>
      <w:r>
        <w:t xml:space="preserve"> </w:t>
      </w:r>
      <w:r w:rsidR="003C1D47">
        <w:t xml:space="preserve">The need for the Interstate Reliability Project component of NEEWS has been established, </w:t>
      </w:r>
      <w:r w:rsidR="00EB6CE6">
        <w:t>but</w:t>
      </w:r>
      <w:r w:rsidR="003C1D47">
        <w:t xml:space="preserve"> the final transmission alternatives remain under study. The need for the C</w:t>
      </w:r>
      <w:r w:rsidR="00DC2406">
        <w:t xml:space="preserve">entral </w:t>
      </w:r>
      <w:r w:rsidR="003C1D47">
        <w:t>C</w:t>
      </w:r>
      <w:r w:rsidR="00EB6CE6">
        <w:t xml:space="preserve">onnecticut Reliability </w:t>
      </w:r>
      <w:r w:rsidR="003C1D47">
        <w:t>P</w:t>
      </w:r>
      <w:r w:rsidR="00EB6CE6">
        <w:t>roject</w:t>
      </w:r>
      <w:r w:rsidR="003C1D47">
        <w:t xml:space="preserve"> is also under study.</w:t>
      </w:r>
    </w:p>
    <w:p w:rsidR="009743D6" w:rsidRDefault="009743D6" w:rsidP="00073277">
      <w:r>
        <w:t xml:space="preserve">Costs associated with second-contingency and voltage-control payments have been mitigated through transmission improvements. Additional transmission plans have been developed to further reduce the dependence </w:t>
      </w:r>
      <w:r w:rsidRPr="003D2DD9">
        <w:t xml:space="preserve">on </w:t>
      </w:r>
      <w:r>
        <w:t xml:space="preserve">generating units needed for reliability. An example is the Lower SEMA projects whereby short-term improvements already have reduced dependence on </w:t>
      </w:r>
      <w:r w:rsidRPr="003D2DD9">
        <w:t>the Cape Cod Canal</w:t>
      </w:r>
      <w:r>
        <w:t xml:space="preserve"> generating units; further long-term improvements will eliminate the need to commit generation for second-contingency protection. </w:t>
      </w:r>
    </w:p>
    <w:p w:rsidR="009743D6" w:rsidRDefault="00EF25EB" w:rsidP="00073277">
      <w:r w:rsidRPr="005C0E6B">
        <w:t>From 2002 through 20</w:t>
      </w:r>
      <w:r w:rsidR="00AE719C">
        <w:t>10</w:t>
      </w:r>
      <w:r w:rsidRPr="005C0E6B">
        <w:t>, 3</w:t>
      </w:r>
      <w:r w:rsidR="005C0E6B" w:rsidRPr="005C0E6B">
        <w:t>41</w:t>
      </w:r>
      <w:r w:rsidRPr="005C0E6B">
        <w:t xml:space="preserve"> projects will have been put into service, with an investment totaling approximately $4.3 billion.</w:t>
      </w:r>
      <w:r w:rsidRPr="005C0E6B">
        <w:rPr>
          <w:rStyle w:val="FootnoteReference"/>
          <w:sz w:val="22"/>
        </w:rPr>
        <w:footnoteReference w:id="165"/>
      </w:r>
      <w:r w:rsidRPr="005C0E6B">
        <w:t xml:space="preserve"> </w:t>
      </w:r>
      <w:r w:rsidR="009743D6" w:rsidRPr="005C0E6B">
        <w:t>Additional</w:t>
      </w:r>
      <w:r w:rsidR="009743D6" w:rsidRPr="000A7EAA">
        <w:t xml:space="preserve"> projects</w:t>
      </w:r>
      <w:r w:rsidR="00D512EA">
        <w:t>,</w:t>
      </w:r>
      <w:r w:rsidR="009743D6" w:rsidRPr="000A7EAA">
        <w:t xml:space="preserve"> totaling approximately $5 billion</w:t>
      </w:r>
      <w:r w:rsidR="00D512EA">
        <w:t>,</w:t>
      </w:r>
      <w:r w:rsidR="009743D6" w:rsidRPr="000A7EAA">
        <w:t xml:space="preserve"> are</w:t>
      </w:r>
      <w:r w:rsidR="009743D6" w:rsidRPr="00B850D9">
        <w:t xml:space="preserve"> summarized in the </w:t>
      </w:r>
      <w:r w:rsidR="009743D6">
        <w:rPr>
          <w:i/>
        </w:rPr>
        <w:t>RSP</w:t>
      </w:r>
      <w:r w:rsidR="009743D6" w:rsidRPr="00B850D9">
        <w:rPr>
          <w:i/>
        </w:rPr>
        <w:t xml:space="preserve"> Project List</w:t>
      </w:r>
      <w:r w:rsidR="009743D6" w:rsidRPr="00B850D9">
        <w:t>, which is updated periodically.</w:t>
      </w:r>
      <w:r w:rsidR="009743D6" w:rsidRPr="00D512EA">
        <w:rPr>
          <w:rStyle w:val="FootnoteReference"/>
          <w:sz w:val="22"/>
        </w:rPr>
        <w:footnoteReference w:id="166"/>
      </w:r>
      <w:r w:rsidR="009743D6" w:rsidRPr="00D512EA">
        <w:t xml:space="preserve"> </w:t>
      </w:r>
      <w:r w:rsidR="009743D6" w:rsidRPr="00B850D9">
        <w:t>All transmission</w:t>
      </w:r>
      <w:r w:rsidR="009743D6" w:rsidRPr="006A1968">
        <w:t xml:space="preserve"> projects are developed to serve the entire region reliably and are fully coordinated regionally and interregionally. Most projects on the </w:t>
      </w:r>
      <w:r w:rsidR="009743D6">
        <w:rPr>
          <w:i/>
        </w:rPr>
        <w:t>RSP</w:t>
      </w:r>
      <w:r w:rsidR="009743D6" w:rsidRPr="006A1968">
        <w:rPr>
          <w:i/>
        </w:rPr>
        <w:t xml:space="preserve"> Project List </w:t>
      </w:r>
      <w:r w:rsidR="009743D6" w:rsidRPr="006A1968">
        <w:t>remain</w:t>
      </w:r>
      <w:r w:rsidR="009743D6">
        <w:t xml:space="preserve"> subject to regional </w:t>
      </w:r>
      <w:r w:rsidR="009743D6" w:rsidRPr="001069C7">
        <w:t>cost allocation.</w:t>
      </w:r>
      <w:bookmarkEnd w:id="491"/>
      <w:bookmarkEnd w:id="492"/>
      <w:bookmarkEnd w:id="493"/>
    </w:p>
    <w:p w:rsidR="006A1EF1" w:rsidRDefault="00D01B70" w:rsidP="00073277">
      <w:pPr>
        <w:sectPr w:rsidR="006A1EF1" w:rsidSect="00015282">
          <w:pgSz w:w="12240" w:h="15840"/>
          <w:pgMar w:top="1350" w:right="1440" w:bottom="1440" w:left="1440" w:header="720" w:footer="720" w:gutter="0"/>
          <w:cols w:space="720"/>
          <w:docGrid w:linePitch="360"/>
        </w:sectPr>
      </w:pPr>
      <w:r>
        <w:t>As a result of transmission expansion, t</w:t>
      </w:r>
      <w:r w:rsidR="009743D6">
        <w:t xml:space="preserve">he ISO meets all required reliability requirements, and little congestion is evident on the system. </w:t>
      </w:r>
    </w:p>
    <w:p w:rsidR="00A156AB" w:rsidRPr="00876D6A" w:rsidRDefault="00A156AB" w:rsidP="00DF39BB">
      <w:pPr>
        <w:pStyle w:val="Heading1"/>
      </w:pPr>
      <w:bookmarkStart w:id="503" w:name="_Ref172357324"/>
      <w:bookmarkStart w:id="504" w:name="_Toc176245017"/>
      <w:bookmarkStart w:id="505" w:name="_Toc201669946"/>
      <w:bookmarkStart w:id="506" w:name="_Ref202177543"/>
      <w:bookmarkStart w:id="507" w:name="_Ref202520509"/>
      <w:bookmarkStart w:id="508" w:name="_Toc207531845"/>
      <w:r>
        <w:br/>
      </w:r>
      <w:bookmarkStart w:id="509" w:name="_Toc239157083"/>
      <w:bookmarkStart w:id="510" w:name="_Ref262118338"/>
      <w:bookmarkStart w:id="511" w:name="_Ref266552266"/>
      <w:bookmarkStart w:id="512" w:name="_Ref267384781"/>
      <w:bookmarkStart w:id="513" w:name="_Toc271632259"/>
      <w:r w:rsidRPr="00720208">
        <w:t>Fuel Diversi</w:t>
      </w:r>
      <w:bookmarkEnd w:id="503"/>
      <w:bookmarkEnd w:id="504"/>
      <w:r w:rsidRPr="00720208">
        <w:t>ty</w:t>
      </w:r>
      <w:bookmarkEnd w:id="505"/>
      <w:bookmarkEnd w:id="506"/>
      <w:bookmarkEnd w:id="507"/>
      <w:bookmarkEnd w:id="508"/>
      <w:bookmarkEnd w:id="509"/>
      <w:bookmarkEnd w:id="510"/>
      <w:bookmarkEnd w:id="511"/>
      <w:bookmarkEnd w:id="512"/>
      <w:bookmarkEnd w:id="513"/>
    </w:p>
    <w:p w:rsidR="00A156AB" w:rsidRPr="00EC4AFA" w:rsidRDefault="00832C7A" w:rsidP="00073277">
      <w:r>
        <w:rPr>
          <w:noProof/>
        </w:rPr>
        <w:pict>
          <v:shape id="_x0000_s1032" type="#_x0000_t202" style="position:absolute;margin-left:2584.95pt;margin-top:55.7pt;width:183.6pt;height:265.55pt;z-index:251714560;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2" inset="8.64pt,8.64pt,8.64pt,8.64pt">
              <w:txbxContent>
                <w:p w:rsidR="003C78A4" w:rsidRPr="008D163C" w:rsidRDefault="003C78A4">
                  <w:pPr>
                    <w:pStyle w:val="BodyText1"/>
                  </w:pPr>
                  <w:r w:rsidRPr="008D163C">
                    <w:t xml:space="preserve"> “</w:t>
                  </w:r>
                  <w:r>
                    <w:t>[T]</w:t>
                  </w:r>
                  <w:r w:rsidRPr="008D163C">
                    <w:t>he RSP shall identify: (ii)</w:t>
                  </w:r>
                  <w:r>
                    <w:t xml:space="preserve"> </w:t>
                  </w:r>
                  <w:r w:rsidRPr="008D163C">
                    <w:t>the requirements and characteristics of the types of resources that may satisfy PTF system reliability and market efficiency needs to provide stakeholders an opportunity to develop and propose efficient market responses to meet the needs identified in Needs Assessments</w:t>
                  </w:r>
                  <w:r>
                    <w:t>.” [T]</w:t>
                  </w:r>
                  <w:r w:rsidRPr="008D163C">
                    <w:t>he RSP shall also provide information on a broad variety of power system requirements that serves as input for reviewing the design of the markets and the overall economic performance of the system.“</w:t>
                  </w:r>
                  <w:r>
                    <w:t xml:space="preserve"> </w:t>
                  </w:r>
                  <w:r w:rsidRPr="008D163C">
                    <w:t>(Attachment K, Overview)</w:t>
                  </w:r>
                </w:p>
                <w:p w:rsidR="003C78A4" w:rsidRPr="008D163C" w:rsidRDefault="003C78A4">
                  <w:pPr>
                    <w:pStyle w:val="BodyText1"/>
                  </w:pPr>
                  <w:r w:rsidRPr="008D163C">
                    <w:t xml:space="preserve"> “The RSP shall b</w:t>
                  </w:r>
                  <w:r>
                    <w:t>e designed and implemented to: . . .</w:t>
                  </w:r>
                  <w:r w:rsidRPr="008D163C">
                    <w:t>(ii) identify facilities that are necessary to meet Planning and Reliability Criteria; (iii) avoid the imposition of unreasonable costs upon any Transmission Owner, Transmission Customer or other user of a transmission facility; and (vi) properly coordinate with market responses, including, but not limited to generation, merchant transmission and demand-side responses.” (Attachment K, §</w:t>
                  </w:r>
                  <w:r>
                    <w:t> </w:t>
                  </w:r>
                  <w:r w:rsidRPr="008D163C">
                    <w:t>3.4)</w:t>
                  </w:r>
                </w:p>
                <w:p w:rsidR="003C78A4" w:rsidRPr="00CB1528" w:rsidRDefault="003C78A4" w:rsidP="00F94712">
                  <w:pPr>
                    <w:rPr>
                      <w:i/>
                      <w:szCs w:val="14"/>
                    </w:rPr>
                  </w:pPr>
                </w:p>
              </w:txbxContent>
            </v:textbox>
            <w10:wrap type="square" anchorx="margin" anchory="margin"/>
          </v:shape>
        </w:pict>
      </w:r>
      <w:r w:rsidR="00A156AB" w:rsidRPr="001F4D2D">
        <w:t xml:space="preserve">For </w:t>
      </w:r>
      <w:r w:rsidR="00A156AB">
        <w:t>at least</w:t>
      </w:r>
      <w:r w:rsidR="00A156AB" w:rsidRPr="001F4D2D">
        <w:t xml:space="preserve"> 10 years, </w:t>
      </w:r>
      <w:r w:rsidR="00A156AB">
        <w:t>New England’s power generation sector has had issues associated with the significant lack of fuel diversity. But actions over the past few years have improved the reliability of the fuel supply and associated generator performance.</w:t>
      </w:r>
      <w:r w:rsidR="00A156AB" w:rsidRPr="00D93D8A">
        <w:t xml:space="preserve"> </w:t>
      </w:r>
      <w:r w:rsidR="00A156AB" w:rsidRPr="00EC4AFA">
        <w:t xml:space="preserve">Although the region </w:t>
      </w:r>
      <w:r w:rsidR="00A156AB">
        <w:t xml:space="preserve">remains heavily dependent on </w:t>
      </w:r>
      <w:r w:rsidR="00A156AB" w:rsidRPr="00EC4AFA">
        <w:t xml:space="preserve">natural gas as its primary fuel for power generation, recent natural gas infrastructure projects </w:t>
      </w:r>
      <w:r w:rsidR="009C20F6">
        <w:t>should</w:t>
      </w:r>
      <w:r w:rsidR="00A156AB" w:rsidRPr="00EC4AFA">
        <w:t xml:space="preserve"> satisfy the needs of New England’s gas and power markets for years to come. These improvements include </w:t>
      </w:r>
      <w:r w:rsidR="00A156AB">
        <w:t xml:space="preserve">the </w:t>
      </w:r>
      <w:r w:rsidR="00A156AB" w:rsidRPr="00EC4AFA">
        <w:t xml:space="preserve">diversification of </w:t>
      </w:r>
      <w:r w:rsidR="00A156AB">
        <w:t xml:space="preserve">natural gas supply sources that include </w:t>
      </w:r>
      <w:r w:rsidR="00A156AB" w:rsidRPr="00EC4AFA">
        <w:t xml:space="preserve">new </w:t>
      </w:r>
      <w:r w:rsidR="00A4324F">
        <w:t xml:space="preserve">fields </w:t>
      </w:r>
      <w:r w:rsidR="00A156AB" w:rsidRPr="00EC4AFA">
        <w:t>and expanded natural gas pipelines, storage, and liquefied natural gas (LNG)</w:t>
      </w:r>
      <w:r w:rsidR="00A4324F">
        <w:t xml:space="preserve"> import </w:t>
      </w:r>
      <w:r w:rsidR="00A156AB" w:rsidRPr="00EC4AFA">
        <w:t>facilities. The improvements in the regional natural gas system</w:t>
      </w:r>
      <w:r w:rsidR="00A156AB">
        <w:t>,</w:t>
      </w:r>
      <w:r w:rsidR="00A156AB" w:rsidRPr="00EC4AFA">
        <w:t xml:space="preserve"> combined with the </w:t>
      </w:r>
      <w:r w:rsidR="00A156AB">
        <w:t>addition of</w:t>
      </w:r>
      <w:r w:rsidR="00A156AB" w:rsidRPr="00EC4AFA">
        <w:t xml:space="preserve"> both demand-side and renewable resources</w:t>
      </w:r>
      <w:r w:rsidR="00A156AB">
        <w:t>,</w:t>
      </w:r>
      <w:r w:rsidR="00A156AB" w:rsidRPr="00EC4AFA">
        <w:t xml:space="preserve"> </w:t>
      </w:r>
      <w:r w:rsidR="00A156AB">
        <w:t xml:space="preserve">are expected to </w:t>
      </w:r>
      <w:r w:rsidR="00A4324F">
        <w:t>mitigate</w:t>
      </w:r>
      <w:r w:rsidR="00A156AB" w:rsidRPr="00EC4AFA">
        <w:t xml:space="preserve"> historical </w:t>
      </w:r>
      <w:r w:rsidR="00A156AB">
        <w:t xml:space="preserve">reliability </w:t>
      </w:r>
      <w:r w:rsidR="00A156AB" w:rsidRPr="00EC4AFA">
        <w:t xml:space="preserve">concerns </w:t>
      </w:r>
      <w:r w:rsidR="00A156AB">
        <w:t>over the lack of fuel diversity within New England</w:t>
      </w:r>
      <w:r w:rsidR="00A156AB" w:rsidRPr="00EC4AFA">
        <w:t>.</w:t>
      </w:r>
    </w:p>
    <w:p w:rsidR="00A156AB" w:rsidRDefault="00A156AB" w:rsidP="00073277">
      <w:r w:rsidRPr="00342786">
        <w:t xml:space="preserve">This section discusses the status of issues </w:t>
      </w:r>
      <w:r>
        <w:t>associated with fuel diversity in</w:t>
      </w:r>
      <w:r w:rsidRPr="00342786">
        <w:t xml:space="preserve"> New England and presents statistics on the current fuel mix and the amounts of electricity these fuels have generated. </w:t>
      </w:r>
      <w:r>
        <w:t xml:space="preserve">The section also summarizes regional enhancements to the </w:t>
      </w:r>
      <w:r w:rsidRPr="00342786">
        <w:t xml:space="preserve">natural gas system </w:t>
      </w:r>
      <w:r w:rsidRPr="00335BF3">
        <w:t>infrastructure, provides an electric</w:t>
      </w:r>
      <w:r>
        <w:t>ity</w:t>
      </w:r>
      <w:r w:rsidRPr="00335BF3">
        <w:t xml:space="preserve"> sector outlook</w:t>
      </w:r>
      <w:r w:rsidRPr="00342786">
        <w:t xml:space="preserve"> of actions that are addressing fuel reliability issues</w:t>
      </w:r>
      <w:r w:rsidRPr="00335BF3">
        <w:t xml:space="preserve">, and identifies some </w:t>
      </w:r>
      <w:r w:rsidRPr="00342786">
        <w:t xml:space="preserve">fuel-related </w:t>
      </w:r>
      <w:r>
        <w:t>risks remaining within</w:t>
      </w:r>
      <w:r w:rsidRPr="00335BF3">
        <w:t xml:space="preserve"> the generation sector that </w:t>
      </w:r>
      <w:r>
        <w:t>have been o</w:t>
      </w:r>
      <w:r w:rsidRPr="00335BF3">
        <w:t xml:space="preserve">r currently </w:t>
      </w:r>
      <w:r>
        <w:t xml:space="preserve">are </w:t>
      </w:r>
      <w:r w:rsidRPr="00335BF3">
        <w:t>being addressed.</w:t>
      </w:r>
    </w:p>
    <w:p w:rsidR="00A156AB" w:rsidRPr="002A2741" w:rsidRDefault="00E43895" w:rsidP="003C573C">
      <w:r w:rsidRPr="00AE75AD">
        <w:t>Attachment K requires</w:t>
      </w:r>
      <w:r w:rsidR="00A156AB" w:rsidRPr="00AE75AD">
        <w:t xml:space="preserve"> the RSP</w:t>
      </w:r>
      <w:r w:rsidR="00A156AB" w:rsidRPr="002A2741">
        <w:t xml:space="preserve"> to specify the physical characteristics of solutions that can meet system needs, including general locations, operating characteristics, and type</w:t>
      </w:r>
      <w:r w:rsidR="005115F0">
        <w:t>s</w:t>
      </w:r>
      <w:r w:rsidR="00A156AB" w:rsidRPr="002A2741">
        <w:t xml:space="preserve"> of supply-side or demand-side resources. Attachment K also requires the ISO to consider market responses within its planning process.</w:t>
      </w:r>
    </w:p>
    <w:p w:rsidR="002878A4" w:rsidRDefault="00A156AB" w:rsidP="009D1346">
      <w:pPr>
        <w:pStyle w:val="Heading2"/>
      </w:pPr>
      <w:bookmarkStart w:id="514" w:name="_Toc176245018"/>
      <w:bookmarkStart w:id="515" w:name="_Toc201669947"/>
      <w:bookmarkStart w:id="516" w:name="_Toc207531846"/>
      <w:bookmarkStart w:id="517" w:name="_Toc239157084"/>
      <w:bookmarkStart w:id="518" w:name="_Toc271632260"/>
      <w:r>
        <w:t xml:space="preserve">System </w:t>
      </w:r>
      <w:r w:rsidRPr="00D01B70">
        <w:t>Capacity</w:t>
      </w:r>
      <w:r w:rsidR="00992258" w:rsidRPr="00D01B70">
        <w:t xml:space="preserve"> for 2010</w:t>
      </w:r>
      <w:r w:rsidRPr="00D01B70">
        <w:t xml:space="preserve"> and</w:t>
      </w:r>
      <w:r>
        <w:t xml:space="preserve"> 2009 Fuel Mix</w:t>
      </w:r>
      <w:bookmarkEnd w:id="514"/>
      <w:bookmarkEnd w:id="515"/>
      <w:bookmarkEnd w:id="516"/>
      <w:bookmarkEnd w:id="517"/>
      <w:bookmarkEnd w:id="518"/>
    </w:p>
    <w:p w:rsidR="00A156AB" w:rsidRPr="000979E8" w:rsidRDefault="00832C7A" w:rsidP="00073277">
      <w:r>
        <w:fldChar w:fldCharType="begin"/>
      </w:r>
      <w:r w:rsidR="00992258">
        <w:instrText xml:space="preserve"> REF _Ref262120016 \h </w:instrText>
      </w:r>
      <w:r>
        <w:fldChar w:fldCharType="separate"/>
      </w:r>
      <w:r w:rsidR="00E5699E" w:rsidRPr="000979E8">
        <w:t>Figure </w:t>
      </w:r>
      <w:r w:rsidR="00E5699E">
        <w:rPr>
          <w:noProof/>
        </w:rPr>
        <w:t>7</w:t>
      </w:r>
      <w:r w:rsidR="00E5699E">
        <w:noBreakHyphen/>
      </w:r>
      <w:r w:rsidR="00E5699E">
        <w:rPr>
          <w:noProof/>
        </w:rPr>
        <w:t>1</w:t>
      </w:r>
      <w:r>
        <w:fldChar w:fldCharType="end"/>
      </w:r>
      <w:r w:rsidR="00A156AB" w:rsidRPr="000979E8">
        <w:t xml:space="preserve"> depicts New England’s generation capacity mix by primary fuel type and percentage. </w:t>
      </w:r>
      <w:r w:rsidR="00B462A6">
        <w:t>On the b</w:t>
      </w:r>
      <w:r w:rsidR="00A156AB" w:rsidRPr="000979E8">
        <w:t>as</w:t>
      </w:r>
      <w:r w:rsidR="00B462A6">
        <w:t xml:space="preserve">is </w:t>
      </w:r>
      <w:r w:rsidR="00A156AB" w:rsidRPr="000979E8">
        <w:t>o</w:t>
      </w:r>
      <w:r w:rsidR="00B462A6">
        <w:t>f</w:t>
      </w:r>
      <w:r w:rsidR="00A156AB" w:rsidRPr="000979E8">
        <w:t xml:space="preserve"> the ISO’s </w:t>
      </w:r>
      <w:r w:rsidR="009C20F6">
        <w:t xml:space="preserve">2010 </w:t>
      </w:r>
      <w:r w:rsidR="00A156AB" w:rsidRPr="000979E8">
        <w:t xml:space="preserve">CELT Report, the total 2010 summer installed capacity is forecast to be </w:t>
      </w:r>
      <w:r w:rsidR="00A156AB">
        <w:t>31,965</w:t>
      </w:r>
      <w:r w:rsidR="001347C5">
        <w:t> </w:t>
      </w:r>
      <w:r w:rsidR="00A156AB" w:rsidRPr="000979E8">
        <w:t>MW with the following fuel mix:</w:t>
      </w:r>
      <w:r w:rsidR="00A156AB" w:rsidRPr="00E66749">
        <w:rPr>
          <w:rStyle w:val="FootnoteReference"/>
          <w:sz w:val="22"/>
        </w:rPr>
        <w:footnoteReference w:id="167"/>
      </w:r>
      <w:r w:rsidR="00A156AB" w:rsidRPr="00E66749">
        <w:t xml:space="preserve"> </w:t>
      </w:r>
    </w:p>
    <w:p w:rsidR="00A156AB" w:rsidRPr="000979E8" w:rsidRDefault="00A156AB" w:rsidP="003C573C">
      <w:pPr>
        <w:pStyle w:val="Bullet-Solid"/>
      </w:pPr>
      <w:r w:rsidRPr="000979E8">
        <w:t xml:space="preserve">Fossil-fuel-based generation </w:t>
      </w:r>
      <w:r>
        <w:t xml:space="preserve">(22,803 MW) </w:t>
      </w:r>
      <w:r w:rsidRPr="000979E8">
        <w:t>accounts for 71.3% of the installed capacity within the region</w:t>
      </w:r>
      <w:r w:rsidR="008E43F9">
        <w:t>.</w:t>
      </w:r>
    </w:p>
    <w:p w:rsidR="00A156AB" w:rsidRPr="00AE719C" w:rsidRDefault="00A156AB" w:rsidP="003C573C">
      <w:pPr>
        <w:pStyle w:val="Bullet-Solid"/>
      </w:pPr>
      <w:r w:rsidRPr="00AE719C">
        <w:t xml:space="preserve">Natural-gas-fired generation represents the largest </w:t>
      </w:r>
      <w:r w:rsidR="00EF25EB" w:rsidRPr="00AE719C">
        <w:t>component of total installed capacity</w:t>
      </w:r>
      <w:r w:rsidR="005115F0" w:rsidRPr="00AE719C">
        <w:t xml:space="preserve"> </w:t>
      </w:r>
      <w:r w:rsidRPr="00AE719C">
        <w:t>at 41.2% (13,181 MW).</w:t>
      </w:r>
    </w:p>
    <w:p w:rsidR="00A156AB" w:rsidRPr="00AE719C" w:rsidRDefault="00A156AB" w:rsidP="003C573C">
      <w:pPr>
        <w:pStyle w:val="Bullet-Solid"/>
      </w:pPr>
      <w:r w:rsidRPr="00AE719C">
        <w:t>Oil-fired generation is second at 21.5% (6,866 MW).</w:t>
      </w:r>
    </w:p>
    <w:p w:rsidR="00A156AB" w:rsidRPr="00AE719C" w:rsidRDefault="00A156AB" w:rsidP="003C573C">
      <w:pPr>
        <w:pStyle w:val="Bullet-Solid"/>
      </w:pPr>
      <w:r w:rsidRPr="00AE719C">
        <w:t>Nuclear generation is third at 14.5% (4,629 MW).</w:t>
      </w:r>
    </w:p>
    <w:p w:rsidR="00A156AB" w:rsidRPr="00AE719C" w:rsidRDefault="00A156AB" w:rsidP="003C573C">
      <w:pPr>
        <w:pStyle w:val="Bullet-Solid"/>
      </w:pPr>
      <w:r w:rsidRPr="00AE719C">
        <w:t>Coal-fired generation is fourth at 8.6% (2,756 MW).</w:t>
      </w:r>
    </w:p>
    <w:p w:rsidR="00A156AB" w:rsidRPr="00AE719C" w:rsidRDefault="00A156AB" w:rsidP="003C573C">
      <w:pPr>
        <w:pStyle w:val="Bullet-Solid"/>
      </w:pPr>
      <w:r w:rsidRPr="00AE719C">
        <w:t>Hydroelectric capacity (1,712 MW) and pumped-storage capacity (1,679 MW) are at 5.4% and 5.2%, respectively.</w:t>
      </w:r>
    </w:p>
    <w:p w:rsidR="00A156AB" w:rsidRPr="00AE719C" w:rsidRDefault="00A156AB" w:rsidP="003C573C">
      <w:pPr>
        <w:pStyle w:val="Bullet-Solid"/>
        <w:spacing w:after="240"/>
      </w:pPr>
      <w:r w:rsidRPr="00AE719C">
        <w:t xml:space="preserve">Other renewable resources are at 3.6% (1,142 </w:t>
      </w:r>
      <w:r w:rsidR="00D4331C" w:rsidRPr="00D4331C">
        <w:t>MW).</w:t>
      </w:r>
      <w:r w:rsidR="00D4331C" w:rsidRPr="00E66749">
        <w:rPr>
          <w:rStyle w:val="FootnoteReference"/>
          <w:sz w:val="22"/>
        </w:rPr>
        <w:footnoteReference w:id="168"/>
      </w:r>
    </w:p>
    <w:p w:rsidR="00A156AB" w:rsidDel="0033430C" w:rsidRDefault="00A156AB" w:rsidP="009E7CC9">
      <w:pPr>
        <w:spacing w:after="0" w:line="240" w:lineRule="auto"/>
        <w:jc w:val="center"/>
      </w:pPr>
      <w:r>
        <w:rPr>
          <w:noProof/>
        </w:rPr>
        <w:drawing>
          <wp:inline distT="0" distB="0" distL="0" distR="0">
            <wp:extent cx="5749983" cy="2515697"/>
            <wp:effectExtent l="19050" t="19050" r="22167" b="17953"/>
            <wp:docPr id="7"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753972" cy="2517442"/>
                    </a:xfrm>
                    <a:prstGeom prst="rect">
                      <a:avLst/>
                    </a:prstGeom>
                    <a:noFill/>
                    <a:ln w="3175">
                      <a:solidFill>
                        <a:schemeClr val="tx1"/>
                      </a:solidFill>
                      <a:miter lim="800000"/>
                      <a:headEnd/>
                      <a:tailEnd/>
                    </a:ln>
                  </pic:spPr>
                </pic:pic>
              </a:graphicData>
            </a:graphic>
          </wp:inline>
        </w:drawing>
      </w:r>
    </w:p>
    <w:p w:rsidR="00A12257" w:rsidRDefault="00A156AB" w:rsidP="00B6045B">
      <w:pPr>
        <w:pStyle w:val="Caption-Figure"/>
        <w:spacing w:before="60" w:after="80"/>
        <w:ind w:left="180" w:right="180"/>
      </w:pPr>
      <w:bookmarkStart w:id="519" w:name="_Ref262120016"/>
      <w:bookmarkStart w:id="520" w:name="_Toc271552377"/>
      <w:r w:rsidRPr="000979E8">
        <w:t>Figure </w:t>
      </w:r>
      <w:r w:rsidR="00832C7A">
        <w:fldChar w:fldCharType="begin"/>
      </w:r>
      <w:r w:rsidR="00807C8D">
        <w:instrText xml:space="preserve"> STYLEREF 1 \s </w:instrText>
      </w:r>
      <w:r w:rsidR="00832C7A">
        <w:fldChar w:fldCharType="separate"/>
      </w:r>
      <w:r w:rsidR="00E5699E">
        <w:rPr>
          <w:noProof/>
        </w:rPr>
        <w:t>7</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519"/>
      <w:r w:rsidRPr="000979E8">
        <w:t xml:space="preserve">: Generation </w:t>
      </w:r>
      <w:r>
        <w:t>c</w:t>
      </w:r>
      <w:r w:rsidRPr="000979E8">
        <w:t xml:space="preserve">apacity </w:t>
      </w:r>
      <w:r>
        <w:t>m</w:t>
      </w:r>
      <w:r w:rsidRPr="000979E8">
        <w:t xml:space="preserve">ix by </w:t>
      </w:r>
      <w:r>
        <w:t>p</w:t>
      </w:r>
      <w:r w:rsidRPr="000979E8">
        <w:t xml:space="preserve">rimary </w:t>
      </w:r>
      <w:r>
        <w:t>f</w:t>
      </w:r>
      <w:r w:rsidRPr="000979E8">
        <w:t xml:space="preserve">uel </w:t>
      </w:r>
      <w:r>
        <w:t>t</w:t>
      </w:r>
      <w:r w:rsidRPr="000979E8">
        <w:t xml:space="preserve">ype, 2010 </w:t>
      </w:r>
      <w:r>
        <w:t>s</w:t>
      </w:r>
      <w:r w:rsidRPr="000979E8">
        <w:t xml:space="preserve">ummer </w:t>
      </w:r>
      <w:r>
        <w:t>r</w:t>
      </w:r>
      <w:r w:rsidRPr="000979E8">
        <w:t>atings (MW and %).</w:t>
      </w:r>
      <w:bookmarkEnd w:id="520"/>
    </w:p>
    <w:p w:rsidR="00AD6865" w:rsidRDefault="00A156AB" w:rsidP="00B6045B">
      <w:pPr>
        <w:spacing w:line="240" w:lineRule="auto"/>
        <w:ind w:left="180" w:right="180"/>
        <w:rPr>
          <w:rFonts w:ascii="Arial" w:hAnsi="Arial" w:cs="Arial"/>
          <w:sz w:val="16"/>
          <w:szCs w:val="16"/>
        </w:rPr>
      </w:pPr>
      <w:r w:rsidRPr="003C573C">
        <w:rPr>
          <w:rFonts w:ascii="Arial" w:hAnsi="Arial" w:cs="Arial"/>
          <w:b/>
          <w:sz w:val="16"/>
          <w:szCs w:val="16"/>
        </w:rPr>
        <w:t>Note:</w:t>
      </w:r>
      <w:r w:rsidRPr="003C573C">
        <w:rPr>
          <w:rFonts w:ascii="Arial" w:hAnsi="Arial" w:cs="Arial"/>
          <w:sz w:val="16"/>
          <w:szCs w:val="16"/>
        </w:rPr>
        <w:t xml:space="preserve"> The “Other </w:t>
      </w:r>
      <w:r w:rsidRPr="00D01B70">
        <w:rPr>
          <w:rFonts w:ascii="Arial" w:hAnsi="Arial" w:cs="Arial"/>
          <w:sz w:val="16"/>
          <w:szCs w:val="16"/>
        </w:rPr>
        <w:t>Renewables” category of fuel sources includes landfill</w:t>
      </w:r>
      <w:r w:rsidRPr="003C573C">
        <w:rPr>
          <w:rFonts w:ascii="Arial" w:hAnsi="Arial" w:cs="Arial"/>
          <w:sz w:val="16"/>
          <w:szCs w:val="16"/>
        </w:rPr>
        <w:t xml:space="preserve"> gas, other </w:t>
      </w:r>
      <w:r w:rsidR="00D4331C" w:rsidRPr="00D4331C">
        <w:rPr>
          <w:rFonts w:ascii="Arial" w:hAnsi="Arial" w:cs="Arial"/>
          <w:sz w:val="16"/>
          <w:szCs w:val="16"/>
        </w:rPr>
        <w:t>biomass gas</w:t>
      </w:r>
      <w:r w:rsidR="00205075" w:rsidRPr="00205075">
        <w:rPr>
          <w:rFonts w:ascii="Arial" w:hAnsi="Arial" w:cs="Arial"/>
          <w:sz w:val="16"/>
          <w:szCs w:val="16"/>
        </w:rPr>
        <w:t>, refuse (municipal solid waste), wood and wood-waste solids, wind, solar, black liquor, and tire-derived fuels</w:t>
      </w:r>
      <w:r w:rsidR="00A85F06" w:rsidRPr="00A85F06">
        <w:rPr>
          <w:rFonts w:ascii="Arial" w:hAnsi="Arial" w:cs="Arial"/>
          <w:sz w:val="16"/>
          <w:szCs w:val="16"/>
        </w:rPr>
        <w:t>.</w:t>
      </w:r>
      <w:r w:rsidR="00A95A48">
        <w:rPr>
          <w:rFonts w:ascii="Arial" w:hAnsi="Arial" w:cs="Arial"/>
          <w:sz w:val="16"/>
          <w:szCs w:val="16"/>
        </w:rPr>
        <w:t xml:space="preserve"> </w:t>
      </w:r>
      <w:r w:rsidR="00D4331C" w:rsidRPr="00D4331C">
        <w:rPr>
          <w:rFonts w:ascii="Arial" w:hAnsi="Arial" w:cs="Arial"/>
          <w:i/>
          <w:sz w:val="16"/>
          <w:szCs w:val="16"/>
        </w:rPr>
        <w:t>Black liquor</w:t>
      </w:r>
      <w:r w:rsidR="00D01B70" w:rsidRPr="00D01B70">
        <w:rPr>
          <w:rFonts w:ascii="Arial" w:hAnsi="Arial" w:cs="Arial"/>
          <w:sz w:val="16"/>
          <w:szCs w:val="16"/>
        </w:rPr>
        <w:t xml:space="preserve"> is the spent cooking liquor </w:t>
      </w:r>
      <w:r w:rsidR="00044D22">
        <w:rPr>
          <w:rFonts w:ascii="Arial" w:hAnsi="Arial" w:cs="Arial"/>
          <w:sz w:val="16"/>
          <w:szCs w:val="16"/>
        </w:rPr>
        <w:t xml:space="preserve">that results from </w:t>
      </w:r>
      <w:r w:rsidR="004E503C">
        <w:rPr>
          <w:rFonts w:ascii="Arial" w:hAnsi="Arial" w:cs="Arial"/>
          <w:sz w:val="16"/>
          <w:szCs w:val="16"/>
        </w:rPr>
        <w:t xml:space="preserve">the process of </w:t>
      </w:r>
      <w:r w:rsidR="00044D22">
        <w:rPr>
          <w:rFonts w:ascii="Arial" w:hAnsi="Arial" w:cs="Arial"/>
          <w:sz w:val="16"/>
          <w:szCs w:val="16"/>
        </w:rPr>
        <w:t>converting wood to wood pulp</w:t>
      </w:r>
      <w:r w:rsidR="004E503C">
        <w:rPr>
          <w:rFonts w:ascii="Arial" w:hAnsi="Arial" w:cs="Arial"/>
          <w:sz w:val="16"/>
          <w:szCs w:val="16"/>
        </w:rPr>
        <w:t xml:space="preserve"> </w:t>
      </w:r>
      <w:r w:rsidR="00D01B70" w:rsidRPr="00D01B70">
        <w:rPr>
          <w:rFonts w:ascii="Arial" w:hAnsi="Arial" w:cs="Arial"/>
          <w:sz w:val="16"/>
          <w:szCs w:val="16"/>
        </w:rPr>
        <w:t>to free the cellulose fib</w:t>
      </w:r>
      <w:r w:rsidR="00D01B70">
        <w:rPr>
          <w:rFonts w:ascii="Arial" w:hAnsi="Arial" w:cs="Arial"/>
          <w:sz w:val="16"/>
          <w:szCs w:val="16"/>
        </w:rPr>
        <w:t>ers</w:t>
      </w:r>
      <w:r w:rsidR="00D01B70" w:rsidRPr="00D01B70">
        <w:rPr>
          <w:rFonts w:ascii="Arial" w:hAnsi="Arial" w:cs="Arial"/>
          <w:sz w:val="16"/>
          <w:szCs w:val="16"/>
        </w:rPr>
        <w:t>.</w:t>
      </w:r>
    </w:p>
    <w:p w:rsidR="00F77445" w:rsidRDefault="00832C7A" w:rsidP="00EA7ECB">
      <w:fldSimple w:instr=" REF _Ref239141380 \h  \* MERGEFORMAT ">
        <w:r w:rsidR="00E5699E">
          <w:t>Table 7</w:t>
        </w:r>
        <w:r w:rsidR="00E5699E">
          <w:noBreakHyphen/>
          <w:t>1</w:t>
        </w:r>
      </w:fldSimple>
      <w:r w:rsidR="00205075" w:rsidRPr="00205075">
        <w:t xml:space="preserve"> compares New England’s generation capacity mix by fuel type to that of the nation’s.</w:t>
      </w:r>
    </w:p>
    <w:p w:rsidR="00A156AB" w:rsidRDefault="00F172ED" w:rsidP="00301D5C">
      <w:pPr>
        <w:pStyle w:val="Caption"/>
      </w:pPr>
      <w:bookmarkStart w:id="521" w:name="_Ref239141380"/>
      <w:bookmarkStart w:id="522" w:name="_Ref239141368"/>
      <w:bookmarkStart w:id="523" w:name="_Toc239157231"/>
      <w:bookmarkStart w:id="524" w:name="_Toc271552419"/>
      <w:r>
        <w:t xml:space="preserve">Table </w:t>
      </w:r>
      <w:r w:rsidR="00832C7A">
        <w:fldChar w:fldCharType="begin"/>
      </w:r>
      <w:r w:rsidR="00B2406F">
        <w:instrText xml:space="preserve"> STYLEREF 1 \s </w:instrText>
      </w:r>
      <w:r w:rsidR="00832C7A">
        <w:fldChar w:fldCharType="separate"/>
      </w:r>
      <w:r w:rsidR="00E5699E">
        <w:rPr>
          <w:noProof/>
        </w:rPr>
        <w:t>7</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521"/>
      <w:r w:rsidR="00A156AB">
        <w:br/>
      </w:r>
      <w:r w:rsidR="00A156AB" w:rsidRPr="000979E8">
        <w:t>New England’s Generation Capacity Mix by Fuel Type</w:t>
      </w:r>
      <w:r w:rsidR="00A156AB">
        <w:br/>
      </w:r>
      <w:r w:rsidR="00A156AB" w:rsidRPr="000979E8">
        <w:t>Compared with the Nationwide Capacity Mix</w:t>
      </w:r>
      <w:r w:rsidR="00A047CC">
        <w:t xml:space="preserve"> (%)</w:t>
      </w:r>
      <w:r w:rsidR="00A156AB" w:rsidRPr="005E4FDB">
        <w:rPr>
          <w:szCs w:val="20"/>
          <w:vertAlign w:val="superscript"/>
        </w:rPr>
        <w:t>(a)</w:t>
      </w:r>
      <w:bookmarkEnd w:id="522"/>
      <w:bookmarkEnd w:id="523"/>
      <w:bookmarkEnd w:id="524"/>
    </w:p>
    <w:tbl>
      <w:tblPr>
        <w:tblStyle w:val="TableGrid"/>
        <w:tblW w:w="0" w:type="auto"/>
        <w:jc w:val="center"/>
        <w:tblInd w:w="-5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left w:w="720" w:type="dxa"/>
          <w:bottom w:w="43" w:type="dxa"/>
          <w:right w:w="720" w:type="dxa"/>
        </w:tblCellMar>
        <w:tblLook w:val="04A0"/>
      </w:tblPr>
      <w:tblGrid>
        <w:gridCol w:w="2907"/>
        <w:gridCol w:w="1727"/>
        <w:gridCol w:w="1711"/>
      </w:tblGrid>
      <w:tr w:rsidR="002C1FA6" w:rsidRPr="003C573C" w:rsidTr="005115F0">
        <w:trPr>
          <w:cantSplit/>
          <w:jc w:val="center"/>
        </w:trPr>
        <w:tc>
          <w:tcPr>
            <w:tcW w:w="2907" w:type="dxa"/>
            <w:shd w:val="clear" w:color="auto" w:fill="FBCE76" w:themeFill="background2" w:themeFillTint="99"/>
            <w:tcMar>
              <w:top w:w="43" w:type="dxa"/>
              <w:left w:w="72" w:type="dxa"/>
              <w:bottom w:w="43" w:type="dxa"/>
              <w:right w:w="72" w:type="dxa"/>
            </w:tcMar>
            <w:vAlign w:val="center"/>
          </w:tcPr>
          <w:p w:rsidR="00C73E33" w:rsidRDefault="00A156AB">
            <w:pPr>
              <w:keepNext/>
              <w:keepLines/>
              <w:spacing w:after="0"/>
              <w:jc w:val="center"/>
              <w:rPr>
                <w:rFonts w:ascii="Arial" w:hAnsi="Arial" w:cs="Arial"/>
                <w:b/>
                <w:bCs/>
                <w:iCs/>
                <w:sz w:val="18"/>
                <w:szCs w:val="18"/>
              </w:rPr>
            </w:pPr>
            <w:r w:rsidRPr="00E7790B">
              <w:rPr>
                <w:rFonts w:ascii="Arial" w:hAnsi="Arial" w:cs="Arial"/>
                <w:b/>
                <w:sz w:val="18"/>
                <w:szCs w:val="18"/>
              </w:rPr>
              <w:t>Fuel</w:t>
            </w:r>
          </w:p>
        </w:tc>
        <w:tc>
          <w:tcPr>
            <w:tcW w:w="1727" w:type="dxa"/>
            <w:shd w:val="clear" w:color="auto" w:fill="FBCE76" w:themeFill="background2" w:themeFillTint="99"/>
            <w:tcMar>
              <w:top w:w="43" w:type="dxa"/>
              <w:left w:w="115" w:type="dxa"/>
              <w:bottom w:w="43" w:type="dxa"/>
              <w:right w:w="115" w:type="dxa"/>
            </w:tcMar>
            <w:vAlign w:val="center"/>
          </w:tcPr>
          <w:p w:rsidR="00A156AB" w:rsidRPr="00E7790B" w:rsidRDefault="00A156AB" w:rsidP="00301D5C">
            <w:pPr>
              <w:keepNext/>
              <w:keepLines/>
              <w:spacing w:after="0"/>
              <w:jc w:val="center"/>
              <w:rPr>
                <w:rFonts w:ascii="Arial" w:hAnsi="Arial" w:cs="Arial"/>
                <w:b/>
                <w:sz w:val="18"/>
                <w:szCs w:val="18"/>
              </w:rPr>
            </w:pPr>
            <w:r w:rsidRPr="00E7790B">
              <w:rPr>
                <w:rFonts w:ascii="Arial" w:hAnsi="Arial" w:cs="Arial"/>
                <w:b/>
                <w:sz w:val="18"/>
                <w:szCs w:val="18"/>
              </w:rPr>
              <w:t>New England</w:t>
            </w:r>
          </w:p>
        </w:tc>
        <w:tc>
          <w:tcPr>
            <w:tcW w:w="1711" w:type="dxa"/>
            <w:shd w:val="clear" w:color="auto" w:fill="FBCE76" w:themeFill="background2" w:themeFillTint="99"/>
            <w:tcMar>
              <w:top w:w="43" w:type="dxa"/>
              <w:left w:w="72" w:type="dxa"/>
              <w:bottom w:w="43" w:type="dxa"/>
              <w:right w:w="72" w:type="dxa"/>
            </w:tcMar>
            <w:vAlign w:val="center"/>
          </w:tcPr>
          <w:p w:rsidR="00A156AB" w:rsidRPr="00E7790B" w:rsidRDefault="00A156AB" w:rsidP="00301D5C">
            <w:pPr>
              <w:keepNext/>
              <w:keepLines/>
              <w:spacing w:after="0"/>
              <w:jc w:val="center"/>
              <w:rPr>
                <w:rFonts w:ascii="Arial" w:hAnsi="Arial" w:cs="Arial"/>
                <w:b/>
                <w:sz w:val="18"/>
                <w:szCs w:val="18"/>
              </w:rPr>
            </w:pPr>
            <w:r w:rsidRPr="00E7790B">
              <w:rPr>
                <w:rFonts w:ascii="Arial" w:hAnsi="Arial" w:cs="Arial"/>
                <w:b/>
                <w:sz w:val="18"/>
                <w:szCs w:val="18"/>
              </w:rPr>
              <w:t>United States</w:t>
            </w:r>
          </w:p>
        </w:tc>
      </w:tr>
      <w:tr w:rsidR="002C1FA6" w:rsidRPr="003C573C" w:rsidTr="005115F0">
        <w:trPr>
          <w:cantSplit/>
          <w:jc w:val="center"/>
        </w:trPr>
        <w:tc>
          <w:tcPr>
            <w:tcW w:w="2907" w:type="dxa"/>
            <w:tcMar>
              <w:top w:w="43" w:type="dxa"/>
              <w:left w:w="72" w:type="dxa"/>
              <w:bottom w:w="43" w:type="dxa"/>
              <w:right w:w="72" w:type="dxa"/>
            </w:tcMar>
            <w:vAlign w:val="center"/>
          </w:tcPr>
          <w:p w:rsidR="00A156AB" w:rsidRPr="00E7790B" w:rsidRDefault="00A156AB" w:rsidP="00301D5C">
            <w:pPr>
              <w:keepNext/>
              <w:keepLines/>
              <w:spacing w:after="0"/>
              <w:rPr>
                <w:rFonts w:ascii="Arial" w:hAnsi="Arial" w:cs="Arial"/>
                <w:b/>
                <w:sz w:val="18"/>
                <w:szCs w:val="18"/>
              </w:rPr>
            </w:pPr>
            <w:r w:rsidRPr="00E7790B">
              <w:rPr>
                <w:rFonts w:ascii="Arial" w:hAnsi="Arial" w:cs="Arial"/>
                <w:b/>
                <w:sz w:val="18"/>
                <w:szCs w:val="18"/>
              </w:rPr>
              <w:t>Coal</w:t>
            </w:r>
          </w:p>
        </w:tc>
        <w:tc>
          <w:tcPr>
            <w:tcW w:w="1727" w:type="dxa"/>
            <w:noWrap/>
            <w:tcMar>
              <w:top w:w="43" w:type="dxa"/>
              <w:left w:w="115" w:type="dxa"/>
              <w:bottom w:w="43" w:type="dxa"/>
              <w:right w:w="115"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8.6</w:t>
            </w:r>
          </w:p>
        </w:tc>
        <w:tc>
          <w:tcPr>
            <w:tcW w:w="1711" w:type="dxa"/>
            <w:noWrap/>
            <w:tcMar>
              <w:top w:w="43" w:type="dxa"/>
              <w:left w:w="72" w:type="dxa"/>
              <w:bottom w:w="43" w:type="dxa"/>
              <w:right w:w="72" w:type="dxa"/>
            </w:tcMar>
            <w:vAlign w:val="center"/>
          </w:tcPr>
          <w:p w:rsidR="00F77445" w:rsidRDefault="00A156AB" w:rsidP="00301D5C">
            <w:pPr>
              <w:keepNext/>
              <w:keepLines/>
              <w:spacing w:after="0"/>
              <w:ind w:left="965" w:hanging="965"/>
              <w:jc w:val="center"/>
              <w:rPr>
                <w:rFonts w:ascii="Arial" w:hAnsi="Arial" w:cs="Arial"/>
                <w:sz w:val="18"/>
                <w:szCs w:val="18"/>
              </w:rPr>
            </w:pPr>
            <w:r w:rsidRPr="003C573C">
              <w:rPr>
                <w:rFonts w:ascii="Arial" w:hAnsi="Arial" w:cs="Arial"/>
                <w:sz w:val="18"/>
                <w:szCs w:val="18"/>
              </w:rPr>
              <w:t>30.6</w:t>
            </w:r>
          </w:p>
        </w:tc>
      </w:tr>
      <w:tr w:rsidR="002C1FA6" w:rsidRPr="003C573C" w:rsidTr="005115F0">
        <w:trPr>
          <w:cantSplit/>
          <w:jc w:val="center"/>
        </w:trPr>
        <w:tc>
          <w:tcPr>
            <w:tcW w:w="2907" w:type="dxa"/>
            <w:shd w:val="clear" w:color="auto" w:fill="FDEED1" w:themeFill="background2" w:themeFillTint="33"/>
            <w:tcMar>
              <w:top w:w="43" w:type="dxa"/>
              <w:left w:w="72" w:type="dxa"/>
              <w:bottom w:w="43" w:type="dxa"/>
              <w:right w:w="72" w:type="dxa"/>
            </w:tcMar>
            <w:vAlign w:val="center"/>
          </w:tcPr>
          <w:p w:rsidR="00A156AB" w:rsidRPr="00E7790B" w:rsidRDefault="00A156AB" w:rsidP="00301D5C">
            <w:pPr>
              <w:keepNext/>
              <w:keepLines/>
              <w:spacing w:after="0"/>
              <w:rPr>
                <w:rFonts w:ascii="Arial" w:hAnsi="Arial" w:cs="Arial"/>
                <w:b/>
                <w:sz w:val="18"/>
                <w:szCs w:val="18"/>
              </w:rPr>
            </w:pPr>
            <w:r w:rsidRPr="00E7790B">
              <w:rPr>
                <w:rFonts w:ascii="Arial" w:hAnsi="Arial" w:cs="Arial"/>
                <w:b/>
                <w:sz w:val="18"/>
                <w:szCs w:val="18"/>
              </w:rPr>
              <w:t>Natural gas</w:t>
            </w:r>
          </w:p>
        </w:tc>
        <w:tc>
          <w:tcPr>
            <w:tcW w:w="1727" w:type="dxa"/>
            <w:shd w:val="clear" w:color="auto" w:fill="FDEED1" w:themeFill="background2" w:themeFillTint="33"/>
            <w:noWrap/>
            <w:tcMar>
              <w:top w:w="43" w:type="dxa"/>
              <w:left w:w="115" w:type="dxa"/>
              <w:bottom w:w="43" w:type="dxa"/>
              <w:right w:w="115"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41.2</w:t>
            </w:r>
          </w:p>
        </w:tc>
        <w:tc>
          <w:tcPr>
            <w:tcW w:w="1711" w:type="dxa"/>
            <w:shd w:val="clear" w:color="auto" w:fill="FDEED1" w:themeFill="background2" w:themeFillTint="33"/>
            <w:noWrap/>
            <w:tcMar>
              <w:top w:w="43" w:type="dxa"/>
              <w:left w:w="72" w:type="dxa"/>
              <w:bottom w:w="43" w:type="dxa"/>
              <w:right w:w="72"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41.5</w:t>
            </w:r>
          </w:p>
        </w:tc>
      </w:tr>
      <w:tr w:rsidR="002C1FA6" w:rsidRPr="003C573C" w:rsidTr="005115F0">
        <w:trPr>
          <w:cantSplit/>
          <w:jc w:val="center"/>
        </w:trPr>
        <w:tc>
          <w:tcPr>
            <w:tcW w:w="2907" w:type="dxa"/>
            <w:tcMar>
              <w:top w:w="43" w:type="dxa"/>
              <w:left w:w="72" w:type="dxa"/>
              <w:bottom w:w="43" w:type="dxa"/>
              <w:right w:w="72" w:type="dxa"/>
            </w:tcMar>
            <w:vAlign w:val="center"/>
          </w:tcPr>
          <w:p w:rsidR="00A156AB" w:rsidRPr="00E7790B" w:rsidRDefault="00A156AB" w:rsidP="00301D5C">
            <w:pPr>
              <w:keepNext/>
              <w:keepLines/>
              <w:spacing w:after="0"/>
              <w:rPr>
                <w:rFonts w:ascii="Arial" w:hAnsi="Arial" w:cs="Arial"/>
                <w:b/>
                <w:sz w:val="18"/>
                <w:szCs w:val="18"/>
              </w:rPr>
            </w:pPr>
            <w:r w:rsidRPr="00E7790B">
              <w:rPr>
                <w:rFonts w:ascii="Arial" w:hAnsi="Arial" w:cs="Arial"/>
                <w:b/>
                <w:sz w:val="18"/>
                <w:szCs w:val="18"/>
              </w:rPr>
              <w:t>Oil (heavy and light)</w:t>
            </w:r>
          </w:p>
        </w:tc>
        <w:tc>
          <w:tcPr>
            <w:tcW w:w="1727" w:type="dxa"/>
            <w:noWrap/>
            <w:tcMar>
              <w:top w:w="43" w:type="dxa"/>
              <w:left w:w="115" w:type="dxa"/>
              <w:bottom w:w="43" w:type="dxa"/>
              <w:right w:w="115"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21.5</w:t>
            </w:r>
          </w:p>
        </w:tc>
        <w:tc>
          <w:tcPr>
            <w:tcW w:w="1711" w:type="dxa"/>
            <w:noWrap/>
            <w:tcMar>
              <w:top w:w="43" w:type="dxa"/>
              <w:left w:w="72" w:type="dxa"/>
              <w:bottom w:w="43" w:type="dxa"/>
              <w:right w:w="72"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5.9</w:t>
            </w:r>
          </w:p>
        </w:tc>
      </w:tr>
      <w:tr w:rsidR="002C1FA6" w:rsidRPr="003C573C" w:rsidTr="005115F0">
        <w:trPr>
          <w:cantSplit/>
          <w:jc w:val="center"/>
        </w:trPr>
        <w:tc>
          <w:tcPr>
            <w:tcW w:w="2907" w:type="dxa"/>
            <w:shd w:val="clear" w:color="auto" w:fill="FDEED1" w:themeFill="background2" w:themeFillTint="33"/>
            <w:tcMar>
              <w:top w:w="43" w:type="dxa"/>
              <w:left w:w="72" w:type="dxa"/>
              <w:bottom w:w="43" w:type="dxa"/>
              <w:right w:w="72" w:type="dxa"/>
            </w:tcMar>
            <w:vAlign w:val="center"/>
          </w:tcPr>
          <w:p w:rsidR="00A156AB" w:rsidRPr="00E7790B" w:rsidRDefault="00A156AB" w:rsidP="00301D5C">
            <w:pPr>
              <w:keepNext/>
              <w:keepLines/>
              <w:spacing w:after="0"/>
              <w:rPr>
                <w:rFonts w:ascii="Arial" w:hAnsi="Arial" w:cs="Arial"/>
                <w:b/>
                <w:sz w:val="18"/>
                <w:szCs w:val="18"/>
              </w:rPr>
            </w:pPr>
            <w:r w:rsidRPr="00E7790B">
              <w:rPr>
                <w:rFonts w:ascii="Arial" w:hAnsi="Arial" w:cs="Arial"/>
                <w:b/>
                <w:sz w:val="18"/>
                <w:szCs w:val="18"/>
              </w:rPr>
              <w:t>Nuclear</w:t>
            </w:r>
          </w:p>
        </w:tc>
        <w:tc>
          <w:tcPr>
            <w:tcW w:w="1727" w:type="dxa"/>
            <w:shd w:val="clear" w:color="auto" w:fill="FDEED1" w:themeFill="background2" w:themeFillTint="33"/>
            <w:noWrap/>
            <w:tcMar>
              <w:top w:w="43" w:type="dxa"/>
              <w:left w:w="115" w:type="dxa"/>
              <w:bottom w:w="43" w:type="dxa"/>
              <w:right w:w="115"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14.5</w:t>
            </w:r>
          </w:p>
        </w:tc>
        <w:tc>
          <w:tcPr>
            <w:tcW w:w="1711" w:type="dxa"/>
            <w:shd w:val="clear" w:color="auto" w:fill="FDEED1" w:themeFill="background2" w:themeFillTint="33"/>
            <w:noWrap/>
            <w:tcMar>
              <w:top w:w="43" w:type="dxa"/>
              <w:left w:w="72" w:type="dxa"/>
              <w:bottom w:w="43" w:type="dxa"/>
              <w:right w:w="72" w:type="dxa"/>
            </w:tcMar>
            <w:vAlign w:val="center"/>
          </w:tcPr>
          <w:p w:rsidR="00A156AB" w:rsidRPr="003C573C" w:rsidRDefault="00A156AB" w:rsidP="00301D5C">
            <w:pPr>
              <w:keepNext/>
              <w:keepLines/>
              <w:spacing w:after="0"/>
              <w:jc w:val="center"/>
              <w:rPr>
                <w:rFonts w:ascii="Arial" w:hAnsi="Arial" w:cs="Arial"/>
                <w:sz w:val="18"/>
                <w:szCs w:val="18"/>
              </w:rPr>
            </w:pPr>
            <w:r w:rsidRPr="003C573C">
              <w:rPr>
                <w:rFonts w:ascii="Arial" w:hAnsi="Arial" w:cs="Arial"/>
                <w:sz w:val="18"/>
                <w:szCs w:val="18"/>
              </w:rPr>
              <w:t>9.6</w:t>
            </w:r>
          </w:p>
        </w:tc>
      </w:tr>
      <w:tr w:rsidR="002C1FA6" w:rsidRPr="003C573C" w:rsidTr="005115F0">
        <w:trPr>
          <w:cantSplit/>
          <w:jc w:val="center"/>
        </w:trPr>
        <w:tc>
          <w:tcPr>
            <w:tcW w:w="2907" w:type="dxa"/>
            <w:shd w:val="clear" w:color="auto" w:fill="auto"/>
            <w:tcMar>
              <w:top w:w="43" w:type="dxa"/>
              <w:left w:w="72" w:type="dxa"/>
              <w:bottom w:w="43" w:type="dxa"/>
              <w:right w:w="72" w:type="dxa"/>
            </w:tcMar>
            <w:vAlign w:val="center"/>
          </w:tcPr>
          <w:p w:rsidR="00F172ED" w:rsidRPr="00E7790B" w:rsidRDefault="00F172ED" w:rsidP="005115F0">
            <w:pPr>
              <w:keepNext/>
              <w:keepLines/>
              <w:spacing w:after="0"/>
              <w:rPr>
                <w:rFonts w:ascii="Arial" w:hAnsi="Arial" w:cs="Arial"/>
                <w:b/>
                <w:sz w:val="18"/>
                <w:szCs w:val="18"/>
              </w:rPr>
            </w:pPr>
            <w:r w:rsidRPr="00E7790B">
              <w:rPr>
                <w:rFonts w:ascii="Arial" w:hAnsi="Arial" w:cs="Arial"/>
                <w:b/>
                <w:sz w:val="18"/>
                <w:szCs w:val="18"/>
              </w:rPr>
              <w:t>Hydroelectric,</w:t>
            </w:r>
            <w:r w:rsidR="005115F0">
              <w:rPr>
                <w:rFonts w:ascii="Arial" w:hAnsi="Arial" w:cs="Arial"/>
                <w:b/>
                <w:sz w:val="18"/>
                <w:szCs w:val="18"/>
              </w:rPr>
              <w:t xml:space="preserve"> </w:t>
            </w:r>
            <w:r w:rsidRPr="00E7790B">
              <w:rPr>
                <w:rFonts w:ascii="Arial" w:hAnsi="Arial" w:cs="Arial"/>
                <w:b/>
                <w:sz w:val="18"/>
                <w:szCs w:val="18"/>
              </w:rPr>
              <w:t>pumped-storage</w:t>
            </w:r>
            <w:r>
              <w:rPr>
                <w:rFonts w:ascii="Arial" w:hAnsi="Arial" w:cs="Arial"/>
                <w:b/>
                <w:sz w:val="18"/>
                <w:szCs w:val="18"/>
              </w:rPr>
              <w:t>,</w:t>
            </w:r>
            <w:r w:rsidR="005115F0">
              <w:rPr>
                <w:rFonts w:ascii="Arial" w:hAnsi="Arial" w:cs="Arial"/>
                <w:b/>
                <w:sz w:val="18"/>
                <w:szCs w:val="18"/>
              </w:rPr>
              <w:t xml:space="preserve"> </w:t>
            </w:r>
            <w:r w:rsidRPr="00E7790B">
              <w:rPr>
                <w:rFonts w:ascii="Arial" w:hAnsi="Arial" w:cs="Arial"/>
                <w:b/>
                <w:sz w:val="18"/>
                <w:szCs w:val="18"/>
              </w:rPr>
              <w:t>and other renewables</w:t>
            </w:r>
          </w:p>
        </w:tc>
        <w:tc>
          <w:tcPr>
            <w:tcW w:w="1727" w:type="dxa"/>
            <w:shd w:val="clear" w:color="auto" w:fill="auto"/>
            <w:noWrap/>
            <w:tcMar>
              <w:top w:w="43" w:type="dxa"/>
              <w:left w:w="115" w:type="dxa"/>
              <w:bottom w:w="43" w:type="dxa"/>
              <w:right w:w="115" w:type="dxa"/>
            </w:tcMar>
            <w:vAlign w:val="center"/>
          </w:tcPr>
          <w:p w:rsidR="00F172ED" w:rsidRPr="003C573C" w:rsidRDefault="00F172ED" w:rsidP="00301D5C">
            <w:pPr>
              <w:keepNext/>
              <w:keepLines/>
              <w:spacing w:after="0"/>
              <w:jc w:val="center"/>
              <w:rPr>
                <w:rFonts w:ascii="Arial" w:hAnsi="Arial" w:cs="Arial"/>
                <w:sz w:val="18"/>
                <w:szCs w:val="18"/>
              </w:rPr>
            </w:pPr>
            <w:r w:rsidRPr="003C573C">
              <w:rPr>
                <w:rFonts w:ascii="Arial" w:hAnsi="Arial" w:cs="Arial"/>
                <w:sz w:val="18"/>
                <w:szCs w:val="18"/>
              </w:rPr>
              <w:t>14.2</w:t>
            </w:r>
          </w:p>
        </w:tc>
        <w:tc>
          <w:tcPr>
            <w:tcW w:w="1711" w:type="dxa"/>
            <w:shd w:val="clear" w:color="auto" w:fill="auto"/>
            <w:noWrap/>
            <w:tcMar>
              <w:top w:w="43" w:type="dxa"/>
              <w:left w:w="72" w:type="dxa"/>
              <w:bottom w:w="43" w:type="dxa"/>
              <w:right w:w="72" w:type="dxa"/>
            </w:tcMar>
            <w:vAlign w:val="center"/>
          </w:tcPr>
          <w:p w:rsidR="00F172ED" w:rsidRPr="003C573C" w:rsidRDefault="00F172ED" w:rsidP="00301D5C">
            <w:pPr>
              <w:keepNext/>
              <w:keepLines/>
              <w:spacing w:after="0"/>
              <w:jc w:val="center"/>
              <w:rPr>
                <w:rFonts w:ascii="Arial" w:hAnsi="Arial" w:cs="Arial"/>
                <w:sz w:val="18"/>
                <w:szCs w:val="18"/>
              </w:rPr>
            </w:pPr>
            <w:r w:rsidRPr="003C573C">
              <w:rPr>
                <w:rFonts w:ascii="Arial" w:hAnsi="Arial" w:cs="Arial"/>
                <w:sz w:val="18"/>
                <w:szCs w:val="18"/>
              </w:rPr>
              <w:t>12.2</w:t>
            </w:r>
          </w:p>
        </w:tc>
      </w:tr>
    </w:tbl>
    <w:p w:rsidR="00C73E33" w:rsidRDefault="00D33151" w:rsidP="009E22D3">
      <w:pPr>
        <w:spacing w:before="120" w:after="0" w:line="240" w:lineRule="auto"/>
        <w:ind w:left="1800" w:right="1530" w:hanging="270"/>
        <w:rPr>
          <w:rFonts w:ascii="Arial" w:hAnsi="Arial" w:cs="Arial"/>
          <w:color w:val="000000" w:themeColor="text1"/>
          <w:sz w:val="16"/>
          <w:szCs w:val="16"/>
        </w:rPr>
      </w:pPr>
      <w:r>
        <w:rPr>
          <w:rFonts w:ascii="Arial" w:hAnsi="Arial" w:cs="Arial"/>
          <w:sz w:val="16"/>
          <w:szCs w:val="16"/>
        </w:rPr>
        <w:t>(</w:t>
      </w:r>
      <w:r w:rsidR="00A156AB" w:rsidRPr="001D7ABD">
        <w:rPr>
          <w:rFonts w:ascii="Arial" w:hAnsi="Arial" w:cs="Arial"/>
          <w:sz w:val="16"/>
          <w:szCs w:val="16"/>
        </w:rPr>
        <w:t xml:space="preserve">a) </w:t>
      </w:r>
      <w:r w:rsidR="00D70F17">
        <w:rPr>
          <w:rFonts w:ascii="Arial" w:hAnsi="Arial" w:cs="Arial"/>
          <w:sz w:val="16"/>
          <w:szCs w:val="16"/>
        </w:rPr>
        <w:tab/>
      </w:r>
      <w:r w:rsidR="00A156AB" w:rsidRPr="001D7ABD">
        <w:rPr>
          <w:rFonts w:ascii="Arial" w:hAnsi="Arial" w:cs="Arial"/>
          <w:sz w:val="16"/>
          <w:szCs w:val="16"/>
        </w:rPr>
        <w:t xml:space="preserve">National figures are from the Energy Information Association (EIA). The raw data </w:t>
      </w:r>
      <w:r w:rsidR="0047625D">
        <w:rPr>
          <w:rFonts w:ascii="Arial" w:hAnsi="Arial" w:cs="Arial"/>
          <w:sz w:val="16"/>
          <w:szCs w:val="16"/>
        </w:rPr>
        <w:t>are</w:t>
      </w:r>
      <w:r w:rsidR="00A156AB" w:rsidRPr="001D7ABD">
        <w:rPr>
          <w:rFonts w:ascii="Arial" w:hAnsi="Arial" w:cs="Arial"/>
          <w:sz w:val="16"/>
          <w:szCs w:val="16"/>
        </w:rPr>
        <w:t xml:space="preserve"> available at </w:t>
      </w:r>
      <w:hyperlink r:id="rId40" w:history="1">
        <w:r w:rsidR="00A156AB" w:rsidRPr="001D7ABD">
          <w:rPr>
            <w:rFonts w:ascii="Arial" w:hAnsi="Arial" w:cs="Arial"/>
            <w:sz w:val="16"/>
            <w:szCs w:val="16"/>
          </w:rPr>
          <w:t>http://www.eia.doe.gov/cneaf/electricity/page/capacity/capacity.html</w:t>
        </w:r>
      </w:hyperlink>
      <w:r w:rsidR="00A156AB" w:rsidRPr="00E7790B">
        <w:rPr>
          <w:rFonts w:ascii="Arial" w:hAnsi="Arial" w:cs="Arial"/>
          <w:color w:val="000000" w:themeColor="text1"/>
          <w:sz w:val="16"/>
          <w:szCs w:val="16"/>
        </w:rPr>
        <w:t>.</w:t>
      </w:r>
    </w:p>
    <w:p w:rsidR="000A76E4" w:rsidRDefault="000A76E4" w:rsidP="00B161F9">
      <w:pPr>
        <w:spacing w:before="40" w:after="0" w:line="240" w:lineRule="auto"/>
        <w:ind w:right="994"/>
        <w:rPr>
          <w:rFonts w:ascii="Arial" w:hAnsi="Arial" w:cs="Arial"/>
          <w:color w:val="000000" w:themeColor="text1"/>
          <w:sz w:val="16"/>
          <w:szCs w:val="16"/>
        </w:rPr>
      </w:pPr>
    </w:p>
    <w:p w:rsidR="00A156AB" w:rsidRDefault="00832C7A" w:rsidP="00B161F9">
      <w:r>
        <w:fldChar w:fldCharType="begin"/>
      </w:r>
      <w:r w:rsidR="00992258">
        <w:instrText xml:space="preserve"> REF _Ref262120057 \h </w:instrText>
      </w:r>
      <w:r>
        <w:fldChar w:fldCharType="separate"/>
      </w:r>
      <w:r w:rsidR="00E5699E" w:rsidRPr="000979E8">
        <w:t>Figure </w:t>
      </w:r>
      <w:r w:rsidR="00E5699E">
        <w:rPr>
          <w:noProof/>
        </w:rPr>
        <w:t>7</w:t>
      </w:r>
      <w:r w:rsidR="00E5699E">
        <w:noBreakHyphen/>
      </w:r>
      <w:r w:rsidR="00E5699E">
        <w:rPr>
          <w:noProof/>
        </w:rPr>
        <w:t>2</w:t>
      </w:r>
      <w:r>
        <w:fldChar w:fldCharType="end"/>
      </w:r>
      <w:r w:rsidR="00A156AB" w:rsidRPr="000979E8">
        <w:t xml:space="preserve"> shows the production of electric energy by fuel type for 2009. As shown, natural gas, nuclear, and coal produced the majority of the region’s electricity. In total, fossil fuels were used for generating approximately 5</w:t>
      </w:r>
      <w:r w:rsidR="00A156AB">
        <w:t>5</w:t>
      </w:r>
      <w:r w:rsidR="00A156AB" w:rsidRPr="000979E8">
        <w:t>% of the electric energy produced within New England in 2009. Natural gas generation produced the highest amount at 50,</w:t>
      </w:r>
      <w:r w:rsidR="00A156AB">
        <w:t>6</w:t>
      </w:r>
      <w:r w:rsidR="00EB5EFF">
        <w:t>5</w:t>
      </w:r>
      <w:r w:rsidR="00A156AB">
        <w:t>0</w:t>
      </w:r>
      <w:r w:rsidR="00A156AB" w:rsidRPr="000979E8">
        <w:t xml:space="preserve"> gigawatt-hours (GWh) at 42</w:t>
      </w:r>
      <w:r w:rsidR="00A156AB">
        <w:t>.4</w:t>
      </w:r>
      <w:r w:rsidR="00A156AB" w:rsidRPr="000979E8">
        <w:t>%. In 2009, New England imported 15,22</w:t>
      </w:r>
      <w:r w:rsidR="00EB5EFF">
        <w:t>6</w:t>
      </w:r>
      <w:r w:rsidR="00A156AB" w:rsidRPr="000979E8">
        <w:t xml:space="preserve"> GWh of electric energy and exported 5,8</w:t>
      </w:r>
      <w:r w:rsidR="00A156AB">
        <w:t>6</w:t>
      </w:r>
      <w:r w:rsidR="00EB5EFF">
        <w:t>3</w:t>
      </w:r>
      <w:r w:rsidR="00A156AB" w:rsidRPr="000979E8">
        <w:t xml:space="preserve"> GWh of electric energy, which resulted in net imports of 9,3</w:t>
      </w:r>
      <w:r w:rsidR="00EB5EFF">
        <w:t>63</w:t>
      </w:r>
      <w:r w:rsidR="00A156AB" w:rsidRPr="000979E8">
        <w:t xml:space="preserve"> GWh.</w:t>
      </w:r>
      <w:r w:rsidR="00C1669C">
        <w:t xml:space="preserve"> </w:t>
      </w:r>
    </w:p>
    <w:p w:rsidR="00BA5816" w:rsidRDefault="00A156AB">
      <w:pPr>
        <w:keepNext/>
        <w:keepLines/>
        <w:spacing w:after="0" w:line="240" w:lineRule="auto"/>
        <w:jc w:val="center"/>
      </w:pPr>
      <w:bookmarkStart w:id="525" w:name="_Toc176245019"/>
      <w:r w:rsidRPr="00913C2E">
        <w:rPr>
          <w:noProof/>
        </w:rPr>
        <w:drawing>
          <wp:inline distT="0" distB="0" distL="0" distR="0">
            <wp:extent cx="4746625" cy="300365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751841" cy="3006960"/>
                    </a:xfrm>
                    <a:prstGeom prst="rect">
                      <a:avLst/>
                    </a:prstGeom>
                    <a:noFill/>
                    <a:ln w="3175">
                      <a:noFill/>
                      <a:miter lim="800000"/>
                      <a:headEnd/>
                      <a:tailEnd/>
                    </a:ln>
                  </pic:spPr>
                </pic:pic>
              </a:graphicData>
            </a:graphic>
          </wp:inline>
        </w:drawing>
      </w:r>
    </w:p>
    <w:p w:rsidR="00A12257" w:rsidRDefault="00A156AB" w:rsidP="00AE75AD">
      <w:pPr>
        <w:pStyle w:val="Caption"/>
        <w:spacing w:before="120" w:after="80"/>
        <w:ind w:left="990" w:right="990"/>
        <w:jc w:val="left"/>
      </w:pPr>
      <w:bookmarkStart w:id="526" w:name="_Ref262120057"/>
      <w:bookmarkStart w:id="527" w:name="_Toc271552378"/>
      <w:r w:rsidRPr="000979E8">
        <w:t>Figure </w:t>
      </w:r>
      <w:r w:rsidR="00832C7A">
        <w:fldChar w:fldCharType="begin"/>
      </w:r>
      <w:r w:rsidR="00807C8D">
        <w:instrText xml:space="preserve"> STYLEREF 1 \s </w:instrText>
      </w:r>
      <w:r w:rsidR="00832C7A">
        <w:fldChar w:fldCharType="separate"/>
      </w:r>
      <w:r w:rsidR="00E5699E">
        <w:rPr>
          <w:noProof/>
        </w:rPr>
        <w:t>7</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526"/>
      <w:r w:rsidRPr="000979E8">
        <w:t xml:space="preserve">: New England </w:t>
      </w:r>
      <w:r>
        <w:t>e</w:t>
      </w:r>
      <w:r w:rsidRPr="000979E8">
        <w:t xml:space="preserve">lectric </w:t>
      </w:r>
      <w:r>
        <w:t>e</w:t>
      </w:r>
      <w:r w:rsidRPr="000979E8">
        <w:t xml:space="preserve">nergy </w:t>
      </w:r>
      <w:r>
        <w:t>p</w:t>
      </w:r>
      <w:r w:rsidRPr="000979E8">
        <w:t xml:space="preserve">roduction </w:t>
      </w:r>
      <w:r w:rsidR="00654067">
        <w:t xml:space="preserve">in 2009, </w:t>
      </w:r>
      <w:r w:rsidRPr="000979E8">
        <w:t xml:space="preserve">by </w:t>
      </w:r>
      <w:r>
        <w:t>f</w:t>
      </w:r>
      <w:r w:rsidRPr="000979E8">
        <w:t xml:space="preserve">uel </w:t>
      </w:r>
      <w:r>
        <w:t>t</w:t>
      </w:r>
      <w:r w:rsidRPr="000979E8">
        <w:t>ype.</w:t>
      </w:r>
      <w:bookmarkEnd w:id="527"/>
    </w:p>
    <w:p w:rsidR="00341886" w:rsidRDefault="00A156AB" w:rsidP="00C454A2">
      <w:pPr>
        <w:spacing w:line="240" w:lineRule="auto"/>
        <w:ind w:left="994" w:right="994"/>
        <w:rPr>
          <w:rFonts w:ascii="Arial" w:hAnsi="Arial" w:cs="Arial"/>
          <w:sz w:val="16"/>
          <w:szCs w:val="16"/>
        </w:rPr>
      </w:pPr>
      <w:r w:rsidRPr="003C573C">
        <w:rPr>
          <w:rFonts w:ascii="Arial" w:hAnsi="Arial" w:cs="Arial"/>
          <w:b/>
          <w:sz w:val="16"/>
          <w:szCs w:val="16"/>
        </w:rPr>
        <w:t>Notes:</w:t>
      </w:r>
      <w:r w:rsidRPr="003C573C">
        <w:rPr>
          <w:rFonts w:ascii="Arial" w:hAnsi="Arial" w:cs="Arial"/>
          <w:sz w:val="16"/>
          <w:szCs w:val="16"/>
        </w:rPr>
        <w:t xml:space="preserve"> The “Other </w:t>
      </w:r>
      <w:r w:rsidRPr="00D01B70">
        <w:rPr>
          <w:rFonts w:ascii="Arial" w:hAnsi="Arial" w:cs="Arial"/>
          <w:sz w:val="16"/>
          <w:szCs w:val="16"/>
        </w:rPr>
        <w:t>Renewables” category of fuel sources includes</w:t>
      </w:r>
      <w:r w:rsidRPr="003C573C">
        <w:rPr>
          <w:rFonts w:ascii="Arial" w:hAnsi="Arial" w:cs="Arial"/>
          <w:sz w:val="16"/>
          <w:szCs w:val="16"/>
        </w:rPr>
        <w:t xml:space="preserve"> landfill gas, other biomass gas, refuse (municipal solid waste), wood and wood-waste solids, wind, solar, black liquor</w:t>
      </w:r>
      <w:r w:rsidR="0047625D">
        <w:rPr>
          <w:rFonts w:ascii="Arial" w:hAnsi="Arial" w:cs="Arial"/>
          <w:sz w:val="16"/>
          <w:szCs w:val="16"/>
        </w:rPr>
        <w:t>,</w:t>
      </w:r>
      <w:r w:rsidRPr="003C573C">
        <w:rPr>
          <w:rFonts w:ascii="Arial" w:hAnsi="Arial" w:cs="Arial"/>
          <w:sz w:val="16"/>
          <w:szCs w:val="16"/>
        </w:rPr>
        <w:t xml:space="preserve"> and tire-derived fuels. The figure excludes 9,377 GWh of net imports.</w:t>
      </w:r>
    </w:p>
    <w:p w:rsidR="000F16B0" w:rsidRDefault="00A64A01" w:rsidP="0030141C">
      <w:r>
        <w:t>F</w:t>
      </w:r>
      <w:r w:rsidR="00A156AB" w:rsidRPr="000979E8">
        <w:t xml:space="preserve">ossil fuels produced </w:t>
      </w:r>
      <w:r>
        <w:t xml:space="preserve">55% of the electric energy used </w:t>
      </w:r>
      <w:r w:rsidR="00A156AB" w:rsidRPr="000979E8">
        <w:t xml:space="preserve">in New England in 2009, </w:t>
      </w:r>
      <w:r>
        <w:t xml:space="preserve">compared with </w:t>
      </w:r>
      <w:r w:rsidR="00A156AB">
        <w:t>69</w:t>
      </w:r>
      <w:r w:rsidR="00A156AB" w:rsidRPr="000979E8">
        <w:t xml:space="preserve">% of the electric energy used in the United States. Nationwide, coal produced </w:t>
      </w:r>
      <w:r w:rsidR="00A156AB">
        <w:t>45</w:t>
      </w:r>
      <w:r w:rsidR="00A156AB" w:rsidRPr="000979E8">
        <w:t>%</w:t>
      </w:r>
      <w:r>
        <w:t>,</w:t>
      </w:r>
      <w:r w:rsidR="00A156AB" w:rsidRPr="000979E8">
        <w:t xml:space="preserve"> compared with only 12% in New England, and natural gas produced </w:t>
      </w:r>
      <w:r w:rsidR="00A156AB">
        <w:t>24</w:t>
      </w:r>
      <w:r w:rsidR="00A156AB" w:rsidRPr="000979E8">
        <w:t>% in the U.S.</w:t>
      </w:r>
      <w:r w:rsidR="0047625D">
        <w:t>,</w:t>
      </w:r>
      <w:r w:rsidR="00A156AB" w:rsidRPr="000979E8">
        <w:t xml:space="preserve"> compared with 42% in New England. Additionally, nuclear fuel produced</w:t>
      </w:r>
      <w:r w:rsidR="00A156AB">
        <w:t xml:space="preserve"> 20</w:t>
      </w:r>
      <w:r w:rsidR="00A156AB" w:rsidRPr="000979E8">
        <w:t xml:space="preserve">% of the nation’s electric energy in 2009 compared with 30% in New England. Renewable and hydroelectric resources provided </w:t>
      </w:r>
      <w:r w:rsidR="00A156AB">
        <w:t>11</w:t>
      </w:r>
      <w:r w:rsidR="00A156AB" w:rsidRPr="000979E8">
        <w:t>% of the country’s electric energy in 2009, compared with 13% within the region.</w:t>
      </w:r>
      <w:r w:rsidR="00A156AB">
        <w:t xml:space="preserve"> Production from petroleum fuels was under 1% both </w:t>
      </w:r>
      <w:r>
        <w:t xml:space="preserve">in </w:t>
      </w:r>
      <w:r w:rsidR="00A156AB">
        <w:t xml:space="preserve">New England and </w:t>
      </w:r>
      <w:r>
        <w:t>nationwide</w:t>
      </w:r>
      <w:r w:rsidR="00A156AB">
        <w:t>.</w:t>
      </w:r>
    </w:p>
    <w:p w:rsidR="002878A4" w:rsidRDefault="00A156AB" w:rsidP="009D1346">
      <w:pPr>
        <w:pStyle w:val="Heading2"/>
      </w:pPr>
      <w:bookmarkStart w:id="528" w:name="_Ref231034526"/>
      <w:bookmarkStart w:id="529" w:name="_Toc239157085"/>
      <w:bookmarkStart w:id="530" w:name="_Toc271632261"/>
      <w:r w:rsidRPr="00D7692A">
        <w:t>Winter 200</w:t>
      </w:r>
      <w:r>
        <w:t>9</w:t>
      </w:r>
      <w:r w:rsidRPr="00D7692A">
        <w:t>/</w:t>
      </w:r>
      <w:r>
        <w:t>201</w:t>
      </w:r>
      <w:r w:rsidRPr="00D7692A">
        <w:t>0 Operational Overview</w:t>
      </w:r>
      <w:bookmarkEnd w:id="528"/>
      <w:bookmarkEnd w:id="529"/>
      <w:bookmarkEnd w:id="530"/>
    </w:p>
    <w:p w:rsidR="00A156AB" w:rsidRDefault="00A156AB" w:rsidP="00073277">
      <w:r>
        <w:t xml:space="preserve">December 2009 was colder than normal, while </w:t>
      </w:r>
      <w:r w:rsidRPr="000979E8">
        <w:t>January and February 2010 were warmer than normal. During winter 2009/</w:t>
      </w:r>
      <w:r>
        <w:t>20</w:t>
      </w:r>
      <w:r w:rsidRPr="000979E8">
        <w:t>10, the system faced no major operational issues. The seasonal winter peak demand of 20,791 MW took place on December 17, 2009, at 6</w:t>
      </w:r>
      <w:r w:rsidR="000828C3">
        <w:t>:00</w:t>
      </w:r>
      <w:r w:rsidRPr="000979E8">
        <w:t xml:space="preserve"> p.m. at 15</w:t>
      </w:r>
      <w:r w:rsidRPr="000979E8">
        <w:rPr>
          <w:rFonts w:cs="Times New Roman"/>
        </w:rPr>
        <w:t>°</w:t>
      </w:r>
      <w:r w:rsidRPr="000979E8">
        <w:t>F</w:t>
      </w:r>
      <w:r w:rsidR="0030141C">
        <w:t xml:space="preserve">. </w:t>
      </w:r>
      <w:r w:rsidRPr="000979E8">
        <w:t xml:space="preserve">During these three winter months, </w:t>
      </w:r>
      <w:r>
        <w:t xml:space="preserve">the </w:t>
      </w:r>
      <w:r w:rsidRPr="000979E8">
        <w:t>ISO</w:t>
      </w:r>
      <w:r>
        <w:t xml:space="preserve"> </w:t>
      </w:r>
      <w:r w:rsidRPr="000979E8">
        <w:t>did not need to implement any OP 4 actions to man</w:t>
      </w:r>
      <w:r w:rsidR="006921AC">
        <w:t>a</w:t>
      </w:r>
      <w:r w:rsidRPr="000979E8">
        <w:t xml:space="preserve">ge </w:t>
      </w:r>
      <w:r>
        <w:t>a capacity deficiency</w:t>
      </w:r>
      <w:r w:rsidRPr="000979E8">
        <w:t>.</w:t>
      </w:r>
      <w:r w:rsidRPr="00E66749">
        <w:rPr>
          <w:rStyle w:val="FootnoteReference"/>
          <w:sz w:val="22"/>
        </w:rPr>
        <w:footnoteReference w:id="169"/>
      </w:r>
      <w:r w:rsidRPr="00E66749">
        <w:t xml:space="preserve"> </w:t>
      </w:r>
      <w:r w:rsidRPr="000979E8">
        <w:t>However, during the same three</w:t>
      </w:r>
      <w:r w:rsidR="00A64A01">
        <w:t>-</w:t>
      </w:r>
      <w:r w:rsidRPr="000979E8">
        <w:t xml:space="preserve">month timeframe, </w:t>
      </w:r>
      <w:r>
        <w:t xml:space="preserve">the </w:t>
      </w:r>
      <w:r w:rsidRPr="000979E8">
        <w:t>ISO</w:t>
      </w:r>
      <w:r>
        <w:t xml:space="preserve"> </w:t>
      </w:r>
      <w:r w:rsidRPr="000979E8">
        <w:t>invoke</w:t>
      </w:r>
      <w:r w:rsidR="00A64A01">
        <w:t>d</w:t>
      </w:r>
      <w:r w:rsidRPr="000979E8">
        <w:t xml:space="preserve"> Master/Local Control Center Procedure No. 2, </w:t>
      </w:r>
      <w:r w:rsidRPr="000979E8">
        <w:rPr>
          <w:i/>
        </w:rPr>
        <w:t>Abnormal Conditions Alert</w:t>
      </w:r>
      <w:r w:rsidRPr="000979E8">
        <w:t xml:space="preserve"> (M</w:t>
      </w:r>
      <w:r>
        <w:t>/</w:t>
      </w:r>
      <w:r w:rsidRPr="000979E8">
        <w:t xml:space="preserve">LCC2) on </w:t>
      </w:r>
      <w:r w:rsidR="00A64A01">
        <w:t xml:space="preserve">12 </w:t>
      </w:r>
      <w:r w:rsidRPr="000979E8">
        <w:t>occasions. Four M/LCC</w:t>
      </w:r>
      <w:r>
        <w:t>2</w:t>
      </w:r>
      <w:r w:rsidRPr="000979E8">
        <w:t xml:space="preserve"> declarations in December 2009 were to maintain </w:t>
      </w:r>
      <w:r>
        <w:t xml:space="preserve">sufficient </w:t>
      </w:r>
      <w:r w:rsidRPr="000979E8">
        <w:t>operational capacity across all New England. The majority of the remaining M/LCC</w:t>
      </w:r>
      <w:r>
        <w:t>2</w:t>
      </w:r>
      <w:r w:rsidRPr="000979E8">
        <w:t xml:space="preserve"> declarations in January and February were to curtail real-time </w:t>
      </w:r>
      <w:r>
        <w:t xml:space="preserve">electricity supply </w:t>
      </w:r>
      <w:r w:rsidRPr="000979E8">
        <w:t>contracts to maintain operating reserves.</w:t>
      </w:r>
    </w:p>
    <w:p w:rsidR="00A156AB" w:rsidRPr="00E44087" w:rsidRDefault="00A156AB" w:rsidP="00073277">
      <w:r>
        <w:t>T</w:t>
      </w:r>
      <w:r w:rsidRPr="00E44087">
        <w:t>he</w:t>
      </w:r>
      <w:r>
        <w:t xml:space="preserve"> ISO did not need to </w:t>
      </w:r>
      <w:r w:rsidRPr="00E44087">
        <w:t>invo</w:t>
      </w:r>
      <w:r>
        <w:t xml:space="preserve">ke a </w:t>
      </w:r>
      <w:r w:rsidRPr="00E44087">
        <w:rPr>
          <w:i/>
        </w:rPr>
        <w:t>Cold Weather Watch, Warning</w:t>
      </w:r>
      <w:r>
        <w:rPr>
          <w:i/>
        </w:rPr>
        <w:t>,</w:t>
      </w:r>
      <w:r w:rsidRPr="00E44087">
        <w:rPr>
          <w:i/>
        </w:rPr>
        <w:t xml:space="preserve"> or Event</w:t>
      </w:r>
      <w:r w:rsidRPr="00E44087">
        <w:t xml:space="preserve">, as defined within Appendix H of </w:t>
      </w:r>
      <w:r w:rsidRPr="00E44087">
        <w:rPr>
          <w:i/>
        </w:rPr>
        <w:t>Market Rule 1</w:t>
      </w:r>
      <w:r>
        <w:rPr>
          <w:rFonts w:cs="Times New Roman"/>
          <w:i/>
        </w:rPr>
        <w:t>—</w:t>
      </w:r>
      <w:r w:rsidRPr="00E44087">
        <w:rPr>
          <w:i/>
        </w:rPr>
        <w:t xml:space="preserve">Operations </w:t>
      </w:r>
      <w:r>
        <w:rPr>
          <w:i/>
        </w:rPr>
        <w:t>d</w:t>
      </w:r>
      <w:r w:rsidRPr="00E44087">
        <w:rPr>
          <w:i/>
        </w:rPr>
        <w:t xml:space="preserve">uring Cold Weather Conditions. </w:t>
      </w:r>
      <w:r w:rsidRPr="00E44087">
        <w:t xml:space="preserve">Appendix H is triggered </w:t>
      </w:r>
      <w:r>
        <w:t xml:space="preserve">when </w:t>
      </w:r>
      <w:r w:rsidRPr="00E44087">
        <w:t xml:space="preserve">severe winter weather </w:t>
      </w:r>
      <w:r>
        <w:t xml:space="preserve">occurs at the same time operable capacity is insufficient to supply projected </w:t>
      </w:r>
      <w:r w:rsidR="002B635E">
        <w:t>demand</w:t>
      </w:r>
      <w:r w:rsidRPr="00E44087">
        <w:t xml:space="preserve">. Since severe weather never materialized </w:t>
      </w:r>
      <w:r>
        <w:t>in winter 2009/</w:t>
      </w:r>
      <w:r w:rsidR="00EF25EB" w:rsidRPr="00EF25EB">
        <w:t>2010 and the system had no major fuel</w:t>
      </w:r>
      <w:r w:rsidR="003737D5">
        <w:t>-</w:t>
      </w:r>
      <w:r w:rsidR="00EF25EB" w:rsidRPr="00EF25EB">
        <w:t>supply disturbances, operable capacity margins remained</w:t>
      </w:r>
      <w:r w:rsidRPr="00E44087">
        <w:t xml:space="preserve"> </w:t>
      </w:r>
      <w:r>
        <w:t>positive and Appendix H did not need to be invoked</w:t>
      </w:r>
      <w:r w:rsidRPr="00E44087">
        <w:t xml:space="preserve">. Early communication between </w:t>
      </w:r>
      <w:r>
        <w:t xml:space="preserve">the </w:t>
      </w:r>
      <w:r w:rsidRPr="00E44087">
        <w:t>ISO</w:t>
      </w:r>
      <w:r>
        <w:t xml:space="preserve"> </w:t>
      </w:r>
      <w:r w:rsidRPr="00E44087">
        <w:t xml:space="preserve">and market participants allowed </w:t>
      </w:r>
      <w:r w:rsidR="003737D5">
        <w:t xml:space="preserve">time for </w:t>
      </w:r>
      <w:r w:rsidRPr="00E44087">
        <w:t>prepar</w:t>
      </w:r>
      <w:r w:rsidR="003737D5">
        <w:t xml:space="preserve">ing </w:t>
      </w:r>
      <w:r w:rsidRPr="00E44087">
        <w:t>for approaching cold weather</w:t>
      </w:r>
      <w:r>
        <w:t>,</w:t>
      </w:r>
      <w:r w:rsidRPr="00E44087">
        <w:t xml:space="preserve"> and gas-fired unit availability was sufficient. Communication and coordination between </w:t>
      </w:r>
      <w:r>
        <w:t xml:space="preserve">the </w:t>
      </w:r>
      <w:r w:rsidRPr="00E44087">
        <w:t>ISO</w:t>
      </w:r>
      <w:r>
        <w:t xml:space="preserve"> </w:t>
      </w:r>
      <w:r w:rsidRPr="00E44087">
        <w:t>and the gas</w:t>
      </w:r>
      <w:r>
        <w:t>-</w:t>
      </w:r>
      <w:r w:rsidRPr="00E44087">
        <w:t>control divisions of the regional pipelines in preparation for cold weather was excellent. For most of the winter, very few oil-fired fossil units cleared in the Day-Ahead Energy Market</w:t>
      </w:r>
      <w:r>
        <w:t>,</w:t>
      </w:r>
      <w:r w:rsidRPr="00E44087">
        <w:t xml:space="preserve"> </w:t>
      </w:r>
      <w:r>
        <w:t xml:space="preserve">and the ISO needed to commit </w:t>
      </w:r>
      <w:r w:rsidRPr="001F4D2D">
        <w:t xml:space="preserve">only </w:t>
      </w:r>
      <w:r>
        <w:t>a few units for reliability.</w:t>
      </w:r>
    </w:p>
    <w:p w:rsidR="00A156AB" w:rsidRPr="00DC41A4" w:rsidRDefault="00A156AB" w:rsidP="00073277">
      <w:r w:rsidRPr="00E44087">
        <w:t>No major issues with regional fuel supplies of coal, oil, or natural gas occurred during winter 2009/</w:t>
      </w:r>
      <w:r>
        <w:t>20</w:t>
      </w:r>
      <w:r w:rsidRPr="00E44087">
        <w:t xml:space="preserve">10. However, the Sable Offshore Energy Project (SOEP) experienced several unplanned outages at its natural gas production facilities in Atlantic Canada. During these </w:t>
      </w:r>
      <w:r w:rsidR="002B635E">
        <w:t xml:space="preserve">temporary </w:t>
      </w:r>
      <w:r w:rsidRPr="00E44087">
        <w:t xml:space="preserve">gas supply </w:t>
      </w:r>
      <w:r w:rsidR="000B40FA">
        <w:t xml:space="preserve">interruptions, the Canaport LNG facility was able to deliver </w:t>
      </w:r>
      <w:r w:rsidR="002B635E">
        <w:t>additional</w:t>
      </w:r>
      <w:r w:rsidR="000B40FA">
        <w:t xml:space="preserve"> natural gas supplies to the market</w:t>
      </w:r>
      <w:r>
        <w:t>.</w:t>
      </w:r>
      <w:r w:rsidRPr="00E44087">
        <w:t xml:space="preserve"> </w:t>
      </w:r>
      <w:r w:rsidR="003737D5">
        <w:t>N</w:t>
      </w:r>
      <w:r w:rsidRPr="00E44087">
        <w:t xml:space="preserve">o prolonged fuel-supply curtailments to gas-fired units or </w:t>
      </w:r>
      <w:r w:rsidR="002B635E">
        <w:t xml:space="preserve">major </w:t>
      </w:r>
      <w:r w:rsidRPr="00E44087">
        <w:t xml:space="preserve">issues </w:t>
      </w:r>
      <w:r w:rsidR="003737D5">
        <w:t xml:space="preserve">were </w:t>
      </w:r>
      <w:r w:rsidRPr="00E44087">
        <w:t>associated with natural gas quality or interchangeability.</w:t>
      </w:r>
    </w:p>
    <w:p w:rsidR="001B3090" w:rsidRDefault="00A156AB">
      <w:pPr>
        <w:pStyle w:val="Heading2"/>
      </w:pPr>
      <w:bookmarkStart w:id="531" w:name="_Toc201669948"/>
      <w:bookmarkStart w:id="532" w:name="_Toc207531847"/>
      <w:bookmarkStart w:id="533" w:name="_Ref230943638"/>
      <w:bookmarkStart w:id="534" w:name="_Toc239157086"/>
      <w:bookmarkStart w:id="535" w:name="_Toc271632262"/>
      <w:bookmarkStart w:id="536" w:name="_Toc176245020"/>
      <w:bookmarkEnd w:id="525"/>
      <w:r>
        <w:t xml:space="preserve">Expanding Natural Gas </w:t>
      </w:r>
      <w:r w:rsidR="00EF25EB" w:rsidRPr="00EF25EB">
        <w:t xml:space="preserve">Supply and </w:t>
      </w:r>
      <w:r w:rsidR="003174D8" w:rsidRPr="003174D8">
        <w:t>Infrastructure</w:t>
      </w:r>
      <w:bookmarkEnd w:id="531"/>
      <w:bookmarkEnd w:id="532"/>
      <w:bookmarkEnd w:id="533"/>
      <w:bookmarkEnd w:id="534"/>
      <w:bookmarkEnd w:id="535"/>
    </w:p>
    <w:p w:rsidR="00A156AB" w:rsidRPr="00E66749" w:rsidRDefault="00A156AB" w:rsidP="00073277">
      <w:r w:rsidRPr="006751BC">
        <w:t xml:space="preserve">Before the 1990s, New England was served by only two interstate natural gas pipelines, Algonquin Gas Transmission </w:t>
      </w:r>
      <w:r>
        <w:t xml:space="preserve">(AGT) </w:t>
      </w:r>
      <w:r w:rsidRPr="006751BC">
        <w:t xml:space="preserve">and the Tennessee Gas Pipeline (TGP). The Iroquois Gas Transmission System (IGTS) was commercialized in </w:t>
      </w:r>
      <w:r w:rsidR="00132AEC">
        <w:t>1991/</w:t>
      </w:r>
      <w:r w:rsidRPr="006751BC">
        <w:t xml:space="preserve">1992. The Portland Natural Gas Transmission System (PNGTS) and the Maritimes and Northeast (M&amp;NE) Pipeline were both commercialized in 1999. These five interstate natural gas pipelines </w:t>
      </w:r>
      <w:r>
        <w:t xml:space="preserve">make up </w:t>
      </w:r>
      <w:r w:rsidRPr="006751BC">
        <w:t xml:space="preserve">the majority of gas transportation capacity into and within the region. </w:t>
      </w:r>
      <w:r>
        <w:t>S</w:t>
      </w:r>
      <w:r w:rsidRPr="006751BC">
        <w:t xml:space="preserve">everal intrastate natural gas pipelines </w:t>
      </w:r>
      <w:r>
        <w:t xml:space="preserve">are located </w:t>
      </w:r>
      <w:r w:rsidRPr="006751BC">
        <w:t>within New England</w:t>
      </w:r>
      <w:r>
        <w:t xml:space="preserve">, for example, the Vermont Gas System, Northern </w:t>
      </w:r>
      <w:r w:rsidRPr="00E66749">
        <w:t>Utilities, and KeySpan Energy Delivery.</w:t>
      </w:r>
      <w:r w:rsidRPr="00E66749">
        <w:rPr>
          <w:rStyle w:val="FootnoteReference"/>
          <w:sz w:val="22"/>
        </w:rPr>
        <w:footnoteReference w:id="170"/>
      </w:r>
    </w:p>
    <w:p w:rsidR="00A156AB" w:rsidRPr="00E66749" w:rsidRDefault="00A156AB" w:rsidP="00073277">
      <w:r w:rsidRPr="00E66749">
        <w:t>As a result of the forecast for the need for new, regional gas supplies</w:t>
      </w:r>
      <w:r w:rsidR="00C65C0A">
        <w:t>,</w:t>
      </w:r>
      <w:r w:rsidRPr="00E66749">
        <w:t xml:space="preserve"> combined with the natural progression of market expansion, the natural gas industry has invested heavily in infrastructure enhancements in the northeastern United States and in eastern Canada. Some of these enhancements were driven by the need to deliver new LNG supplies</w:t>
      </w:r>
      <w:r w:rsidR="00132AEC" w:rsidRPr="00E66749">
        <w:t xml:space="preserve"> to regional markets</w:t>
      </w:r>
      <w:r w:rsidRPr="00E66749">
        <w:t xml:space="preserve">. More recently, work is being completed to access new gas supplies emanating from the Rocky Mountain basins and other new, unconventional natural gas supply sources, such as Marcellus Shale, which is </w:t>
      </w:r>
      <w:r w:rsidR="00890D42" w:rsidRPr="00E66749">
        <w:t xml:space="preserve">geographically </w:t>
      </w:r>
      <w:r w:rsidR="005271A4" w:rsidRPr="00E66749">
        <w:t>close</w:t>
      </w:r>
      <w:r w:rsidR="009D09FE" w:rsidRPr="00E66749">
        <w:t xml:space="preserve"> </w:t>
      </w:r>
      <w:r w:rsidRPr="00E66749">
        <w:t>to New England.</w:t>
      </w:r>
      <w:r w:rsidRPr="00E66749">
        <w:rPr>
          <w:rStyle w:val="FootnoteReference"/>
          <w:sz w:val="22"/>
        </w:rPr>
        <w:footnoteReference w:id="171"/>
      </w:r>
      <w:r w:rsidRPr="00E66749">
        <w:t xml:space="preserve"> In addition, development continues at the Deep Panuke project located in Atlantic Canada</w:t>
      </w:r>
      <w:r w:rsidR="00132AEC" w:rsidRPr="00E66749">
        <w:t xml:space="preserve"> with a target commercial in-service date of sometime in 2011</w:t>
      </w:r>
      <w:r w:rsidRPr="00E66749">
        <w:t>.</w:t>
      </w:r>
      <w:r w:rsidRPr="00E66749">
        <w:rPr>
          <w:rStyle w:val="FootnoteReference"/>
          <w:sz w:val="22"/>
        </w:rPr>
        <w:footnoteReference w:id="172"/>
      </w:r>
    </w:p>
    <w:p w:rsidR="00B462A6" w:rsidRDefault="00A156AB">
      <w:pPr>
        <w:pStyle w:val="Heading3"/>
      </w:pPr>
      <w:bookmarkStart w:id="537" w:name="_Toc239157087"/>
      <w:bookmarkStart w:id="538" w:name="_Toc271632263"/>
      <w:r w:rsidRPr="00265BD7">
        <w:t>LNG Supply</w:t>
      </w:r>
      <w:r>
        <w:t xml:space="preserve"> </w:t>
      </w:r>
      <w:bookmarkEnd w:id="537"/>
      <w:r w:rsidR="00C43FDC">
        <w:t>Facilities</w:t>
      </w:r>
      <w:bookmarkEnd w:id="538"/>
    </w:p>
    <w:p w:rsidR="00A156AB" w:rsidRDefault="00A156AB" w:rsidP="00073277">
      <w:r w:rsidRPr="001F4D2D">
        <w:t xml:space="preserve">The reliability of natural gas supply to New England will be improved through the addition of new LNG terminals, natural gas pipelines, and </w:t>
      </w:r>
      <w:r w:rsidR="00E760A4">
        <w:t xml:space="preserve">regional gas </w:t>
      </w:r>
      <w:r w:rsidRPr="001F4D2D">
        <w:t>storage facilities.</w:t>
      </w:r>
    </w:p>
    <w:p w:rsidR="00FC0261" w:rsidRDefault="00A156AB" w:rsidP="00235A65">
      <w:pPr>
        <w:pStyle w:val="Heading4"/>
      </w:pPr>
      <w:r>
        <w:t>Distrigas</w:t>
      </w:r>
      <w:r w:rsidR="004B0811">
        <w:t xml:space="preserve"> Import Terminal</w:t>
      </w:r>
    </w:p>
    <w:p w:rsidR="00AE09C0" w:rsidRDefault="00AE09C0" w:rsidP="00AE09C0">
      <w:r>
        <w:t>In 2009, Distrigas of Massachusetts</w:t>
      </w:r>
      <w:r w:rsidR="00630169">
        <w:t xml:space="preserve"> LLC</w:t>
      </w:r>
      <w:r>
        <w:t xml:space="preserve"> (DOMAC) supplied 22% of New England’s total annual gas consumption and up to 45% of the region’s natural gas requirements on winter peak days.</w:t>
      </w:r>
      <w:r w:rsidRPr="00567BC3">
        <w:rPr>
          <w:rStyle w:val="FootnoteReference"/>
          <w:sz w:val="22"/>
        </w:rPr>
        <w:footnoteReference w:id="173"/>
      </w:r>
      <w:r>
        <w:t xml:space="preserve"> </w:t>
      </w:r>
      <w:r w:rsidRPr="00BB3F1E">
        <w:t xml:space="preserve">The LNG </w:t>
      </w:r>
      <w:r>
        <w:t>i</w:t>
      </w:r>
      <w:r w:rsidRPr="00BB3F1E">
        <w:t xml:space="preserve">mport </w:t>
      </w:r>
      <w:r>
        <w:t>t</w:t>
      </w:r>
      <w:r w:rsidRPr="00BB3F1E">
        <w:t>erminal located on the Mystic River in Everett, Massachusetts</w:t>
      </w:r>
      <w:r>
        <w:t>,</w:t>
      </w:r>
      <w:r w:rsidRPr="00BB3F1E">
        <w:t xml:space="preserve"> owned and operated by </w:t>
      </w:r>
      <w:r w:rsidR="00630169">
        <w:t xml:space="preserve">DOMAC </w:t>
      </w:r>
      <w:r>
        <w:t xml:space="preserve">and </w:t>
      </w:r>
      <w:r w:rsidRPr="00BB3F1E">
        <w:t>part of GDF SUEZ Energy North America, Inc.</w:t>
      </w:r>
      <w:r>
        <w:t xml:space="preserve"> began </w:t>
      </w:r>
      <w:r w:rsidRPr="00BB3F1E">
        <w:t>commercial operation in 1971</w:t>
      </w:r>
      <w:r w:rsidR="0047625D">
        <w:t>.</w:t>
      </w:r>
      <w:r w:rsidR="00630169" w:rsidRPr="00567BC3">
        <w:rPr>
          <w:rStyle w:val="FootnoteReference"/>
          <w:sz w:val="22"/>
        </w:rPr>
        <w:footnoteReference w:id="174"/>
      </w:r>
      <w:r w:rsidR="00630169" w:rsidRPr="001F4D2D">
        <w:t xml:space="preserve"> </w:t>
      </w:r>
      <w:r w:rsidRPr="00BB3F1E">
        <w:t>In 2009, Distrigas received 67 LNG cargoes, representing 38% of total U.S. LNG cargoes and 34% of total U.S. LNG volumes.</w:t>
      </w:r>
      <w:r w:rsidRPr="00567BC3">
        <w:rPr>
          <w:rStyle w:val="FootnoteReference"/>
          <w:sz w:val="22"/>
        </w:rPr>
        <w:footnoteReference w:id="175"/>
      </w:r>
    </w:p>
    <w:p w:rsidR="00FC0261" w:rsidRDefault="00A156AB" w:rsidP="00235A65">
      <w:pPr>
        <w:pStyle w:val="Heading4"/>
      </w:pPr>
      <w:r>
        <w:t>Northeast Gateway</w:t>
      </w:r>
      <w:r w:rsidR="004B0811">
        <w:t xml:space="preserve"> </w:t>
      </w:r>
      <w:r w:rsidR="00C43FDC">
        <w:t xml:space="preserve">Deepwater </w:t>
      </w:r>
      <w:r w:rsidR="004B0811">
        <w:t>Port</w:t>
      </w:r>
    </w:p>
    <w:p w:rsidR="00A156AB" w:rsidRDefault="00A156AB" w:rsidP="00073277">
      <w:r w:rsidRPr="00E952F7">
        <w:t>In May 2008, the Northeast Gateway Deepwater Port</w:t>
      </w:r>
      <w:r w:rsidR="004B0811">
        <w:t>, located offshore Gloucester, M</w:t>
      </w:r>
      <w:r w:rsidR="0047625D">
        <w:t>assachusetts</w:t>
      </w:r>
      <w:r w:rsidR="004B0811">
        <w:t>,</w:t>
      </w:r>
      <w:r w:rsidRPr="00E952F7">
        <w:t xml:space="preserve"> accepted its first commercial delivery of LNG. Excelerate Energy owns and operates Northeast Gateway, which is an LNG importer and provider of regasification services.</w:t>
      </w:r>
      <w:r w:rsidRPr="00567BC3">
        <w:rPr>
          <w:rStyle w:val="FootnoteReference"/>
          <w:sz w:val="22"/>
        </w:rPr>
        <w:footnoteReference w:id="176"/>
      </w:r>
      <w:r w:rsidRPr="00567BC3">
        <w:t xml:space="preserve"> </w:t>
      </w:r>
      <w:r w:rsidRPr="00E952F7">
        <w:t>The physical infrastructure of Northeast Gateway consists of a dual-submerged turret-loading buoy system with approximately 16 miles of lateral pipeline connecting into the HubLine Pipeline in Massachusetts Bay.</w:t>
      </w:r>
    </w:p>
    <w:p w:rsidR="00FC0261" w:rsidRDefault="00A156AB" w:rsidP="00235A65">
      <w:pPr>
        <w:pStyle w:val="Heading4"/>
      </w:pPr>
      <w:bookmarkStart w:id="539" w:name="_Ref266109986"/>
      <w:r>
        <w:t xml:space="preserve">Canaport </w:t>
      </w:r>
      <w:r w:rsidR="004B0811">
        <w:t>Import and Storage Facility</w:t>
      </w:r>
      <w:bookmarkEnd w:id="539"/>
    </w:p>
    <w:p w:rsidR="00A156AB" w:rsidRPr="00E952F7" w:rsidRDefault="00A156AB" w:rsidP="00073277">
      <w:r>
        <w:t xml:space="preserve">In November 2009, a new land-based LNG import and storage facility was commercialized in Saint John, New Brunswick. Canaport </w:t>
      </w:r>
      <w:r w:rsidRPr="00D01B70">
        <w:t xml:space="preserve">LNG has the capability to </w:t>
      </w:r>
      <w:r w:rsidRPr="00C84FAA">
        <w:t>regasify and sustain approximately 1.</w:t>
      </w:r>
      <w:r w:rsidR="006921AC" w:rsidRPr="00C84FAA">
        <w:t>0 </w:t>
      </w:r>
      <w:r w:rsidRPr="00C84FAA">
        <w:t>billion cubic feet of gas per day (Bcf/d).</w:t>
      </w:r>
      <w:r w:rsidRPr="00C84FAA">
        <w:rPr>
          <w:rStyle w:val="FootnoteReference"/>
          <w:sz w:val="22"/>
        </w:rPr>
        <w:footnoteReference w:id="177"/>
      </w:r>
      <w:r w:rsidRPr="00C84FAA">
        <w:t xml:space="preserve"> The regasif</w:t>
      </w:r>
      <w:r>
        <w:t>ied LNG is delivered through the Brunswick Pipeline for delivery into the Canadian and U.S. gas markets via the M&amp;NE Pipeline system.</w:t>
      </w:r>
      <w:r w:rsidRPr="009857D7">
        <w:rPr>
          <w:rStyle w:val="FootnoteReference"/>
          <w:sz w:val="22"/>
        </w:rPr>
        <w:footnoteReference w:id="178"/>
      </w:r>
      <w:r w:rsidRPr="009857D7">
        <w:t xml:space="preserve"> </w:t>
      </w:r>
      <w:r>
        <w:t>In 2009, the Canaport LNG facility received 13 LNG cargoes</w:t>
      </w:r>
      <w:r w:rsidRPr="000A0812">
        <w:t>, had a maximum daily send out of 0.77 Bcf/d, and had an average daily send out of 0.19 Bcf/d. A third LNG storage tank was commercialized in May 2010</w:t>
      </w:r>
      <w:r w:rsidR="00630169">
        <w:t>, providing overall storage capability at approximately 10 Bcf</w:t>
      </w:r>
      <w:r w:rsidRPr="000A0812">
        <w:t>.</w:t>
      </w:r>
    </w:p>
    <w:p w:rsidR="00FC0261" w:rsidRDefault="00A156AB" w:rsidP="00235A65">
      <w:pPr>
        <w:pStyle w:val="Heading4"/>
      </w:pPr>
      <w:r>
        <w:t xml:space="preserve">Neptune </w:t>
      </w:r>
      <w:r w:rsidR="004B0811">
        <w:t>Deepwater Port</w:t>
      </w:r>
    </w:p>
    <w:p w:rsidR="0027358F" w:rsidRDefault="0070461B">
      <w:pPr>
        <w:keepNext/>
        <w:keepLines/>
      </w:pPr>
      <w:r>
        <w:t>A</w:t>
      </w:r>
      <w:r w:rsidRPr="00BB3F1E">
        <w:t>nother LNG import terminal and provider of regasification services for the region</w:t>
      </w:r>
      <w:r>
        <w:t xml:space="preserve"> is the </w:t>
      </w:r>
      <w:r w:rsidR="00C93D44">
        <w:t xml:space="preserve">new </w:t>
      </w:r>
      <w:r>
        <w:t xml:space="preserve">Neptune LNG deepwater port off the coast of Cape Ann. The facility, which is </w:t>
      </w:r>
      <w:r w:rsidR="000B2BE4">
        <w:t>owned by Neptune LNG LLC, another subsidiary of GDF SUEZ Energy North America Inc, is ready to accept LNG deliveries</w:t>
      </w:r>
      <w:r>
        <w:t xml:space="preserve">. </w:t>
      </w:r>
      <w:r w:rsidR="000B2BE4" w:rsidRPr="00BB3F1E">
        <w:t xml:space="preserve">The first commissioning cargo arrived </w:t>
      </w:r>
      <w:r w:rsidR="004C657B">
        <w:t xml:space="preserve">at the port </w:t>
      </w:r>
      <w:r w:rsidR="000B2BE4" w:rsidRPr="00BB3F1E">
        <w:t>in February 2010</w:t>
      </w:r>
      <w:r>
        <w:t xml:space="preserve">, and </w:t>
      </w:r>
      <w:r w:rsidR="004C657B">
        <w:t xml:space="preserve">the </w:t>
      </w:r>
      <w:r w:rsidR="000B2BE4" w:rsidRPr="00BB3F1E">
        <w:t xml:space="preserve">second commissioning cargo </w:t>
      </w:r>
      <w:r w:rsidR="004C657B">
        <w:t>a</w:t>
      </w:r>
      <w:r w:rsidR="000B2BE4" w:rsidRPr="00BB3F1E">
        <w:t>rrive</w:t>
      </w:r>
      <w:r w:rsidR="004C657B">
        <w:t>d</w:t>
      </w:r>
      <w:r w:rsidR="000B2BE4" w:rsidRPr="00BB3F1E">
        <w:t xml:space="preserve"> in August </w:t>
      </w:r>
      <w:r w:rsidR="000B2BE4">
        <w:t>2010</w:t>
      </w:r>
      <w:r w:rsidR="000B2BE4" w:rsidRPr="00BB3F1E">
        <w:t>.</w:t>
      </w:r>
      <w:r w:rsidRPr="002D3463">
        <w:rPr>
          <w:rStyle w:val="FootnoteReference"/>
          <w:sz w:val="22"/>
        </w:rPr>
        <w:footnoteReference w:id="179"/>
      </w:r>
      <w:r w:rsidR="00C43FDC" w:rsidRPr="002D3463">
        <w:t xml:space="preserve"> </w:t>
      </w:r>
    </w:p>
    <w:p w:rsidR="00B462A6" w:rsidRDefault="003E5EFB">
      <w:pPr>
        <w:pStyle w:val="Heading3"/>
      </w:pPr>
      <w:bookmarkStart w:id="540" w:name="_Toc271632264"/>
      <w:r>
        <w:t xml:space="preserve">Marcellus Shale </w:t>
      </w:r>
      <w:r w:rsidR="00DB2224">
        <w:t>Gas Development</w:t>
      </w:r>
      <w:bookmarkEnd w:id="540"/>
    </w:p>
    <w:p w:rsidR="00DB2224" w:rsidRPr="00DB2224" w:rsidRDefault="000B40FA" w:rsidP="00DB2224">
      <w:r>
        <w:t xml:space="preserve">One major new </w:t>
      </w:r>
      <w:r w:rsidRPr="003E5EFB">
        <w:t>development in regional gas supply is the potential for expanded natural gas production within the Marcellus Shale</w:t>
      </w:r>
      <w:r w:rsidR="003E5EFB" w:rsidRPr="003E5EFB">
        <w:t xml:space="preserve">. </w:t>
      </w:r>
      <w:r>
        <w:t>Technical estimates project that this basin</w:t>
      </w:r>
      <w:r w:rsidR="00C84FAA">
        <w:t>, proximate to New England,</w:t>
      </w:r>
      <w:r>
        <w:t xml:space="preserve"> may hold from 250 to 500 trillion cubic feet (Tcf) of natural gas, </w:t>
      </w:r>
      <w:r w:rsidR="00122AAD">
        <w:t>al</w:t>
      </w:r>
      <w:r>
        <w:t xml:space="preserve">though the actual recoverable supply will be driven in part by environmental constraints and economics. </w:t>
      </w:r>
      <w:r w:rsidR="00122AAD">
        <w:t>L</w:t>
      </w:r>
      <w:r>
        <w:t xml:space="preserve">and and water access, infrastructure development, and other environmental concerns may present further complications as more </w:t>
      </w:r>
      <w:r w:rsidR="00122AAD">
        <w:t xml:space="preserve">of the </w:t>
      </w:r>
      <w:r>
        <w:t xml:space="preserve">Marcellus Shale </w:t>
      </w:r>
      <w:r w:rsidR="00122AAD">
        <w:t>is developed. However, i</w:t>
      </w:r>
      <w:r>
        <w:t>t remains a promising domestic source of natural gas for the foreseeable future.</w:t>
      </w:r>
      <w:r w:rsidRPr="000B40FA">
        <w:rPr>
          <w:rStyle w:val="FootnoteReference"/>
          <w:sz w:val="22"/>
        </w:rPr>
        <w:footnoteReference w:id="180"/>
      </w:r>
    </w:p>
    <w:p w:rsidR="00B462A6" w:rsidRDefault="00A156AB">
      <w:pPr>
        <w:pStyle w:val="Heading3"/>
      </w:pPr>
      <w:bookmarkStart w:id="541" w:name="_Toc239157088"/>
      <w:bookmarkStart w:id="542" w:name="_Toc271632265"/>
      <w:r>
        <w:t>New Pipelines and Storage</w:t>
      </w:r>
      <w:bookmarkEnd w:id="541"/>
      <w:bookmarkEnd w:id="542"/>
    </w:p>
    <w:p w:rsidR="00A156AB" w:rsidRDefault="00A156AB" w:rsidP="00073277">
      <w:r w:rsidRPr="00E952F7">
        <w:t>The Northeast Gas Association (NGA) maintains a list of regional natural gas pipeline, LNG, and storage projects that have been or are scheduled to be commercialized.</w:t>
      </w:r>
      <w:r w:rsidRPr="002D3463">
        <w:rPr>
          <w:rStyle w:val="FootnoteReference"/>
          <w:sz w:val="22"/>
        </w:rPr>
        <w:footnoteReference w:id="181"/>
      </w:r>
      <w:r w:rsidRPr="00E952F7">
        <w:t xml:space="preserve"> Some of the projects </w:t>
      </w:r>
      <w:r w:rsidR="00BC13D6">
        <w:t xml:space="preserve">affecting New England </w:t>
      </w:r>
      <w:r w:rsidRPr="00E952F7">
        <w:t xml:space="preserve">are </w:t>
      </w:r>
      <w:r>
        <w:t>described</w:t>
      </w:r>
      <w:r w:rsidRPr="00E952F7">
        <w:t xml:space="preserve"> below.</w:t>
      </w:r>
    </w:p>
    <w:p w:rsidR="00FC0261" w:rsidRDefault="00A156AB" w:rsidP="00235A65">
      <w:pPr>
        <w:pStyle w:val="Heading4"/>
      </w:pPr>
      <w:r>
        <w:t>New Pipelines Projects</w:t>
      </w:r>
    </w:p>
    <w:p w:rsidR="00A156AB" w:rsidRPr="00286706" w:rsidRDefault="00A156AB" w:rsidP="00073277">
      <w:r w:rsidRPr="00286706">
        <w:t xml:space="preserve">During 2009, several regional natural gas pipeline projects were completed. Others are scheduled for commercial operation in 2010. Some of these infrastructure additions </w:t>
      </w:r>
      <w:r>
        <w:t xml:space="preserve">that </w:t>
      </w:r>
      <w:r w:rsidRPr="00286706">
        <w:t xml:space="preserve">may have a direct or indirect impact on New England </w:t>
      </w:r>
      <w:r>
        <w:t>are as follows</w:t>
      </w:r>
      <w:r w:rsidRPr="00286706">
        <w:t>:</w:t>
      </w:r>
      <w:r w:rsidRPr="002D3463">
        <w:rPr>
          <w:rStyle w:val="FootnoteReference"/>
          <w:sz w:val="22"/>
        </w:rPr>
        <w:footnoteReference w:id="182"/>
      </w:r>
    </w:p>
    <w:p w:rsidR="00A156AB" w:rsidRPr="00286706" w:rsidRDefault="00A156AB" w:rsidP="00972AEF">
      <w:pPr>
        <w:pStyle w:val="Bullet-Solid"/>
      </w:pPr>
      <w:r w:rsidRPr="001F4D2D">
        <w:t>Iroquois Pipeline</w:t>
      </w:r>
      <w:r w:rsidRPr="001F4D2D">
        <w:rPr>
          <w:rFonts w:cs="Times New Roman"/>
        </w:rPr>
        <w:t>—</w:t>
      </w:r>
      <w:r w:rsidRPr="001F4D2D">
        <w:t>2008/2009 Expansion Phase II and III; 2008/2009 (U.</w:t>
      </w:r>
      <w:r w:rsidRPr="00286706">
        <w:t xml:space="preserve">S. and Canadian </w:t>
      </w:r>
      <w:r w:rsidR="008011EE">
        <w:t>m</w:t>
      </w:r>
      <w:r w:rsidRPr="00286706">
        <w:t>ulti-</w:t>
      </w:r>
      <w:r w:rsidR="008011EE">
        <w:t>p</w:t>
      </w:r>
      <w:r w:rsidRPr="00286706">
        <w:t xml:space="preserve">arty </w:t>
      </w:r>
      <w:r w:rsidR="008011EE">
        <w:t>o</w:t>
      </w:r>
      <w:r w:rsidRPr="00286706">
        <w:t>wnership)</w:t>
      </w:r>
    </w:p>
    <w:p w:rsidR="00A156AB" w:rsidRPr="00286706" w:rsidRDefault="00A156AB" w:rsidP="00972AEF">
      <w:pPr>
        <w:pStyle w:val="Bullet-Solid"/>
      </w:pPr>
      <w:r w:rsidRPr="00286706">
        <w:t>Maritimes &amp; Northeast Pipeline</w:t>
      </w:r>
      <w:r>
        <w:rPr>
          <w:rFonts w:cs="Times New Roman"/>
        </w:rPr>
        <w:t>—</w:t>
      </w:r>
      <w:r w:rsidRPr="00286706">
        <w:t>Phase IV Project</w:t>
      </w:r>
      <w:r>
        <w:t xml:space="preserve">; </w:t>
      </w:r>
      <w:r w:rsidRPr="00286706">
        <w:t>2009 (Spectra Energy)</w:t>
      </w:r>
    </w:p>
    <w:p w:rsidR="00A156AB" w:rsidRPr="00286706" w:rsidRDefault="00A156AB" w:rsidP="00972AEF">
      <w:pPr>
        <w:pStyle w:val="Bullet-Solid"/>
      </w:pPr>
      <w:r w:rsidRPr="00286706">
        <w:t>Algonquin Pipeline</w:t>
      </w:r>
      <w:r>
        <w:rPr>
          <w:rFonts w:cs="Times New Roman"/>
        </w:rPr>
        <w:t>—</w:t>
      </w:r>
      <w:r w:rsidRPr="00286706">
        <w:t>J-2 Lateral Expansion</w:t>
      </w:r>
      <w:r>
        <w:t xml:space="preserve">; </w:t>
      </w:r>
      <w:r w:rsidRPr="00286706">
        <w:t>2009 (Spectra Energy)</w:t>
      </w:r>
    </w:p>
    <w:p w:rsidR="00A156AB" w:rsidRPr="00286706" w:rsidRDefault="00A156AB" w:rsidP="00972AEF">
      <w:pPr>
        <w:pStyle w:val="Bullet-Solid"/>
      </w:pPr>
      <w:r w:rsidRPr="00286706">
        <w:t>Tennessee Gas Pipeline</w:t>
      </w:r>
      <w:r>
        <w:rPr>
          <w:rFonts w:cs="Times New Roman"/>
        </w:rPr>
        <w:t>—</w:t>
      </w:r>
      <w:r w:rsidRPr="00286706">
        <w:t>Concord Lateral Expansion</w:t>
      </w:r>
      <w:r>
        <w:t xml:space="preserve">; </w:t>
      </w:r>
      <w:r w:rsidRPr="00286706">
        <w:t>2009 (El Paso)</w:t>
      </w:r>
    </w:p>
    <w:p w:rsidR="00A156AB" w:rsidRPr="00286706" w:rsidRDefault="00A156AB" w:rsidP="00972AEF">
      <w:pPr>
        <w:pStyle w:val="Bullet-Solid"/>
      </w:pPr>
      <w:r w:rsidRPr="00286706">
        <w:t>Algonquin Pipeline</w:t>
      </w:r>
      <w:r>
        <w:rPr>
          <w:rFonts w:cs="Times New Roman"/>
        </w:rPr>
        <w:t>—</w:t>
      </w:r>
      <w:r w:rsidRPr="00286706">
        <w:t>East</w:t>
      </w:r>
      <w:r>
        <w:t>-</w:t>
      </w:r>
      <w:r w:rsidRPr="00286706">
        <w:t>to</w:t>
      </w:r>
      <w:r>
        <w:t>-</w:t>
      </w:r>
      <w:r w:rsidRPr="00286706">
        <w:t>West Expansion Project</w:t>
      </w:r>
      <w:r>
        <w:t xml:space="preserve">; </w:t>
      </w:r>
      <w:r w:rsidRPr="00286706">
        <w:t>2010 (Spectra Energy)</w:t>
      </w:r>
    </w:p>
    <w:p w:rsidR="00A156AB" w:rsidRDefault="00A156AB" w:rsidP="00073277">
      <w:r w:rsidRPr="00286706">
        <w:t>Some of these projects were designed to improve the deliverability of the new LNG supplies. Some projects provide access to new gas supplies, underground storage, and other (interconnected) pipelines, while others were designed to mitigate known constraints and maximize throughput into major market centers.</w:t>
      </w:r>
    </w:p>
    <w:p w:rsidR="00FC0261" w:rsidRDefault="00A156AB" w:rsidP="00235A65">
      <w:pPr>
        <w:pStyle w:val="Heading4"/>
      </w:pPr>
      <w:r>
        <w:t>New Storage Projects</w:t>
      </w:r>
    </w:p>
    <w:p w:rsidR="00A156AB" w:rsidRPr="00286706" w:rsidRDefault="00A156AB" w:rsidP="00073277">
      <w:r w:rsidRPr="00286706">
        <w:t>Natural gas storage is a critical part of the gas supply chain. The northeast U.S. has considerable underground storage, notably in Pennsylvania and New York.</w:t>
      </w:r>
      <w:r w:rsidRPr="00E003F0">
        <w:rPr>
          <w:rStyle w:val="FootnoteReference"/>
          <w:sz w:val="22"/>
        </w:rPr>
        <w:footnoteReference w:id="183"/>
      </w:r>
      <w:r w:rsidRPr="00E003F0">
        <w:t xml:space="preserve"> </w:t>
      </w:r>
      <w:r w:rsidRPr="00286706">
        <w:t>Some gas storage infrastructure projects are as follows:</w:t>
      </w:r>
    </w:p>
    <w:p w:rsidR="00A156AB" w:rsidRPr="00286706" w:rsidRDefault="00A156AB" w:rsidP="00073277">
      <w:pPr>
        <w:pStyle w:val="Bullet-Solid"/>
      </w:pPr>
      <w:r w:rsidRPr="00286706">
        <w:t>Steckman Ridge Storage Project (12 Bcf), located in south-central Pennsylvania, was put into service in April 2009.</w:t>
      </w:r>
      <w:r w:rsidRPr="00E003F0">
        <w:rPr>
          <w:rStyle w:val="FootnoteReference"/>
          <w:sz w:val="22"/>
        </w:rPr>
        <w:footnoteReference w:id="184"/>
      </w:r>
    </w:p>
    <w:p w:rsidR="00A156AB" w:rsidRPr="00E66749" w:rsidRDefault="00A156AB" w:rsidP="00073277">
      <w:pPr>
        <w:pStyle w:val="Bullet-Solid"/>
      </w:pPr>
      <w:r>
        <w:t xml:space="preserve">Wyckoff Gas Storage </w:t>
      </w:r>
      <w:r w:rsidRPr="00286706">
        <w:t xml:space="preserve">provides approximately 5.1 </w:t>
      </w:r>
      <w:r>
        <w:t>B</w:t>
      </w:r>
      <w:r w:rsidRPr="00286706">
        <w:t>cf of working gas storage</w:t>
      </w:r>
      <w:r>
        <w:t xml:space="preserve"> and is </w:t>
      </w:r>
      <w:r w:rsidRPr="00286706">
        <w:t xml:space="preserve">designed to inject and withdraw storage inventory throughout the </w:t>
      </w:r>
      <w:r w:rsidR="003174D8" w:rsidRPr="003174D8">
        <w:t>year. On July 22, 2009, FERC announced approval of Wyckoff’s request to begin storage service from the Onondaga reef storage reservoir using the facilities approved for the Wyckoff Gas Storage Project (Phase I) in Steuben County, N</w:t>
      </w:r>
      <w:r w:rsidR="000F14B3">
        <w:t xml:space="preserve">ew </w:t>
      </w:r>
      <w:r w:rsidR="003174D8" w:rsidRPr="003174D8">
        <w:t>Y</w:t>
      </w:r>
      <w:r w:rsidR="000F14B3">
        <w:t>ork</w:t>
      </w:r>
      <w:r w:rsidR="003174D8" w:rsidRPr="00E66749">
        <w:t>.</w:t>
      </w:r>
      <w:r w:rsidR="003174D8" w:rsidRPr="00E66749">
        <w:rPr>
          <w:rStyle w:val="FootnoteReference"/>
          <w:sz w:val="22"/>
        </w:rPr>
        <w:footnoteReference w:id="185"/>
      </w:r>
    </w:p>
    <w:p w:rsidR="00A156AB" w:rsidRPr="00377A97" w:rsidRDefault="00A156AB" w:rsidP="00073277">
      <w:pPr>
        <w:pStyle w:val="Bullet-Solid"/>
      </w:pPr>
      <w:r w:rsidRPr="002A2741">
        <w:t xml:space="preserve">Thomas Corners Storage Project (7 Bcf), </w:t>
      </w:r>
      <w:r w:rsidR="000F14B3">
        <w:t xml:space="preserve">also </w:t>
      </w:r>
      <w:r w:rsidRPr="002A2741">
        <w:t>located in Steuben County, New York, was put into commercial operation on April 1, 2010.</w:t>
      </w:r>
      <w:r w:rsidRPr="00E003F0">
        <w:rPr>
          <w:rStyle w:val="FootnoteReference"/>
          <w:sz w:val="22"/>
        </w:rPr>
        <w:footnoteReference w:id="186"/>
      </w:r>
    </w:p>
    <w:p w:rsidR="002878A4" w:rsidRDefault="00A156AB" w:rsidP="009D1346">
      <w:pPr>
        <w:pStyle w:val="Heading2"/>
      </w:pPr>
      <w:bookmarkStart w:id="543" w:name="_Toc201669949"/>
      <w:bookmarkStart w:id="544" w:name="_Toc207531848"/>
      <w:bookmarkStart w:id="545" w:name="_Toc239157089"/>
      <w:bookmarkStart w:id="546" w:name="_Toc271632266"/>
      <w:r>
        <w:t>Electric Power Sector Outlook</w:t>
      </w:r>
      <w:bookmarkEnd w:id="543"/>
      <w:bookmarkEnd w:id="544"/>
      <w:bookmarkEnd w:id="545"/>
      <w:bookmarkEnd w:id="546"/>
    </w:p>
    <w:p w:rsidR="00A156AB" w:rsidRPr="00502DB0" w:rsidRDefault="00A156AB" w:rsidP="00073277">
      <w:r w:rsidRPr="00286706">
        <w:t>Resource diversity within New England is expanding. Renewable projects are under development across the region</w:t>
      </w:r>
      <w:r>
        <w:t>, in part</w:t>
      </w:r>
      <w:r w:rsidRPr="00286706">
        <w:t xml:space="preserve"> as a result of state Renewable Portfolio Standards (RPSs) </w:t>
      </w:r>
      <w:r w:rsidRPr="004D239A">
        <w:t xml:space="preserve">(see </w:t>
      </w:r>
      <w:r w:rsidR="00832C7A">
        <w:fldChar w:fldCharType="begin"/>
      </w:r>
      <w:r w:rsidR="00416A15">
        <w:instrText xml:space="preserve"> REF _Ref262118354 \r \h </w:instrText>
      </w:r>
      <w:r w:rsidR="00832C7A">
        <w:fldChar w:fldCharType="separate"/>
      </w:r>
      <w:r w:rsidR="00E5699E">
        <w:t>Section 8</w:t>
      </w:r>
      <w:r w:rsidR="00832C7A">
        <w:fldChar w:fldCharType="end"/>
      </w:r>
      <w:r w:rsidRPr="00027EC1">
        <w:t xml:space="preserve"> f</w:t>
      </w:r>
      <w:r w:rsidRPr="004D239A">
        <w:t>or information on the states’ RPS targets).</w:t>
      </w:r>
      <w:r w:rsidRPr="00286706">
        <w:t xml:space="preserve"> </w:t>
      </w:r>
      <w:r w:rsidR="00BC13D6">
        <w:t>Approximately 20</w:t>
      </w:r>
      <w:r w:rsidRPr="002A2741">
        <w:t>0 MW</w:t>
      </w:r>
      <w:r>
        <w:t xml:space="preserve"> of new wind energy projects have been commercialized</w:t>
      </w:r>
      <w:r w:rsidR="00595238">
        <w:t>,</w:t>
      </w:r>
      <w:r>
        <w:t xml:space="preserve"> </w:t>
      </w:r>
      <w:r w:rsidRPr="00B9137D">
        <w:t xml:space="preserve">and </w:t>
      </w:r>
      <w:r w:rsidR="00C814EB" w:rsidRPr="00B9137D">
        <w:t xml:space="preserve">over </w:t>
      </w:r>
      <w:r w:rsidR="00B9137D" w:rsidRPr="00B9137D">
        <w:t xml:space="preserve">2,650 </w:t>
      </w:r>
      <w:r w:rsidR="009D7E58">
        <w:t xml:space="preserve">MW </w:t>
      </w:r>
      <w:r w:rsidRPr="00B9137D">
        <w:t>are</w:t>
      </w:r>
      <w:r>
        <w:t xml:space="preserve"> under development</w:t>
      </w:r>
      <w:r w:rsidR="00757930">
        <w:t xml:space="preserve"> within the ISO New England area</w:t>
      </w:r>
      <w:r w:rsidRPr="00286706">
        <w:t xml:space="preserve">. In addition, the </w:t>
      </w:r>
      <w:r w:rsidRPr="00286706">
        <w:rPr>
          <w:i/>
        </w:rPr>
        <w:t>American Recovery and Reinvestment Act of 2009</w:t>
      </w:r>
      <w:r w:rsidRPr="00286706">
        <w:t xml:space="preserve"> (ARRA) has earmarked $8.5 billion (including loan guarantees) for renewable energy research and development.</w:t>
      </w:r>
      <w:r w:rsidRPr="00E003F0">
        <w:rPr>
          <w:rStyle w:val="FootnoteReference"/>
          <w:sz w:val="22"/>
        </w:rPr>
        <w:footnoteReference w:id="187"/>
      </w:r>
      <w:r w:rsidRPr="00E003F0">
        <w:t xml:space="preserve"> </w:t>
      </w:r>
      <w:r>
        <w:t xml:space="preserve">Another factor helping to address the need for fuel diversity is the addition of demand resources, which are being promoted by the </w:t>
      </w:r>
      <w:r w:rsidRPr="00502DB0">
        <w:t>states and are under development.</w:t>
      </w:r>
      <w:r w:rsidRPr="00502DB0">
        <w:rPr>
          <w:rStyle w:val="FootnoteReference"/>
          <w:sz w:val="22"/>
        </w:rPr>
        <w:footnoteReference w:id="188"/>
      </w:r>
    </w:p>
    <w:p w:rsidR="00B462A6" w:rsidRPr="00502DB0" w:rsidRDefault="00CE16C8">
      <w:pPr>
        <w:pStyle w:val="Heading3"/>
      </w:pPr>
      <w:bookmarkStart w:id="547" w:name="_Toc239157090"/>
      <w:bookmarkStart w:id="548" w:name="_Toc271632267"/>
      <w:r w:rsidRPr="00502DB0">
        <w:t>Lower Natural Gas and Oil Prices</w:t>
      </w:r>
      <w:bookmarkEnd w:id="547"/>
      <w:bookmarkEnd w:id="548"/>
    </w:p>
    <w:p w:rsidR="00A156AB" w:rsidRDefault="00CE16C8" w:rsidP="00073277">
      <w:r w:rsidRPr="00502DB0">
        <w:t>One historical issue has been the volatility of natural gas prices because they routinely set the price of regional wholesale electric power.</w:t>
      </w:r>
      <w:r w:rsidRPr="00502DB0">
        <w:rPr>
          <w:rStyle w:val="FootnoteReference"/>
          <w:sz w:val="22"/>
        </w:rPr>
        <w:footnoteReference w:id="189"/>
      </w:r>
      <w:r w:rsidR="00A156AB" w:rsidRPr="00502DB0">
        <w:t xml:space="preserve"> Seasonal</w:t>
      </w:r>
      <w:r w:rsidR="00A156AB" w:rsidRPr="00286706">
        <w:t xml:space="preserve"> and weather variations, coupled with natural disasters, can </w:t>
      </w:r>
      <w:r w:rsidR="00A156AB" w:rsidRPr="00502DB0">
        <w:t xml:space="preserve">create </w:t>
      </w:r>
      <w:r w:rsidRPr="00502DB0">
        <w:t>fuel-price volatility</w:t>
      </w:r>
      <w:r w:rsidR="00A156AB" w:rsidRPr="00502DB0">
        <w:t>. In early to mid-2008, world oil prices increased dramatically,</w:t>
      </w:r>
      <w:r w:rsidR="00A156AB" w:rsidRPr="00502DB0" w:rsidDel="00F94605">
        <w:t xml:space="preserve"> </w:t>
      </w:r>
      <w:r w:rsidR="00A156AB" w:rsidRPr="00502DB0">
        <w:t>resulting in a proportional increase in natural gas prices.</w:t>
      </w:r>
      <w:r w:rsidR="00A156AB" w:rsidRPr="00502DB0">
        <w:rPr>
          <w:rStyle w:val="FootnoteReference"/>
          <w:sz w:val="22"/>
        </w:rPr>
        <w:footnoteReference w:id="190"/>
      </w:r>
      <w:r w:rsidR="00A156AB" w:rsidRPr="00502DB0">
        <w:t xml:space="preserve"> However, with the economic downturn, as consumer demand decreased and business activity slowed, inventories increased, and world oil and natural gas prices decreased substantially. As a result of this </w:t>
      </w:r>
      <w:r w:rsidRPr="00502DB0">
        <w:t>price volatility</w:t>
      </w:r>
      <w:r w:rsidR="00A156AB" w:rsidRPr="00502DB0">
        <w:t xml:space="preserve">, system planners in both the gas and electric industries </w:t>
      </w:r>
      <w:r w:rsidRPr="00502DB0">
        <w:t>monitor and reassess</w:t>
      </w:r>
      <w:r w:rsidR="00A156AB" w:rsidRPr="00502DB0">
        <w:t xml:space="preserve"> their fuel forecast assumptions and sensitivities</w:t>
      </w:r>
      <w:r w:rsidR="00502DB0">
        <w:t>, while fully accounting for the expanding natural gas supply and infrastructure available to the New England region</w:t>
      </w:r>
      <w:r w:rsidRPr="00502DB0">
        <w:t>.</w:t>
      </w:r>
    </w:p>
    <w:p w:rsidR="00B462A6" w:rsidRDefault="00A156AB">
      <w:pPr>
        <w:pStyle w:val="Heading3"/>
      </w:pPr>
      <w:bookmarkStart w:id="549" w:name="_Toc239157091"/>
      <w:bookmarkStart w:id="550" w:name="_Toc271632268"/>
      <w:r>
        <w:t>Improved Supply Infrastructure, Including Renewables</w:t>
      </w:r>
      <w:bookmarkEnd w:id="549"/>
      <w:bookmarkEnd w:id="550"/>
    </w:p>
    <w:p w:rsidR="00A156AB" w:rsidRPr="00E66749" w:rsidRDefault="00A156AB" w:rsidP="004172DA">
      <w:r w:rsidRPr="00E66749">
        <w:t xml:space="preserve">Like the regional natural gas industry’s recent infrastructure development, the power generation sector is also being improved and </w:t>
      </w:r>
      <w:r w:rsidR="00D4331C" w:rsidRPr="00E66749">
        <w:t xml:space="preserve">expanded. As shown in </w:t>
      </w:r>
      <w:fldSimple w:instr=" REF _Ref262120214 \h  \* MERGEFORMAT ">
        <w:r w:rsidR="00E5699E" w:rsidRPr="00B740D9">
          <w:t xml:space="preserve">Figure </w:t>
        </w:r>
        <w:r w:rsidR="00E5699E">
          <w:rPr>
            <w:noProof/>
          </w:rPr>
          <w:t>7</w:t>
        </w:r>
        <w:r w:rsidR="00E5699E" w:rsidRPr="00B740D9">
          <w:rPr>
            <w:noProof/>
          </w:rPr>
          <w:noBreakHyphen/>
        </w:r>
        <w:r w:rsidR="00E5699E">
          <w:rPr>
            <w:noProof/>
          </w:rPr>
          <w:t>3</w:t>
        </w:r>
      </w:fldSimple>
      <w:r w:rsidR="00D4331C" w:rsidRPr="00E66749">
        <w:t>, most of the recent generating capacity additions either are renewables or gas-fired projects.</w:t>
      </w:r>
      <w:r w:rsidR="00D4331C" w:rsidRPr="00E66749">
        <w:rPr>
          <w:rStyle w:val="FootnoteReference"/>
          <w:sz w:val="22"/>
        </w:rPr>
        <w:footnoteReference w:id="191"/>
      </w:r>
      <w:r w:rsidR="00D4331C" w:rsidRPr="00E66749">
        <w:t xml:space="preserve"> Within</w:t>
      </w:r>
      <w:r w:rsidRPr="00E66749">
        <w:t xml:space="preserve"> the </w:t>
      </w:r>
      <w:r w:rsidR="00F3502D" w:rsidRPr="00E66749">
        <w:t>8,809</w:t>
      </w:r>
      <w:r w:rsidRPr="00E66749">
        <w:t xml:space="preserve"> MW of new resources that have requested interconnection studies, </w:t>
      </w:r>
      <w:r w:rsidR="00F3502D" w:rsidRPr="00E66749">
        <w:t>3,115</w:t>
      </w:r>
      <w:r w:rsidR="00B9137D" w:rsidRPr="00E66749">
        <w:t> </w:t>
      </w:r>
      <w:r w:rsidRPr="00E66749">
        <w:t xml:space="preserve">MW are renewable projects and </w:t>
      </w:r>
      <w:r w:rsidR="00F3502D" w:rsidRPr="00E66749">
        <w:t xml:space="preserve">4,367 </w:t>
      </w:r>
      <w:r w:rsidRPr="00E66749">
        <w:t>MW are either single-fuel, gas-only projects or dual fuel (gas and oil) projects.</w:t>
      </w:r>
      <w:r w:rsidRPr="00E66749">
        <w:rPr>
          <w:rStyle w:val="FootnoteReference"/>
          <w:sz w:val="22"/>
        </w:rPr>
        <w:footnoteReference w:id="192"/>
      </w:r>
      <w:r w:rsidRPr="00E66749">
        <w:t xml:space="preserve"> Several factors have been instrumental in encouraging the development of renewable generation projects. These include the states’ Renewable Portfolio Standards and related programs (discussed in</w:t>
      </w:r>
      <w:r w:rsidR="009C7916" w:rsidRPr="00E66749">
        <w:t xml:space="preserve"> Section </w:t>
      </w:r>
      <w:fldSimple w:instr=" REF _Ref266121520 \r \h  \* MERGEFORMAT ">
        <w:r w:rsidR="00E5699E">
          <w:t>8.5</w:t>
        </w:r>
      </w:fldSimple>
      <w:r w:rsidRPr="00E66749">
        <w:t>), which have increasing targets over the next 10 years for the amount of electrical energy provided by renewable resources. In addition, tax incentives and environmental regulations may increase the relative costs of electric energy production by fossil-fueled generation compared with renewable resources, potentially making renewable generation more economically viable in the future.</w:t>
      </w:r>
    </w:p>
    <w:p w:rsidR="0097616E" w:rsidRDefault="002C3FB7" w:rsidP="002C3FB7">
      <w:pPr>
        <w:keepNext/>
        <w:keepLines/>
        <w:spacing w:after="0" w:line="240" w:lineRule="auto"/>
        <w:jc w:val="center"/>
      </w:pPr>
      <w:r w:rsidRPr="002C3FB7">
        <w:rPr>
          <w:noProof/>
        </w:rPr>
        <w:drawing>
          <wp:inline distT="0" distB="0" distL="0" distR="0">
            <wp:extent cx="4136619" cy="2888335"/>
            <wp:effectExtent l="19050" t="19050" r="16281" b="263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138424" cy="2889596"/>
                    </a:xfrm>
                    <a:prstGeom prst="rect">
                      <a:avLst/>
                    </a:prstGeom>
                    <a:noFill/>
                    <a:ln w="3175">
                      <a:solidFill>
                        <a:schemeClr val="tx1"/>
                      </a:solidFill>
                      <a:miter lim="800000"/>
                      <a:headEnd/>
                      <a:tailEnd/>
                    </a:ln>
                  </pic:spPr>
                </pic:pic>
              </a:graphicData>
            </a:graphic>
          </wp:inline>
        </w:drawing>
      </w:r>
    </w:p>
    <w:p w:rsidR="00FC0261" w:rsidRPr="00B740D9" w:rsidRDefault="00D4331C" w:rsidP="002C3FB7">
      <w:pPr>
        <w:pStyle w:val="Caption-Figure"/>
        <w:tabs>
          <w:tab w:val="left" w:pos="8100"/>
        </w:tabs>
        <w:spacing w:after="80"/>
        <w:ind w:left="1440" w:right="1260"/>
      </w:pPr>
      <w:bookmarkStart w:id="551" w:name="_Ref262120214"/>
      <w:bookmarkStart w:id="552" w:name="_Toc271552379"/>
      <w:r w:rsidRPr="00B740D9">
        <w:t xml:space="preserve">Figure </w:t>
      </w:r>
      <w:r w:rsidR="00832C7A" w:rsidRPr="00B740D9">
        <w:fldChar w:fldCharType="begin"/>
      </w:r>
      <w:r w:rsidR="00807C8D" w:rsidRPr="00B740D9">
        <w:instrText xml:space="preserve"> STYLEREF 1 \s </w:instrText>
      </w:r>
      <w:r w:rsidR="00832C7A" w:rsidRPr="00B740D9">
        <w:fldChar w:fldCharType="separate"/>
      </w:r>
      <w:r w:rsidR="00E5699E">
        <w:rPr>
          <w:noProof/>
        </w:rPr>
        <w:t>7</w:t>
      </w:r>
      <w:r w:rsidR="00832C7A" w:rsidRPr="00B740D9">
        <w:fldChar w:fldCharType="end"/>
      </w:r>
      <w:r w:rsidR="00807C8D" w:rsidRPr="00B740D9">
        <w:noBreakHyphen/>
      </w:r>
      <w:r w:rsidR="00832C7A" w:rsidRPr="00B740D9">
        <w:fldChar w:fldCharType="begin"/>
      </w:r>
      <w:r w:rsidR="00807C8D" w:rsidRPr="00B740D9">
        <w:instrText xml:space="preserve"> SEQ Figure \* ARABIC \s 1 </w:instrText>
      </w:r>
      <w:r w:rsidR="00832C7A" w:rsidRPr="00B740D9">
        <w:fldChar w:fldCharType="separate"/>
      </w:r>
      <w:r w:rsidR="00E5699E">
        <w:rPr>
          <w:noProof/>
        </w:rPr>
        <w:t>3</w:t>
      </w:r>
      <w:r w:rsidR="00832C7A" w:rsidRPr="00B740D9">
        <w:fldChar w:fldCharType="end"/>
      </w:r>
      <w:bookmarkEnd w:id="551"/>
      <w:r w:rsidRPr="00B740D9">
        <w:t>: Recent generating capacity additions, 2000 to 20</w:t>
      </w:r>
      <w:r w:rsidR="007E78A9" w:rsidRPr="00B740D9">
        <w:t>09</w:t>
      </w:r>
      <w:r w:rsidRPr="00B740D9">
        <w:t>.</w:t>
      </w:r>
      <w:bookmarkEnd w:id="552"/>
    </w:p>
    <w:p w:rsidR="00F158B9" w:rsidRDefault="00D4331C" w:rsidP="002C3FB7">
      <w:pPr>
        <w:keepNext/>
        <w:keepLines/>
        <w:tabs>
          <w:tab w:val="left" w:pos="8100"/>
        </w:tabs>
        <w:spacing w:after="0" w:line="240" w:lineRule="auto"/>
        <w:ind w:left="1440" w:right="1260"/>
        <w:rPr>
          <w:rFonts w:ascii="Arial" w:eastAsia="+mn-ea" w:hAnsi="Arial" w:cs="Arial"/>
          <w:sz w:val="16"/>
          <w:szCs w:val="16"/>
        </w:rPr>
      </w:pPr>
      <w:r w:rsidRPr="00B740D9">
        <w:rPr>
          <w:rFonts w:ascii="Arial" w:hAnsi="Arial" w:cs="Arial"/>
          <w:b/>
          <w:sz w:val="16"/>
          <w:szCs w:val="16"/>
        </w:rPr>
        <w:t>Note:</w:t>
      </w:r>
      <w:r w:rsidRPr="00B740D9">
        <w:rPr>
          <w:rFonts w:ascii="Arial" w:hAnsi="Arial" w:cs="Arial"/>
          <w:sz w:val="16"/>
          <w:szCs w:val="16"/>
        </w:rPr>
        <w:t xml:space="preserve"> The “Other” category includes nuclear uprates, oil-fired generators, and various </w:t>
      </w:r>
      <w:r w:rsidR="00472A57" w:rsidRPr="00B740D9">
        <w:rPr>
          <w:rFonts w:ascii="Arial" w:hAnsi="Arial" w:cs="Arial"/>
          <w:sz w:val="16"/>
          <w:szCs w:val="16"/>
        </w:rPr>
        <w:t xml:space="preserve">types of </w:t>
      </w:r>
      <w:r w:rsidRPr="00B740D9">
        <w:rPr>
          <w:rFonts w:ascii="Arial" w:hAnsi="Arial" w:cs="Arial"/>
          <w:sz w:val="16"/>
          <w:szCs w:val="16"/>
        </w:rPr>
        <w:t xml:space="preserve">renewable </w:t>
      </w:r>
      <w:r w:rsidR="00472A57" w:rsidRPr="00B740D9">
        <w:rPr>
          <w:rFonts w:ascii="Arial" w:hAnsi="Arial" w:cs="Arial"/>
          <w:sz w:val="16"/>
          <w:szCs w:val="16"/>
        </w:rPr>
        <w:t>resources</w:t>
      </w:r>
      <w:r w:rsidRPr="00B740D9">
        <w:rPr>
          <w:rFonts w:ascii="Arial" w:hAnsi="Arial" w:cs="Arial"/>
          <w:sz w:val="16"/>
          <w:szCs w:val="16"/>
        </w:rPr>
        <w:t xml:space="preserve">. </w:t>
      </w:r>
      <w:r w:rsidRPr="00B740D9">
        <w:rPr>
          <w:rFonts w:ascii="Arial" w:eastAsia="+mn-ea" w:hAnsi="Arial" w:cs="Arial"/>
          <w:sz w:val="16"/>
          <w:szCs w:val="16"/>
        </w:rPr>
        <w:t>The 2008 value includes 14 MW of gas-fired generation.</w:t>
      </w:r>
    </w:p>
    <w:p w:rsidR="00972AEF" w:rsidRPr="00972AEF" w:rsidRDefault="00972AEF" w:rsidP="00972AEF">
      <w:pPr>
        <w:spacing w:after="0" w:line="240" w:lineRule="auto"/>
        <w:rPr>
          <w:rFonts w:ascii="Arial" w:hAnsi="Arial" w:cs="Arial"/>
          <w:sz w:val="16"/>
          <w:szCs w:val="16"/>
        </w:rPr>
      </w:pPr>
    </w:p>
    <w:p w:rsidR="00A156AB" w:rsidRPr="00A86A9B" w:rsidRDefault="00A156AB" w:rsidP="00073277">
      <w:pPr>
        <w:rPr>
          <w:color w:val="FF0000"/>
        </w:rPr>
      </w:pPr>
      <w:r w:rsidRPr="001F4D2D">
        <w:t xml:space="preserve">The gas-fired projects in the ISO’s queue will be able to take advantage of the surplus natural gas supplies within the region. </w:t>
      </w:r>
      <w:r w:rsidR="00FE1672">
        <w:t xml:space="preserve">Improved </w:t>
      </w:r>
      <w:r w:rsidRPr="001F4D2D">
        <w:t xml:space="preserve">fast-start and ramping characteristics of these new, gas-fired units will be </w:t>
      </w:r>
      <w:r w:rsidR="005A1921">
        <w:t xml:space="preserve">required </w:t>
      </w:r>
      <w:r w:rsidRPr="001F4D2D">
        <w:t>to balance the system changes that can result from the integration of variable</w:t>
      </w:r>
      <w:r w:rsidR="00120C7E">
        <w:t>-output</w:t>
      </w:r>
      <w:r w:rsidRPr="001F4D2D">
        <w:t xml:space="preserve"> resources, such as wind and solar projects. To achieve the goal of reliably dispatching this electrical generation, natural gas must be available when and where </w:t>
      </w:r>
      <w:r w:rsidR="007361CC">
        <w:t>it is needed.</w:t>
      </w:r>
    </w:p>
    <w:p w:rsidR="00B462A6" w:rsidRDefault="00A156AB">
      <w:pPr>
        <w:pStyle w:val="Heading3"/>
      </w:pPr>
      <w:bookmarkStart w:id="553" w:name="_Toc239157092"/>
      <w:bookmarkStart w:id="554" w:name="_Toc271632269"/>
      <w:r>
        <w:t>Adequate Dual-Fuel Capacity</w:t>
      </w:r>
      <w:bookmarkEnd w:id="553"/>
      <w:bookmarkEnd w:id="554"/>
    </w:p>
    <w:p w:rsidR="00A156AB" w:rsidRPr="007B60AB" w:rsidRDefault="00A156AB" w:rsidP="00073277">
      <w:r w:rsidRPr="00286706">
        <w:t>In recent years, the number of single-fuel, gas-only generators that have invested in dual</w:t>
      </w:r>
      <w:r>
        <w:t>-</w:t>
      </w:r>
      <w:r w:rsidRPr="00286706">
        <w:t>fuel capability has increased.</w:t>
      </w:r>
      <w:r w:rsidRPr="00E66749">
        <w:rPr>
          <w:rStyle w:val="FootnoteReference"/>
          <w:sz w:val="22"/>
        </w:rPr>
        <w:footnoteReference w:id="193"/>
      </w:r>
      <w:r w:rsidRPr="00286706">
        <w:t xml:space="preserve"> These generators typically burn natural gas as their primary fuel but can switch to fuel oil if needed. Although for some generators, switching from using one fuel source to another is a complex process, having dual</w:t>
      </w:r>
      <w:r>
        <w:t>-</w:t>
      </w:r>
      <w:r w:rsidRPr="00286706">
        <w:t xml:space="preserve">fuel capability provides reliability benefits when primary fuel supplies are </w:t>
      </w:r>
      <w:r w:rsidRPr="007B60AB">
        <w:t>temporarily constrained.</w:t>
      </w:r>
    </w:p>
    <w:p w:rsidR="00A156AB" w:rsidRDefault="00A156AB" w:rsidP="00073277">
      <w:r w:rsidRPr="007B60AB">
        <w:t>Of the 41% of the New England generators that use natural gas as their primary fuel, about 43% (5,</w:t>
      </w:r>
      <w:r w:rsidR="009C7916" w:rsidRPr="007B60AB">
        <w:t>603 </w:t>
      </w:r>
      <w:r w:rsidRPr="007B60AB">
        <w:t>MW) are dual-fuel capable and use fuel oil as their secondary fuel source. In total, about 25.4% of New England’s overall generation (8,106 MW) consists of dual-fuel units that can burn a combination of natural gas and heavy or light oil as both a primary or secondary fuel source.</w:t>
      </w:r>
    </w:p>
    <w:p w:rsidR="002878A4" w:rsidRDefault="00A156AB" w:rsidP="009D1346">
      <w:pPr>
        <w:pStyle w:val="Heading2"/>
      </w:pPr>
      <w:bookmarkStart w:id="555" w:name="_Toc176245023"/>
      <w:bookmarkStart w:id="556" w:name="_Toc201669955"/>
      <w:bookmarkStart w:id="557" w:name="_Toc207531854"/>
      <w:bookmarkStart w:id="558" w:name="_Toc239157093"/>
      <w:bookmarkStart w:id="559" w:name="_Toc271632270"/>
      <w:bookmarkEnd w:id="536"/>
      <w:r w:rsidRPr="001F4D2D">
        <w:t>Remaining Risks</w:t>
      </w:r>
      <w:bookmarkEnd w:id="555"/>
      <w:bookmarkEnd w:id="556"/>
      <w:bookmarkEnd w:id="557"/>
      <w:bookmarkEnd w:id="558"/>
      <w:r>
        <w:t xml:space="preserve"> and Mitigation</w:t>
      </w:r>
      <w:bookmarkEnd w:id="559"/>
      <w:r>
        <w:t xml:space="preserve"> </w:t>
      </w:r>
    </w:p>
    <w:p w:rsidR="00A156AB" w:rsidRDefault="00A156AB" w:rsidP="00073277">
      <w:r w:rsidRPr="00286706">
        <w:t xml:space="preserve">Over the past few years, operational events have revealed reliability issues associated with the interrelationships between the </w:t>
      </w:r>
      <w:r>
        <w:t xml:space="preserve">natural </w:t>
      </w:r>
      <w:r w:rsidRPr="00286706">
        <w:t>gas and electric</w:t>
      </w:r>
      <w:r>
        <w:t>ity</w:t>
      </w:r>
      <w:r w:rsidRPr="00286706">
        <w:t xml:space="preserve"> markets</w:t>
      </w:r>
      <w:r>
        <w:t xml:space="preserve"> in New England</w:t>
      </w:r>
      <w:r w:rsidRPr="00286706">
        <w:t xml:space="preserve">. </w:t>
      </w:r>
      <w:r>
        <w:t xml:space="preserve">The </w:t>
      </w:r>
      <w:r w:rsidRPr="00286706">
        <w:t>ISO</w:t>
      </w:r>
      <w:r>
        <w:t xml:space="preserve"> </w:t>
      </w:r>
      <w:r w:rsidRPr="00286706">
        <w:t>and regional stakeholders have worked together to address and mitigate most of these risks</w:t>
      </w:r>
      <w:r>
        <w:t>;</w:t>
      </w:r>
      <w:r w:rsidRPr="00286706">
        <w:t xml:space="preserve"> however, some issues remain.</w:t>
      </w:r>
    </w:p>
    <w:p w:rsidR="00B462A6" w:rsidRDefault="00A156AB">
      <w:pPr>
        <w:pStyle w:val="Heading3"/>
      </w:pPr>
      <w:bookmarkStart w:id="560" w:name="_Toc239157094"/>
      <w:bookmarkStart w:id="561" w:name="_Toc271632271"/>
      <w:r w:rsidRPr="000917D3">
        <w:t>Resource Commitment Uncertainties</w:t>
      </w:r>
      <w:bookmarkEnd w:id="560"/>
      <w:bookmarkEnd w:id="561"/>
    </w:p>
    <w:p w:rsidR="00A156AB" w:rsidRPr="00286706" w:rsidRDefault="00A156AB" w:rsidP="00073277">
      <w:r w:rsidRPr="00286706">
        <w:t>The ability of gas-fired resources to meet their electric</w:t>
      </w:r>
      <w:r>
        <w:t>ity</w:t>
      </w:r>
      <w:r w:rsidRPr="00286706">
        <w:t xml:space="preserve">-side commitments depends on their ability to nominate appropriate levels of fuel in advance of the operating day. The market deadlines, and differences between them, already </w:t>
      </w:r>
      <w:r>
        <w:t xml:space="preserve">are </w:t>
      </w:r>
      <w:r w:rsidRPr="00286706">
        <w:t xml:space="preserve">known when comparing the </w:t>
      </w:r>
      <w:r w:rsidR="00BC13D6">
        <w:t xml:space="preserve">natural </w:t>
      </w:r>
      <w:r w:rsidRPr="00286706">
        <w:t>gas and electric</w:t>
      </w:r>
      <w:r>
        <w:t>ity</w:t>
      </w:r>
      <w:r w:rsidRPr="00286706">
        <w:t xml:space="preserve"> industries. These </w:t>
      </w:r>
      <w:r w:rsidR="00BC13D6">
        <w:t xml:space="preserve">timeline </w:t>
      </w:r>
      <w:r w:rsidRPr="00286706">
        <w:t xml:space="preserve">differences pose little problem during most days </w:t>
      </w:r>
      <w:r w:rsidRPr="00063AB2">
        <w:t xml:space="preserve">when </w:t>
      </w:r>
      <w:r w:rsidR="00EF25EB" w:rsidRPr="00063AB2">
        <w:t>electric power</w:t>
      </w:r>
      <w:r w:rsidRPr="00063AB2">
        <w:t xml:space="preserve"> capacity</w:t>
      </w:r>
      <w:r w:rsidRPr="00286706">
        <w:t xml:space="preserve"> margins and operational flexibility within the pipelines are sufficient. However, in very cold conditions or during abnormal events on the regional gas grid, pipelines usually have limited capacity to serve customers with nonfirm contracts. Natural gas scheduling and </w:t>
      </w:r>
      <w:r w:rsidR="00BC13D6">
        <w:t>delivery</w:t>
      </w:r>
      <w:r w:rsidRPr="00286706">
        <w:t xml:space="preserve"> requirements </w:t>
      </w:r>
      <w:r w:rsidR="00BC13D6">
        <w:t xml:space="preserve">sometimes </w:t>
      </w:r>
      <w:r w:rsidRPr="00286706">
        <w:t xml:space="preserve">can restrict fuel deliveries to gas-fired generation, which then can limit energy production. These issues can add complexity to </w:t>
      </w:r>
      <w:r w:rsidR="00BC13D6">
        <w:t xml:space="preserve">the ISO’s </w:t>
      </w:r>
      <w:r w:rsidRPr="00286706">
        <w:t>dispatch decisions required to ensure that energy production is sufficient for meeting electric</w:t>
      </w:r>
      <w:r>
        <w:t>ity</w:t>
      </w:r>
      <w:r w:rsidRPr="00286706">
        <w:t xml:space="preserve"> demands.</w:t>
      </w:r>
    </w:p>
    <w:p w:rsidR="00A156AB" w:rsidRDefault="00A156AB" w:rsidP="00073277">
      <w:r w:rsidRPr="00286706">
        <w:t>The ISO is modif</w:t>
      </w:r>
      <w:r>
        <w:t xml:space="preserve">ying </w:t>
      </w:r>
      <w:r w:rsidRPr="00286706">
        <w:t>existing market rules to mitigate these risks. To improve real-time reoffers of electric</w:t>
      </w:r>
      <w:r>
        <w:t>ity</w:t>
      </w:r>
      <w:r w:rsidRPr="00286706">
        <w:t xml:space="preserve"> market supply, </w:t>
      </w:r>
      <w:r>
        <w:t xml:space="preserve">the </w:t>
      </w:r>
      <w:r w:rsidRPr="00286706">
        <w:t>ISO</w:t>
      </w:r>
      <w:r>
        <w:t xml:space="preserve"> </w:t>
      </w:r>
      <w:r w:rsidRPr="001F4D2D">
        <w:t>is planning to</w:t>
      </w:r>
      <w:r w:rsidRPr="00286706">
        <w:t xml:space="preserve"> improve</w:t>
      </w:r>
      <w:r>
        <w:t xml:space="preserve"> how suppliers can submit price and physical </w:t>
      </w:r>
      <w:r w:rsidRPr="001F4D2D">
        <w:t>reoffers and</w:t>
      </w:r>
      <w:r w:rsidRPr="00286706">
        <w:t xml:space="preserve"> </w:t>
      </w:r>
      <w:r w:rsidRPr="001F4D2D">
        <w:t>dual-fuel supply offers</w:t>
      </w:r>
      <w:r w:rsidRPr="00286706">
        <w:t>. These changes will allow a resource to modify its commitment cost components (i.e., start-up and no load costs) of its supply offer, up to the time of commitment</w:t>
      </w:r>
      <w:r>
        <w:t>,</w:t>
      </w:r>
      <w:r w:rsidRPr="00286706">
        <w:t xml:space="preserve"> and to modify the incremental energy cost component of those offers as frequently as hourly, with appropriate restrictions. These market rule changes currently </w:t>
      </w:r>
      <w:r>
        <w:t xml:space="preserve">are </w:t>
      </w:r>
      <w:r w:rsidRPr="00286706">
        <w:t>scheduled for implementation some</w:t>
      </w:r>
      <w:r w:rsidR="006268A8">
        <w:t xml:space="preserve">time in </w:t>
      </w:r>
      <w:r w:rsidRPr="00286706">
        <w:t>2012.</w:t>
      </w:r>
      <w:r w:rsidRPr="00E66749">
        <w:rPr>
          <w:rStyle w:val="FootnoteReference"/>
          <w:sz w:val="22"/>
        </w:rPr>
        <w:footnoteReference w:id="194"/>
      </w:r>
    </w:p>
    <w:p w:rsidR="00B462A6" w:rsidRDefault="00A156AB">
      <w:pPr>
        <w:pStyle w:val="Heading3"/>
      </w:pPr>
      <w:bookmarkStart w:id="562" w:name="_Toc239157095"/>
      <w:bookmarkStart w:id="563" w:name="_Toc271632272"/>
      <w:r w:rsidRPr="000917D3">
        <w:t>Unforeseen Events in Real</w:t>
      </w:r>
      <w:r>
        <w:t>-</w:t>
      </w:r>
      <w:r w:rsidRPr="000917D3">
        <w:t>Time Operations</w:t>
      </w:r>
      <w:bookmarkEnd w:id="562"/>
      <w:bookmarkEnd w:id="563"/>
    </w:p>
    <w:p w:rsidR="00A156AB" w:rsidRPr="004476A4" w:rsidRDefault="00A156AB" w:rsidP="00073277">
      <w:r w:rsidRPr="00286706">
        <w:t xml:space="preserve">Unplanned events that have an impact on regional fuel supply chains, coupled with the general inflexibility of the regional generation fleet to deliver fast-start, off-line operating reserves, directly affect power system operations. These issues can decrease the quantity and quality of operating reserves used to </w:t>
      </w:r>
      <w:r w:rsidR="00741E58">
        <w:t xml:space="preserve">provide </w:t>
      </w:r>
      <w:r w:rsidRPr="004476A4">
        <w:t xml:space="preserve">power system reliability </w:t>
      </w:r>
      <w:r w:rsidR="00741E58">
        <w:t>and maintain reliability if variable</w:t>
      </w:r>
      <w:r w:rsidR="00120C7E">
        <w:t>-output</w:t>
      </w:r>
      <w:r w:rsidR="00741E58">
        <w:t xml:space="preserve"> resources are lost or were not accurately forecast. </w:t>
      </w:r>
    </w:p>
    <w:p w:rsidR="00A156AB" w:rsidRDefault="00A156AB" w:rsidP="00073277">
      <w:r w:rsidRPr="004476A4">
        <w:t xml:space="preserve">The ISO is modifying existing market rules to mitigate these risks. To improve the ability to manually adjust real-time reserve requirements when system operators are faced with an unusually large or unforeseen contingency exposure, the ISO is planning to modify the reserve monitor and reserve calculations for the Unit Dispatch System (UDS). Thus, when </w:t>
      </w:r>
      <w:r w:rsidR="0056174F">
        <w:t xml:space="preserve">the </w:t>
      </w:r>
      <w:r w:rsidRPr="004476A4">
        <w:t xml:space="preserve">real-time UDS is solving for reserve requirements, it will appropriately reflect the system operators’ decisions to commit supplemental or replacement reserves. These market rule changes currently are scheduled for implementation </w:t>
      </w:r>
      <w:r w:rsidR="004476A4" w:rsidRPr="004476A4">
        <w:t xml:space="preserve">by </w:t>
      </w:r>
      <w:r w:rsidR="00EF25EB" w:rsidRPr="004476A4">
        <w:t>2011.</w:t>
      </w:r>
      <w:r w:rsidR="00EF25EB" w:rsidRPr="00E66749">
        <w:rPr>
          <w:rStyle w:val="FootnoteReference"/>
          <w:sz w:val="22"/>
        </w:rPr>
        <w:footnoteReference w:id="195"/>
      </w:r>
    </w:p>
    <w:p w:rsidR="00B462A6" w:rsidRDefault="00A156AB">
      <w:pPr>
        <w:pStyle w:val="Heading3"/>
      </w:pPr>
      <w:bookmarkStart w:id="564" w:name="_Toc239157096"/>
      <w:bookmarkStart w:id="565" w:name="_Toc271632273"/>
      <w:r w:rsidRPr="000917D3">
        <w:t>Gas Quality</w:t>
      </w:r>
      <w:r>
        <w:t xml:space="preserve"> and </w:t>
      </w:r>
      <w:r w:rsidRPr="000917D3">
        <w:t>Interchangeability</w:t>
      </w:r>
      <w:bookmarkEnd w:id="564"/>
      <w:bookmarkEnd w:id="565"/>
    </w:p>
    <w:p w:rsidR="00A156AB" w:rsidRDefault="00A156AB" w:rsidP="00073277">
      <w:r>
        <w:t>Given the increased use of imported LNG to supplement North American domestic gas supplies</w:t>
      </w:r>
      <w:r w:rsidR="0056174F">
        <w:t>,</w:t>
      </w:r>
      <w:r>
        <w:t xml:space="preserve"> and </w:t>
      </w:r>
      <w:r w:rsidR="0056174F">
        <w:t xml:space="preserve">because </w:t>
      </w:r>
      <w:r>
        <w:t>o</w:t>
      </w:r>
      <w:r w:rsidR="00B462A6">
        <w:t>f</w:t>
      </w:r>
      <w:r>
        <w:t xml:space="preserve"> the historical composition of domestic natural gas, new gas supplies may not be fully interchangeable with existing supplies, which could have an adverse impact on end-use customers. To address this issue</w:t>
      </w:r>
      <w:r w:rsidRPr="00286706">
        <w:t xml:space="preserve">, </w:t>
      </w:r>
      <w:r w:rsidR="00A007F2">
        <w:t>most</w:t>
      </w:r>
      <w:r w:rsidRPr="00286706">
        <w:t xml:space="preserve"> </w:t>
      </w:r>
      <w:r w:rsidR="003F6044">
        <w:t xml:space="preserve">of </w:t>
      </w:r>
      <w:r w:rsidRPr="00286706">
        <w:t xml:space="preserve">New England’s pipelines </w:t>
      </w:r>
      <w:r>
        <w:t xml:space="preserve">have </w:t>
      </w:r>
      <w:r w:rsidRPr="00286706">
        <w:t xml:space="preserve">revised their gas quality sections within their </w:t>
      </w:r>
      <w:r>
        <w:t>t</w:t>
      </w:r>
      <w:r w:rsidRPr="00286706">
        <w:t xml:space="preserve">ariffs. In 2009, </w:t>
      </w:r>
      <w:r>
        <w:t xml:space="preserve">however, </w:t>
      </w:r>
      <w:r w:rsidR="00A007F2">
        <w:t xml:space="preserve">only a </w:t>
      </w:r>
      <w:r>
        <w:t xml:space="preserve">few </w:t>
      </w:r>
      <w:r w:rsidRPr="00286706">
        <w:t xml:space="preserve">gas-fired power generators within New England reported gas quality issues that </w:t>
      </w:r>
      <w:r>
        <w:t xml:space="preserve">temporarily </w:t>
      </w:r>
      <w:r w:rsidRPr="00286706">
        <w:t>disrupted power plant operation</w:t>
      </w:r>
      <w:r>
        <w:t>s</w:t>
      </w:r>
      <w:r w:rsidRPr="00286706">
        <w:t>. In most cases, the problem was due to the sensitivity of new combustion technologies to variations in the heat (B</w:t>
      </w:r>
      <w:r w:rsidR="00B47FE1">
        <w:t>ritish thermal unit; B</w:t>
      </w:r>
      <w:r w:rsidRPr="00286706">
        <w:t>tu) content within the gas stream.</w:t>
      </w:r>
      <w:r w:rsidRPr="00286706">
        <w:rPr>
          <w:vertAlign w:val="superscript"/>
        </w:rPr>
        <w:footnoteReference w:id="196"/>
      </w:r>
      <w:r w:rsidRPr="00286706">
        <w:t xml:space="preserve"> </w:t>
      </w:r>
      <w:r>
        <w:t>Both t</w:t>
      </w:r>
      <w:r w:rsidRPr="00286706">
        <w:t>he natural gas and electric</w:t>
      </w:r>
      <w:r>
        <w:t>ity</w:t>
      </w:r>
      <w:r w:rsidRPr="00286706">
        <w:t xml:space="preserve"> industries are exploring several options to </w:t>
      </w:r>
      <w:r>
        <w:t xml:space="preserve">further </w:t>
      </w:r>
      <w:r w:rsidRPr="00286706">
        <w:t>minimize the risk</w:t>
      </w:r>
      <w:r>
        <w:t xml:space="preserve"> of variations in the heat content and composition of natural gas supplies</w:t>
      </w:r>
      <w:r w:rsidRPr="00286706">
        <w:t>.</w:t>
      </w:r>
    </w:p>
    <w:p w:rsidR="00B462A6" w:rsidRDefault="00A156AB">
      <w:pPr>
        <w:pStyle w:val="Heading3"/>
      </w:pPr>
      <w:bookmarkStart w:id="566" w:name="_Toc239157097"/>
      <w:bookmarkStart w:id="567" w:name="_Toc271632274"/>
      <w:r w:rsidRPr="000917D3">
        <w:t>LNG Supply Risks</w:t>
      </w:r>
      <w:bookmarkEnd w:id="566"/>
      <w:bookmarkEnd w:id="567"/>
    </w:p>
    <w:p w:rsidR="00A156AB" w:rsidRPr="00286706" w:rsidRDefault="00A156AB" w:rsidP="00073277">
      <w:r w:rsidRPr="00286706">
        <w:t xml:space="preserve">LNG supply risks </w:t>
      </w:r>
      <w:r w:rsidR="00A007F2">
        <w:t xml:space="preserve">now </w:t>
      </w:r>
      <w:r w:rsidRPr="001F4D2D">
        <w:t>include factors associated with homeland</w:t>
      </w:r>
      <w:r>
        <w:t xml:space="preserve"> </w:t>
      </w:r>
      <w:r w:rsidRPr="00286706">
        <w:t xml:space="preserve">security. </w:t>
      </w:r>
      <w:r>
        <w:t>During this past</w:t>
      </w:r>
      <w:r w:rsidRPr="00286706">
        <w:t xml:space="preserve"> winter, concern was expressed</w:t>
      </w:r>
      <w:r>
        <w:t xml:space="preserve"> </w:t>
      </w:r>
      <w:r w:rsidRPr="00286706">
        <w:t>over allowing Yemeni LNG cargoes into Boston Harbor. Subsequently, on February 23, 2010, with approval from the U.S. Coast Guard, Distrigas received its first LNG cargo from Yemen, under heightened security protocols.</w:t>
      </w:r>
    </w:p>
    <w:p w:rsidR="00A156AB" w:rsidRDefault="0061456F" w:rsidP="00073277">
      <w:r>
        <w:t xml:space="preserve">In addition to security concerns, </w:t>
      </w:r>
      <w:r w:rsidR="00A156AB">
        <w:t xml:space="preserve">LNG supply risks stem from the potential market diversion of LNG shipments to other geographic regions as a result of the price variations created by </w:t>
      </w:r>
      <w:r w:rsidR="00A156AB" w:rsidRPr="00A03FB1">
        <w:t xml:space="preserve">international competition for </w:t>
      </w:r>
      <w:r w:rsidR="00A156AB">
        <w:t xml:space="preserve">LNG </w:t>
      </w:r>
      <w:r w:rsidR="00A156AB" w:rsidRPr="00A03FB1">
        <w:t>supply</w:t>
      </w:r>
      <w:r w:rsidR="00A156AB">
        <w:t>.</w:t>
      </w:r>
      <w:r w:rsidR="00A156AB" w:rsidRPr="00A03FB1">
        <w:t xml:space="preserve"> </w:t>
      </w:r>
      <w:r w:rsidR="00A156AB">
        <w:t>D</w:t>
      </w:r>
      <w:r w:rsidR="00A156AB" w:rsidRPr="001F4D2D">
        <w:t>estination-flexible</w:t>
      </w:r>
      <w:r w:rsidR="00A156AB" w:rsidRPr="00A03FB1">
        <w:t xml:space="preserve"> </w:t>
      </w:r>
      <w:r w:rsidR="00A007F2">
        <w:t xml:space="preserve">or noncontracted </w:t>
      </w:r>
      <w:r w:rsidR="00A156AB" w:rsidRPr="00A03FB1">
        <w:t>LNG cargoes</w:t>
      </w:r>
      <w:r w:rsidR="00A156AB">
        <w:t xml:space="preserve"> are routinely diverted to more profitable markets around the globe</w:t>
      </w:r>
      <w:r w:rsidR="00662103">
        <w:t xml:space="preserve">. </w:t>
      </w:r>
      <w:r w:rsidR="00A156AB">
        <w:t xml:space="preserve">Firm contracts between gas </w:t>
      </w:r>
      <w:r w:rsidR="00A156AB" w:rsidRPr="00886CFC">
        <w:t>suppliers</w:t>
      </w:r>
      <w:r w:rsidR="00A156AB">
        <w:t xml:space="preserve"> and end-use customers help minimize these risks and ensure the continued delivery of fuel.</w:t>
      </w:r>
    </w:p>
    <w:p w:rsidR="00B462A6" w:rsidRDefault="00A156AB">
      <w:pPr>
        <w:pStyle w:val="Heading3"/>
      </w:pPr>
      <w:bookmarkStart w:id="568" w:name="_Toc239157098"/>
      <w:bookmarkStart w:id="569" w:name="_Toc271632275"/>
      <w:r w:rsidRPr="00531072">
        <w:t>Communication Barriers</w:t>
      </w:r>
      <w:bookmarkEnd w:id="568"/>
      <w:bookmarkEnd w:id="569"/>
      <w:r w:rsidRPr="00531072">
        <w:t xml:space="preserve"> </w:t>
      </w:r>
    </w:p>
    <w:p w:rsidR="00A156AB" w:rsidRPr="00286706" w:rsidRDefault="00A156AB" w:rsidP="00073277">
      <w:r w:rsidRPr="00286706">
        <w:t xml:space="preserve">The ability to operate the power system </w:t>
      </w:r>
      <w:r w:rsidR="003F6044">
        <w:t xml:space="preserve">reliably </w:t>
      </w:r>
      <w:r w:rsidRPr="00286706">
        <w:t>depends, in part, on the ISO’s ability to recognize possible limitations on fuel deliveries to generating resources, while accounting for other potential contingencies. This risk calls for improved coordination and communication between regional fuel suppliers (oil, coal</w:t>
      </w:r>
      <w:r w:rsidR="00C45AA5">
        <w:t>,</w:t>
      </w:r>
      <w:r w:rsidRPr="00286706">
        <w:t xml:space="preserve"> and gas) and the electric power industry.</w:t>
      </w:r>
    </w:p>
    <w:p w:rsidR="00A156AB" w:rsidRPr="00502DB0" w:rsidRDefault="00A156AB" w:rsidP="00073277">
      <w:r>
        <w:t xml:space="preserve">The </w:t>
      </w:r>
      <w:r w:rsidRPr="00286706">
        <w:t>ISO</w:t>
      </w:r>
      <w:r>
        <w:t xml:space="preserve"> </w:t>
      </w:r>
      <w:r w:rsidRPr="00286706">
        <w:t>already has a good working relationship with the regional natural gas industry</w:t>
      </w:r>
      <w:r w:rsidR="006268A8">
        <w:t>;</w:t>
      </w:r>
      <w:r w:rsidRPr="00286706">
        <w:t xml:space="preserve"> however, more training and coordinated interindustry drills would improve existing communication protocols. On September 18, 2009, </w:t>
      </w:r>
      <w:r>
        <w:t xml:space="preserve">the </w:t>
      </w:r>
      <w:r w:rsidRPr="00286706">
        <w:t>ISO</w:t>
      </w:r>
      <w:r>
        <w:t xml:space="preserve"> </w:t>
      </w:r>
      <w:r w:rsidRPr="00286706">
        <w:t xml:space="preserve">hosted a full-day training session at </w:t>
      </w:r>
      <w:r>
        <w:t>its</w:t>
      </w:r>
      <w:r w:rsidRPr="00286706">
        <w:t xml:space="preserve"> headquarters for members of the Electric/Gas Operations Committee (EGOC). </w:t>
      </w:r>
      <w:r>
        <w:t xml:space="preserve">Before </w:t>
      </w:r>
      <w:r w:rsidRPr="00286706">
        <w:t>2009/</w:t>
      </w:r>
      <w:r>
        <w:t>20</w:t>
      </w:r>
      <w:r w:rsidRPr="00286706">
        <w:t xml:space="preserve">10 winter operations, </w:t>
      </w:r>
      <w:r>
        <w:t xml:space="preserve">the </w:t>
      </w:r>
      <w:r w:rsidRPr="00286706">
        <w:t>ISO</w:t>
      </w:r>
      <w:r>
        <w:t xml:space="preserve"> </w:t>
      </w:r>
      <w:r w:rsidRPr="00286706">
        <w:t>also met with representatives of both the regional oil and natural gas sectors to assess conditions and confirm communications procedures.</w:t>
      </w:r>
      <w:r>
        <w:t xml:space="preserve"> Future plans call for further training and the identification of opportunities that would further improve the timely exchange of information between the electricity and natural gas </w:t>
      </w:r>
      <w:r w:rsidRPr="00502DB0">
        <w:t>sectors.</w:t>
      </w:r>
    </w:p>
    <w:p w:rsidR="00B462A6" w:rsidRPr="00502DB0" w:rsidRDefault="00CE16C8">
      <w:pPr>
        <w:pStyle w:val="Heading3"/>
      </w:pPr>
      <w:bookmarkStart w:id="570" w:name="_Toc176245024"/>
      <w:bookmarkStart w:id="571" w:name="_Toc201669956"/>
      <w:bookmarkStart w:id="572" w:name="_Toc207531855"/>
      <w:bookmarkStart w:id="573" w:name="_Toc239157099"/>
      <w:bookmarkStart w:id="574" w:name="_Toc271632276"/>
      <w:r w:rsidRPr="00502DB0">
        <w:t>Price Exposure</w:t>
      </w:r>
      <w:bookmarkEnd w:id="570"/>
      <w:bookmarkEnd w:id="571"/>
      <w:bookmarkEnd w:id="572"/>
      <w:bookmarkEnd w:id="573"/>
      <w:bookmarkEnd w:id="574"/>
    </w:p>
    <w:p w:rsidR="00A156AB" w:rsidRPr="00286706" w:rsidRDefault="00A156AB" w:rsidP="00073277">
      <w:r>
        <w:t xml:space="preserve">The </w:t>
      </w:r>
      <w:r w:rsidRPr="00286706">
        <w:t>ISO</w:t>
      </w:r>
      <w:r>
        <w:t xml:space="preserve"> </w:t>
      </w:r>
      <w:r w:rsidRPr="00286706">
        <w:t>has developed and implemented remedial measures to successfully manage possible fuel-shortage events.</w:t>
      </w:r>
      <w:r w:rsidRPr="00E66749">
        <w:rPr>
          <w:rStyle w:val="FootnoteReference"/>
          <w:sz w:val="22"/>
        </w:rPr>
        <w:footnoteReference w:id="197"/>
      </w:r>
      <w:r w:rsidRPr="00286706">
        <w:t xml:space="preserve"> The combined effects of a number of these following measures have diminished the operational risks associated with the high dependence on natural gas by New England’s electric generation sector:</w:t>
      </w:r>
    </w:p>
    <w:p w:rsidR="00A156AB" w:rsidRPr="00286706" w:rsidRDefault="00A156AB" w:rsidP="00073277">
      <w:pPr>
        <w:pStyle w:val="Bullet-Solid"/>
      </w:pPr>
      <w:r w:rsidRPr="00286706">
        <w:t>Direct engagement and interaction with regional stakeholders</w:t>
      </w:r>
    </w:p>
    <w:p w:rsidR="00A156AB" w:rsidRPr="00286706" w:rsidRDefault="00A156AB" w:rsidP="00073277">
      <w:pPr>
        <w:pStyle w:val="Bullet-Solid"/>
      </w:pPr>
      <w:r w:rsidRPr="00286706">
        <w:t>Improvements to market rules and procedures</w:t>
      </w:r>
    </w:p>
    <w:p w:rsidR="00A156AB" w:rsidRPr="00286706" w:rsidRDefault="00A156AB" w:rsidP="00073277">
      <w:pPr>
        <w:pStyle w:val="Bullet-Solid"/>
      </w:pPr>
      <w:r w:rsidRPr="00286706">
        <w:t>New interindustry coordination and communications protocols</w:t>
      </w:r>
    </w:p>
    <w:p w:rsidR="00A156AB" w:rsidRPr="00286706" w:rsidRDefault="00A156AB" w:rsidP="00972AEF">
      <w:pPr>
        <w:pStyle w:val="Bullet-Solid"/>
        <w:spacing w:after="240"/>
      </w:pPr>
      <w:r w:rsidRPr="00286706">
        <w:t>Prominent infrastructure additions within both sectors</w:t>
      </w:r>
    </w:p>
    <w:p w:rsidR="00A156AB" w:rsidRDefault="00D4331C" w:rsidP="00073277">
      <w:r w:rsidRPr="00D4331C">
        <w:t xml:space="preserve">Although most operational risks have been mitigated, economic risks still remain because, in New England, the wholesale price of natural gas </w:t>
      </w:r>
      <w:r w:rsidR="00502DB0">
        <w:t xml:space="preserve">is projected to </w:t>
      </w:r>
      <w:r w:rsidRPr="00D4331C">
        <w:t>ha</w:t>
      </w:r>
      <w:r w:rsidR="00502DB0">
        <w:t>ve</w:t>
      </w:r>
      <w:r w:rsidRPr="00D4331C">
        <w:t xml:space="preserve"> a direct impact on the wholesale price of electric power. </w:t>
      </w:r>
    </w:p>
    <w:p w:rsidR="00B462A6" w:rsidRDefault="00A156AB">
      <w:pPr>
        <w:pStyle w:val="Heading3"/>
      </w:pPr>
      <w:bookmarkStart w:id="575" w:name="_Toc239157100"/>
      <w:bookmarkStart w:id="576" w:name="_Toc271632277"/>
      <w:r>
        <w:t xml:space="preserve">Other </w:t>
      </w:r>
      <w:r w:rsidRPr="00886CFC">
        <w:t>Fuel-Supply</w:t>
      </w:r>
      <w:r>
        <w:t xml:space="preserve"> Risks</w:t>
      </w:r>
      <w:bookmarkEnd w:id="575"/>
      <w:bookmarkEnd w:id="576"/>
    </w:p>
    <w:p w:rsidR="00A156AB" w:rsidRDefault="00A156AB" w:rsidP="00073277">
      <w:r>
        <w:t>Several other components of the regional fuel</w:t>
      </w:r>
      <w:r w:rsidR="00D93D5E">
        <w:t>-</w:t>
      </w:r>
      <w:r>
        <w:t xml:space="preserve">supply chain, in addition to the natural gas industry, can have an impact on the electric power sector. Problems within regional oil markets, for both heavy and light oil; constraints on transporting and importing coal; problems within the nuclear fuel cycle; </w:t>
      </w:r>
      <w:r w:rsidR="00A007F2">
        <w:t>regional drought</w:t>
      </w:r>
      <w:r w:rsidR="00D93D5E">
        <w:t>;</w:t>
      </w:r>
      <w:r w:rsidR="00A007F2">
        <w:t xml:space="preserve"> </w:t>
      </w:r>
      <w:r>
        <w:t xml:space="preserve">or a combination of several of these problems can have an impact on New </w:t>
      </w:r>
      <w:r w:rsidRPr="0061456F">
        <w:t xml:space="preserve">England’s </w:t>
      </w:r>
      <w:r w:rsidR="00EF25EB" w:rsidRPr="0061456F">
        <w:t xml:space="preserve">electric </w:t>
      </w:r>
      <w:r w:rsidR="003F11BF" w:rsidRPr="0061456F">
        <w:t xml:space="preserve">power </w:t>
      </w:r>
      <w:r w:rsidR="00EF25EB" w:rsidRPr="0061456F">
        <w:t>system</w:t>
      </w:r>
      <w:r w:rsidRPr="0061456F">
        <w:t xml:space="preserve"> operations and wholesale markets.</w:t>
      </w:r>
    </w:p>
    <w:p w:rsidR="00A156AB" w:rsidRDefault="00832C7A" w:rsidP="00073277">
      <w:r>
        <w:fldChar w:fldCharType="begin"/>
      </w:r>
      <w:r w:rsidR="00992258">
        <w:instrText xml:space="preserve"> REF _Ref262120425 \h </w:instrText>
      </w:r>
      <w:r>
        <w:fldChar w:fldCharType="separate"/>
      </w:r>
      <w:r w:rsidR="00E5699E">
        <w:t xml:space="preserve">Table </w:t>
      </w:r>
      <w:r w:rsidR="00E5699E">
        <w:rPr>
          <w:noProof/>
        </w:rPr>
        <w:t>7</w:t>
      </w:r>
      <w:r w:rsidR="00E5699E">
        <w:noBreakHyphen/>
      </w:r>
      <w:r w:rsidR="00E5699E">
        <w:rPr>
          <w:noProof/>
        </w:rPr>
        <w:t>2</w:t>
      </w:r>
      <w:r>
        <w:fldChar w:fldCharType="end"/>
      </w:r>
      <w:r w:rsidR="00A156AB" w:rsidRPr="00286706">
        <w:t xml:space="preserve"> shows New England’s 2010 summer generation capacity mix categorized by fuel type and in-service dates. As seen in the table, the majority of the oldest units on the system are hydroelectric units. </w:t>
      </w:r>
      <w:r w:rsidR="00A156AB">
        <w:t xml:space="preserve">Most </w:t>
      </w:r>
      <w:r w:rsidR="00A156AB" w:rsidRPr="00286706">
        <w:t xml:space="preserve">of the </w:t>
      </w:r>
      <w:r w:rsidR="00A156AB">
        <w:t>40- to 6</w:t>
      </w:r>
      <w:r w:rsidR="00A156AB" w:rsidRPr="00286706">
        <w:t>0</w:t>
      </w:r>
      <w:r w:rsidR="00A156AB">
        <w:t>-</w:t>
      </w:r>
      <w:r w:rsidR="00A156AB" w:rsidRPr="00286706">
        <w:t xml:space="preserve">year old stations </w:t>
      </w:r>
      <w:r w:rsidR="00A156AB">
        <w:t xml:space="preserve">are </w:t>
      </w:r>
      <w:r w:rsidR="003F11BF">
        <w:t xml:space="preserve">either </w:t>
      </w:r>
      <w:r w:rsidR="00A156AB" w:rsidRPr="00286706">
        <w:t>coal</w:t>
      </w:r>
      <w:r w:rsidR="003F6044">
        <w:t>-</w:t>
      </w:r>
      <w:r w:rsidR="00A156AB" w:rsidRPr="00286706">
        <w:t xml:space="preserve"> or oil-fired, steam-based units. The majority of the </w:t>
      </w:r>
      <w:r w:rsidR="00A156AB">
        <w:t xml:space="preserve">20- </w:t>
      </w:r>
      <w:r w:rsidR="00A156AB" w:rsidRPr="00286706">
        <w:t xml:space="preserve">to </w:t>
      </w:r>
      <w:r w:rsidR="00A156AB">
        <w:t>4</w:t>
      </w:r>
      <w:r w:rsidR="00A156AB" w:rsidRPr="00286706">
        <w:t>0</w:t>
      </w:r>
      <w:r w:rsidR="00A156AB">
        <w:t>-</w:t>
      </w:r>
      <w:r w:rsidR="00A156AB" w:rsidRPr="00286706">
        <w:t>year old units are nuclear and pumped</w:t>
      </w:r>
      <w:r w:rsidR="00A156AB">
        <w:t>-</w:t>
      </w:r>
      <w:r w:rsidR="00A156AB" w:rsidRPr="00286706">
        <w:t>storage stations. Natural</w:t>
      </w:r>
      <w:r w:rsidR="00A156AB">
        <w:t>-</w:t>
      </w:r>
      <w:r w:rsidR="00A156AB" w:rsidRPr="00286706">
        <w:t>gas-fired generation is predominantly new (within the last 20 years), with the majority of those stations being constructed after electric utility deregulation in the late 1990s or early 2000s.</w:t>
      </w:r>
      <w:r w:rsidR="00A156AB">
        <w:t xml:space="preserve"> This is illustrated </w:t>
      </w:r>
      <w:r w:rsidR="00A156AB" w:rsidRPr="00602C8D">
        <w:t>in</w:t>
      </w:r>
      <w:r w:rsidR="009E0B7B">
        <w:t xml:space="preserve"> </w:t>
      </w:r>
      <w:r>
        <w:fldChar w:fldCharType="begin"/>
      </w:r>
      <w:r w:rsidR="009E0B7B">
        <w:instrText xml:space="preserve"> REF _Ref267246665 \h </w:instrText>
      </w:r>
      <w:r>
        <w:fldChar w:fldCharType="separate"/>
      </w:r>
      <w:r w:rsidR="00E5699E">
        <w:t xml:space="preserve">Figure </w:t>
      </w:r>
      <w:r w:rsidR="00E5699E">
        <w:rPr>
          <w:noProof/>
        </w:rPr>
        <w:t>7</w:t>
      </w:r>
      <w:r w:rsidR="00E5699E">
        <w:noBreakHyphen/>
      </w:r>
      <w:r w:rsidR="00E5699E">
        <w:rPr>
          <w:noProof/>
        </w:rPr>
        <w:t>4</w:t>
      </w:r>
      <w:r>
        <w:fldChar w:fldCharType="end"/>
      </w:r>
      <w:r w:rsidR="00A156AB">
        <w:t xml:space="preserve">, which compares the capacity and electric energy production for 2000 and 2009. While the capacity of oil units </w:t>
      </w:r>
      <w:r w:rsidR="00D93D5E">
        <w:t xml:space="preserve">has been </w:t>
      </w:r>
      <w:r w:rsidR="00A156AB">
        <w:t xml:space="preserve">reduced from 34% </w:t>
      </w:r>
      <w:r w:rsidR="00D93D5E">
        <w:t xml:space="preserve">in 2000 </w:t>
      </w:r>
      <w:r w:rsidR="00A156AB">
        <w:t>to 25%</w:t>
      </w:r>
      <w:r w:rsidR="00D93D5E">
        <w:t xml:space="preserve"> in 2009</w:t>
      </w:r>
      <w:r w:rsidR="00A156AB">
        <w:t xml:space="preserve">, their energy production decreased even further from 14.8% to </w:t>
      </w:r>
      <w:r w:rsidR="00D93D5E">
        <w:t xml:space="preserve">0.7%. </w:t>
      </w:r>
    </w:p>
    <w:p w:rsidR="00D6682E" w:rsidRDefault="00992258" w:rsidP="003F2DBA">
      <w:pPr>
        <w:pStyle w:val="Caption"/>
        <w:spacing w:after="60"/>
        <w:rPr>
          <w:color w:val="000000" w:themeColor="text1"/>
          <w:sz w:val="18"/>
        </w:rPr>
      </w:pPr>
      <w:bookmarkStart w:id="577" w:name="_Ref262120425"/>
      <w:bookmarkStart w:id="578" w:name="_Toc271552420"/>
      <w:r>
        <w:t xml:space="preserve">Table </w:t>
      </w:r>
      <w:r w:rsidR="00832C7A">
        <w:fldChar w:fldCharType="begin"/>
      </w:r>
      <w:r w:rsidR="00B2406F">
        <w:instrText xml:space="preserve"> STYLEREF 1 \s </w:instrText>
      </w:r>
      <w:r w:rsidR="00832C7A">
        <w:fldChar w:fldCharType="separate"/>
      </w:r>
      <w:r w:rsidR="00E5699E">
        <w:rPr>
          <w:noProof/>
        </w:rPr>
        <w:t>7</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577"/>
      <w:r w:rsidR="00836803">
        <w:br/>
      </w:r>
      <w:r w:rsidR="00A156AB" w:rsidRPr="007047BB">
        <w:t xml:space="preserve">New England’s </w:t>
      </w:r>
      <w:r w:rsidR="00A156AB">
        <w:t xml:space="preserve">2010 Summer </w:t>
      </w:r>
      <w:r w:rsidR="00A156AB" w:rsidRPr="0051440A">
        <w:t>Generation Capacity Mix by Fuel Type</w:t>
      </w:r>
      <w:r w:rsidR="00A156AB" w:rsidRPr="0051440A">
        <w:br/>
      </w:r>
      <w:r w:rsidR="00A156AB" w:rsidRPr="0051440A">
        <w:rPr>
          <w:sz w:val="18"/>
        </w:rPr>
        <w:t xml:space="preserve">and In-Service </w:t>
      </w:r>
      <w:r w:rsidR="00D4331C" w:rsidRPr="00D4331C">
        <w:rPr>
          <w:sz w:val="18"/>
        </w:rPr>
        <w:t>Dates</w:t>
      </w:r>
      <w:r w:rsidR="00D4331C" w:rsidRPr="00D4331C">
        <w:rPr>
          <w:sz w:val="18"/>
          <w:vertAlign w:val="superscript"/>
        </w:rPr>
        <w:t>(a, b, c</w:t>
      </w:r>
      <w:r w:rsidR="00D4331C" w:rsidRPr="00D4331C">
        <w:rPr>
          <w:color w:val="000000" w:themeColor="text1"/>
          <w:sz w:val="18"/>
          <w:vertAlign w:val="superscript"/>
        </w:rPr>
        <w:t>)</w:t>
      </w:r>
      <w:bookmarkEnd w:id="578"/>
    </w:p>
    <w:tbl>
      <w:tblPr>
        <w:tblW w:w="1000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left w:w="115" w:type="dxa"/>
          <w:bottom w:w="43" w:type="dxa"/>
          <w:right w:w="115" w:type="dxa"/>
        </w:tblCellMar>
        <w:tblLook w:val="04A0"/>
      </w:tblPr>
      <w:tblGrid>
        <w:gridCol w:w="1218"/>
        <w:gridCol w:w="768"/>
        <w:gridCol w:w="720"/>
        <w:gridCol w:w="762"/>
        <w:gridCol w:w="780"/>
        <w:gridCol w:w="720"/>
        <w:gridCol w:w="720"/>
        <w:gridCol w:w="660"/>
        <w:gridCol w:w="693"/>
        <w:gridCol w:w="747"/>
        <w:gridCol w:w="726"/>
        <w:gridCol w:w="720"/>
        <w:gridCol w:w="774"/>
      </w:tblGrid>
      <w:tr w:rsidR="00A5236A" w:rsidRPr="00F74830" w:rsidTr="00100EE3">
        <w:trPr>
          <w:cantSplit/>
          <w:trHeight w:val="519"/>
          <w:tblHeader/>
          <w:jc w:val="center"/>
        </w:trPr>
        <w:tc>
          <w:tcPr>
            <w:tcW w:w="1218" w:type="dxa"/>
            <w:vMerge w:val="restart"/>
            <w:shd w:val="clear" w:color="auto" w:fill="FBCE76" w:themeFill="background2" w:themeFillTint="99"/>
            <w:noWrap/>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Fuel Type</w:t>
            </w:r>
          </w:p>
        </w:tc>
        <w:tc>
          <w:tcPr>
            <w:tcW w:w="1488" w:type="dxa"/>
            <w:gridSpan w:val="2"/>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In-Service Date</w:t>
            </w:r>
          </w:p>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Before 1950</w:t>
            </w:r>
          </w:p>
        </w:tc>
        <w:tc>
          <w:tcPr>
            <w:tcW w:w="1542" w:type="dxa"/>
            <w:gridSpan w:val="2"/>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In-Service Date</w:t>
            </w:r>
          </w:p>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1951–1970</w:t>
            </w:r>
          </w:p>
        </w:tc>
        <w:tc>
          <w:tcPr>
            <w:tcW w:w="1440" w:type="dxa"/>
            <w:gridSpan w:val="2"/>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In-Service Date</w:t>
            </w:r>
          </w:p>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1971–1990</w:t>
            </w:r>
          </w:p>
        </w:tc>
        <w:tc>
          <w:tcPr>
            <w:tcW w:w="1353" w:type="dxa"/>
            <w:gridSpan w:val="2"/>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In-Service Date</w:t>
            </w:r>
          </w:p>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1991–2000</w:t>
            </w:r>
          </w:p>
        </w:tc>
        <w:tc>
          <w:tcPr>
            <w:tcW w:w="1473" w:type="dxa"/>
            <w:gridSpan w:val="2"/>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In-Service Date</w:t>
            </w:r>
          </w:p>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2001 and after</w:t>
            </w:r>
          </w:p>
        </w:tc>
        <w:tc>
          <w:tcPr>
            <w:tcW w:w="1494" w:type="dxa"/>
            <w:gridSpan w:val="2"/>
            <w:shd w:val="clear" w:color="auto" w:fill="FBCE76" w:themeFill="background2" w:themeFillTint="99"/>
            <w:noWrap/>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Total</w:t>
            </w:r>
          </w:p>
        </w:tc>
      </w:tr>
      <w:tr w:rsidR="00A5236A" w:rsidRPr="00F74830" w:rsidTr="00100EE3">
        <w:trPr>
          <w:cantSplit/>
          <w:trHeight w:val="537"/>
          <w:tblHeader/>
          <w:jc w:val="center"/>
        </w:trPr>
        <w:tc>
          <w:tcPr>
            <w:tcW w:w="1218" w:type="dxa"/>
            <w:vMerge/>
            <w:shd w:val="clear" w:color="auto" w:fill="FBCE76" w:themeFill="background2" w:themeFillTint="99"/>
            <w:noWrap/>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p>
        </w:tc>
        <w:tc>
          <w:tcPr>
            <w:tcW w:w="768"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 of Assets</w:t>
            </w:r>
          </w:p>
        </w:tc>
        <w:tc>
          <w:tcPr>
            <w:tcW w:w="72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762"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 of Assets</w:t>
            </w:r>
          </w:p>
        </w:tc>
        <w:tc>
          <w:tcPr>
            <w:tcW w:w="78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72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 of Assets</w:t>
            </w:r>
          </w:p>
        </w:tc>
        <w:tc>
          <w:tcPr>
            <w:tcW w:w="72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66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 of Assets</w:t>
            </w:r>
          </w:p>
        </w:tc>
        <w:tc>
          <w:tcPr>
            <w:tcW w:w="693"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747"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 of Assets</w:t>
            </w:r>
          </w:p>
        </w:tc>
        <w:tc>
          <w:tcPr>
            <w:tcW w:w="726"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720" w:type="dxa"/>
            <w:shd w:val="clear" w:color="auto" w:fill="FBCE76" w:themeFill="background2" w:themeFillTint="99"/>
            <w:tcMar>
              <w:top w:w="43" w:type="dxa"/>
              <w:left w:w="43" w:type="dxa"/>
              <w:bottom w:w="43" w:type="dxa"/>
              <w:right w:w="43" w:type="dxa"/>
            </w:tcMar>
            <w:vAlign w:val="center"/>
            <w:hideMark/>
          </w:tcPr>
          <w:p w:rsidR="00DF44CB" w:rsidRPr="00F74830" w:rsidRDefault="00DF44CB" w:rsidP="009F342C">
            <w:pPr>
              <w:keepNext/>
              <w:keepLines/>
              <w:spacing w:after="0"/>
              <w:jc w:val="center"/>
              <w:rPr>
                <w:rFonts w:ascii="Arial" w:hAnsi="Arial" w:cs="Arial"/>
                <w:b/>
                <w:sz w:val="16"/>
                <w:szCs w:val="16"/>
              </w:rPr>
            </w:pPr>
            <w:r w:rsidRPr="00F74830">
              <w:rPr>
                <w:rFonts w:ascii="Arial" w:hAnsi="Arial" w:cs="Arial"/>
                <w:b/>
                <w:sz w:val="16"/>
                <w:szCs w:val="16"/>
              </w:rPr>
              <w:t>MW</w:t>
            </w:r>
          </w:p>
        </w:tc>
        <w:tc>
          <w:tcPr>
            <w:tcW w:w="774" w:type="dxa"/>
            <w:shd w:val="clear" w:color="auto" w:fill="FBCE76" w:themeFill="background2" w:themeFillTint="99"/>
            <w:tcMar>
              <w:top w:w="43" w:type="dxa"/>
              <w:left w:w="43" w:type="dxa"/>
              <w:bottom w:w="43" w:type="dxa"/>
              <w:right w:w="43" w:type="dxa"/>
            </w:tcMar>
            <w:vAlign w:val="center"/>
            <w:hideMark/>
          </w:tcPr>
          <w:p w:rsidR="00DF44CB" w:rsidRPr="00F74830" w:rsidRDefault="00B47FE1" w:rsidP="00B47FE1">
            <w:pPr>
              <w:keepNext/>
              <w:keepLines/>
              <w:spacing w:after="0"/>
              <w:jc w:val="center"/>
              <w:rPr>
                <w:rFonts w:ascii="Arial" w:hAnsi="Arial" w:cs="Arial"/>
                <w:b/>
                <w:sz w:val="16"/>
                <w:szCs w:val="16"/>
              </w:rPr>
            </w:pPr>
            <w:r>
              <w:rPr>
                <w:rFonts w:ascii="Arial" w:hAnsi="Arial" w:cs="Arial"/>
                <w:b/>
                <w:sz w:val="16"/>
                <w:szCs w:val="16"/>
              </w:rPr>
              <w:t>%</w:t>
            </w:r>
          </w:p>
        </w:tc>
      </w:tr>
      <w:tr w:rsidR="00A5236A" w:rsidRPr="00F74830" w:rsidTr="00FF3EC9">
        <w:trPr>
          <w:cantSplit/>
          <w:trHeight w:val="300"/>
          <w:jc w:val="center"/>
        </w:trPr>
        <w:tc>
          <w:tcPr>
            <w:tcW w:w="1218" w:type="dxa"/>
            <w:shd w:val="clear" w:color="auto" w:fill="auto"/>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Gas</w:t>
            </w:r>
          </w:p>
        </w:tc>
        <w:tc>
          <w:tcPr>
            <w:tcW w:w="768"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5</w:t>
            </w:r>
          </w:p>
        </w:tc>
        <w:tc>
          <w:tcPr>
            <w:tcW w:w="720"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73 </w:t>
            </w:r>
          </w:p>
        </w:tc>
        <w:tc>
          <w:tcPr>
            <w:tcW w:w="762"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8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12</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1,617</w:t>
            </w:r>
          </w:p>
        </w:tc>
        <w:tc>
          <w:tcPr>
            <w:tcW w:w="66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20</w:t>
            </w:r>
          </w:p>
        </w:tc>
        <w:tc>
          <w:tcPr>
            <w:tcW w:w="693"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3,564 </w:t>
            </w:r>
          </w:p>
        </w:tc>
        <w:tc>
          <w:tcPr>
            <w:tcW w:w="747"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38</w:t>
            </w:r>
          </w:p>
        </w:tc>
        <w:tc>
          <w:tcPr>
            <w:tcW w:w="726"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7,928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13,181 </w:t>
            </w:r>
          </w:p>
        </w:tc>
        <w:tc>
          <w:tcPr>
            <w:tcW w:w="774"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41.2 </w:t>
            </w:r>
          </w:p>
        </w:tc>
      </w:tr>
      <w:tr w:rsidR="00A5236A" w:rsidRPr="00F74830" w:rsidTr="00FF3EC9">
        <w:trPr>
          <w:cantSplit/>
          <w:trHeight w:val="300"/>
          <w:jc w:val="center"/>
        </w:trPr>
        <w:tc>
          <w:tcPr>
            <w:tcW w:w="1218" w:type="dxa"/>
            <w:shd w:val="clear" w:color="auto" w:fill="FDEED1" w:themeFill="background2" w:themeFillTint="33"/>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Oil</w:t>
            </w:r>
          </w:p>
        </w:tc>
        <w:tc>
          <w:tcPr>
            <w:tcW w:w="768"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w:t>
            </w:r>
          </w:p>
        </w:tc>
        <w:tc>
          <w:tcPr>
            <w:tcW w:w="720"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10 </w:t>
            </w:r>
          </w:p>
        </w:tc>
        <w:tc>
          <w:tcPr>
            <w:tcW w:w="762"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61</w:t>
            </w:r>
          </w:p>
        </w:tc>
        <w:tc>
          <w:tcPr>
            <w:tcW w:w="78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2,485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25</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4,014</w:t>
            </w:r>
          </w:p>
        </w:tc>
        <w:tc>
          <w:tcPr>
            <w:tcW w:w="66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11</w:t>
            </w:r>
          </w:p>
        </w:tc>
        <w:tc>
          <w:tcPr>
            <w:tcW w:w="693"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146 </w:t>
            </w:r>
          </w:p>
        </w:tc>
        <w:tc>
          <w:tcPr>
            <w:tcW w:w="747"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21</w:t>
            </w:r>
          </w:p>
        </w:tc>
        <w:tc>
          <w:tcPr>
            <w:tcW w:w="726"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212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6,866 </w:t>
            </w:r>
          </w:p>
        </w:tc>
        <w:tc>
          <w:tcPr>
            <w:tcW w:w="774"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21.5 </w:t>
            </w:r>
          </w:p>
        </w:tc>
      </w:tr>
      <w:tr w:rsidR="00A5236A" w:rsidRPr="00F74830" w:rsidTr="00FF3EC9">
        <w:trPr>
          <w:cantSplit/>
          <w:trHeight w:val="300"/>
          <w:jc w:val="center"/>
        </w:trPr>
        <w:tc>
          <w:tcPr>
            <w:tcW w:w="1218" w:type="dxa"/>
            <w:shd w:val="clear" w:color="auto" w:fill="auto"/>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Nuclear</w:t>
            </w:r>
          </w:p>
        </w:tc>
        <w:tc>
          <w:tcPr>
            <w:tcW w:w="768"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0"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62"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8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5</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4,629</w:t>
            </w:r>
          </w:p>
        </w:tc>
        <w:tc>
          <w:tcPr>
            <w:tcW w:w="66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693"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47"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6"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4,629 </w:t>
            </w:r>
          </w:p>
        </w:tc>
        <w:tc>
          <w:tcPr>
            <w:tcW w:w="774"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14.5 </w:t>
            </w:r>
          </w:p>
        </w:tc>
      </w:tr>
      <w:tr w:rsidR="00A5236A" w:rsidRPr="00F74830" w:rsidTr="00FF3EC9">
        <w:trPr>
          <w:cantSplit/>
          <w:trHeight w:val="300"/>
          <w:jc w:val="center"/>
        </w:trPr>
        <w:tc>
          <w:tcPr>
            <w:tcW w:w="1218" w:type="dxa"/>
            <w:shd w:val="clear" w:color="auto" w:fill="FDEED1" w:themeFill="background2" w:themeFillTint="33"/>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Coal</w:t>
            </w:r>
          </w:p>
        </w:tc>
        <w:tc>
          <w:tcPr>
            <w:tcW w:w="768"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0"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62"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13</w:t>
            </w:r>
          </w:p>
        </w:tc>
        <w:tc>
          <w:tcPr>
            <w:tcW w:w="78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2,570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186</w:t>
            </w:r>
          </w:p>
        </w:tc>
        <w:tc>
          <w:tcPr>
            <w:tcW w:w="66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693"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47"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6"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2,756 </w:t>
            </w:r>
          </w:p>
        </w:tc>
        <w:tc>
          <w:tcPr>
            <w:tcW w:w="774"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8.6 </w:t>
            </w:r>
          </w:p>
        </w:tc>
      </w:tr>
      <w:tr w:rsidR="00A5236A" w:rsidRPr="00F74830" w:rsidTr="00FF3EC9">
        <w:trPr>
          <w:cantSplit/>
          <w:trHeight w:val="300"/>
          <w:jc w:val="center"/>
        </w:trPr>
        <w:tc>
          <w:tcPr>
            <w:tcW w:w="1218" w:type="dxa"/>
            <w:shd w:val="clear" w:color="auto" w:fill="auto"/>
            <w:noWrap/>
            <w:tcMar>
              <w:top w:w="43" w:type="dxa"/>
              <w:left w:w="43" w:type="dxa"/>
              <w:bottom w:w="43" w:type="dxa"/>
              <w:right w:w="43" w:type="dxa"/>
            </w:tcMar>
            <w:vAlign w:val="center"/>
            <w:hideMark/>
          </w:tcPr>
          <w:p w:rsidR="00A156AB" w:rsidRPr="00F74830" w:rsidRDefault="00221B72" w:rsidP="009F342C">
            <w:pPr>
              <w:keepNext/>
              <w:keepLines/>
              <w:spacing w:after="0"/>
              <w:rPr>
                <w:rFonts w:ascii="Arial" w:hAnsi="Arial" w:cs="Arial"/>
                <w:b/>
                <w:sz w:val="16"/>
                <w:szCs w:val="16"/>
              </w:rPr>
            </w:pPr>
            <w:r>
              <w:rPr>
                <w:rFonts w:ascii="Arial" w:hAnsi="Arial" w:cs="Arial"/>
                <w:b/>
                <w:sz w:val="16"/>
                <w:szCs w:val="16"/>
              </w:rPr>
              <w:t>Pumped s</w:t>
            </w:r>
            <w:r w:rsidR="00A156AB" w:rsidRPr="00F74830">
              <w:rPr>
                <w:rFonts w:ascii="Arial" w:hAnsi="Arial" w:cs="Arial"/>
                <w:b/>
                <w:sz w:val="16"/>
                <w:szCs w:val="16"/>
              </w:rPr>
              <w:t>torage</w:t>
            </w:r>
          </w:p>
        </w:tc>
        <w:tc>
          <w:tcPr>
            <w:tcW w:w="768"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w:t>
            </w:r>
          </w:p>
        </w:tc>
        <w:tc>
          <w:tcPr>
            <w:tcW w:w="720"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29 </w:t>
            </w:r>
          </w:p>
        </w:tc>
        <w:tc>
          <w:tcPr>
            <w:tcW w:w="762"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8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6</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1,649</w:t>
            </w:r>
          </w:p>
        </w:tc>
        <w:tc>
          <w:tcPr>
            <w:tcW w:w="66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693"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47"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6"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1,679 </w:t>
            </w:r>
          </w:p>
        </w:tc>
        <w:tc>
          <w:tcPr>
            <w:tcW w:w="774"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5.2 </w:t>
            </w:r>
          </w:p>
        </w:tc>
      </w:tr>
      <w:tr w:rsidR="00A5236A" w:rsidRPr="00F74830" w:rsidTr="00FF3EC9">
        <w:trPr>
          <w:cantSplit/>
          <w:trHeight w:val="300"/>
          <w:jc w:val="center"/>
        </w:trPr>
        <w:tc>
          <w:tcPr>
            <w:tcW w:w="1218" w:type="dxa"/>
            <w:shd w:val="clear" w:color="auto" w:fill="FDEED1" w:themeFill="background2" w:themeFillTint="33"/>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Hydro</w:t>
            </w:r>
          </w:p>
        </w:tc>
        <w:tc>
          <w:tcPr>
            <w:tcW w:w="768"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68</w:t>
            </w:r>
          </w:p>
        </w:tc>
        <w:tc>
          <w:tcPr>
            <w:tcW w:w="720" w:type="dxa"/>
            <w:shd w:val="clear" w:color="auto" w:fill="FDEED1" w:themeFill="background2" w:themeFillTint="33"/>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774 </w:t>
            </w:r>
          </w:p>
        </w:tc>
        <w:tc>
          <w:tcPr>
            <w:tcW w:w="762"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8</w:t>
            </w:r>
          </w:p>
        </w:tc>
        <w:tc>
          <w:tcPr>
            <w:tcW w:w="78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328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160</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434 </w:t>
            </w:r>
          </w:p>
        </w:tc>
        <w:tc>
          <w:tcPr>
            <w:tcW w:w="66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32</w:t>
            </w:r>
          </w:p>
        </w:tc>
        <w:tc>
          <w:tcPr>
            <w:tcW w:w="693"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23 </w:t>
            </w:r>
          </w:p>
        </w:tc>
        <w:tc>
          <w:tcPr>
            <w:tcW w:w="747"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31</w:t>
            </w:r>
          </w:p>
        </w:tc>
        <w:tc>
          <w:tcPr>
            <w:tcW w:w="726"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153 </w:t>
            </w:r>
          </w:p>
        </w:tc>
        <w:tc>
          <w:tcPr>
            <w:tcW w:w="720"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1,712 </w:t>
            </w:r>
          </w:p>
        </w:tc>
        <w:tc>
          <w:tcPr>
            <w:tcW w:w="774" w:type="dxa"/>
            <w:shd w:val="clear" w:color="auto" w:fill="FDEED1" w:themeFill="background2" w:themeFillTint="33"/>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5.4 </w:t>
            </w:r>
          </w:p>
        </w:tc>
      </w:tr>
      <w:tr w:rsidR="00A5236A" w:rsidRPr="00F74830" w:rsidTr="00FF3EC9">
        <w:trPr>
          <w:cantSplit/>
          <w:trHeight w:val="315"/>
          <w:jc w:val="center"/>
        </w:trPr>
        <w:tc>
          <w:tcPr>
            <w:tcW w:w="1218" w:type="dxa"/>
            <w:shd w:val="clear" w:color="auto" w:fill="auto"/>
            <w:noWrap/>
            <w:tcMar>
              <w:top w:w="43" w:type="dxa"/>
              <w:left w:w="43" w:type="dxa"/>
              <w:bottom w:w="43" w:type="dxa"/>
              <w:right w:w="43" w:type="dxa"/>
            </w:tcMar>
            <w:vAlign w:val="center"/>
            <w:hideMark/>
          </w:tcPr>
          <w:p w:rsidR="00A156AB" w:rsidRPr="00F74830" w:rsidRDefault="00221B72" w:rsidP="009F342C">
            <w:pPr>
              <w:keepNext/>
              <w:keepLines/>
              <w:spacing w:after="0"/>
              <w:rPr>
                <w:rFonts w:ascii="Arial" w:hAnsi="Arial" w:cs="Arial"/>
                <w:b/>
                <w:sz w:val="16"/>
                <w:szCs w:val="16"/>
              </w:rPr>
            </w:pPr>
            <w:r>
              <w:rPr>
                <w:rFonts w:ascii="Arial" w:hAnsi="Arial" w:cs="Arial"/>
                <w:b/>
                <w:sz w:val="16"/>
                <w:szCs w:val="16"/>
              </w:rPr>
              <w:t>Other r</w:t>
            </w:r>
            <w:r w:rsidR="00A156AB" w:rsidRPr="00F74830">
              <w:rPr>
                <w:rFonts w:ascii="Arial" w:hAnsi="Arial" w:cs="Arial"/>
                <w:b/>
                <w:sz w:val="16"/>
                <w:szCs w:val="16"/>
              </w:rPr>
              <w:t>enewables</w:t>
            </w:r>
          </w:p>
        </w:tc>
        <w:tc>
          <w:tcPr>
            <w:tcW w:w="768"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0</w:t>
            </w:r>
          </w:p>
        </w:tc>
        <w:tc>
          <w:tcPr>
            <w:tcW w:w="720" w:type="dxa"/>
            <w:shd w:val="clear" w:color="auto" w:fill="auto"/>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0 </w:t>
            </w:r>
          </w:p>
        </w:tc>
        <w:tc>
          <w:tcPr>
            <w:tcW w:w="762"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w:t>
            </w:r>
          </w:p>
        </w:tc>
        <w:tc>
          <w:tcPr>
            <w:tcW w:w="78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43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33</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633 </w:t>
            </w:r>
          </w:p>
        </w:tc>
        <w:tc>
          <w:tcPr>
            <w:tcW w:w="66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28</w:t>
            </w:r>
          </w:p>
        </w:tc>
        <w:tc>
          <w:tcPr>
            <w:tcW w:w="693"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215 </w:t>
            </w:r>
          </w:p>
        </w:tc>
        <w:tc>
          <w:tcPr>
            <w:tcW w:w="747"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58</w:t>
            </w:r>
          </w:p>
        </w:tc>
        <w:tc>
          <w:tcPr>
            <w:tcW w:w="726"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251 </w:t>
            </w:r>
          </w:p>
        </w:tc>
        <w:tc>
          <w:tcPr>
            <w:tcW w:w="720"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1,142 </w:t>
            </w:r>
          </w:p>
        </w:tc>
        <w:tc>
          <w:tcPr>
            <w:tcW w:w="774" w:type="dxa"/>
            <w:shd w:val="clear" w:color="auto" w:fill="auto"/>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3.6 </w:t>
            </w:r>
          </w:p>
        </w:tc>
      </w:tr>
      <w:tr w:rsidR="00A5236A" w:rsidRPr="00F74830" w:rsidTr="00FF3EC9">
        <w:trPr>
          <w:cantSplit/>
          <w:trHeight w:val="300"/>
          <w:jc w:val="center"/>
        </w:trPr>
        <w:tc>
          <w:tcPr>
            <w:tcW w:w="1218" w:type="dxa"/>
            <w:shd w:val="clear" w:color="auto" w:fill="FBCE76" w:themeFill="background2" w:themeFillTint="99"/>
            <w:noWrap/>
            <w:tcMar>
              <w:top w:w="43" w:type="dxa"/>
              <w:left w:w="43" w:type="dxa"/>
              <w:bottom w:w="43" w:type="dxa"/>
              <w:right w:w="43" w:type="dxa"/>
            </w:tcMar>
            <w:vAlign w:val="center"/>
            <w:hideMark/>
          </w:tcPr>
          <w:p w:rsidR="00A156AB" w:rsidRPr="00F74830" w:rsidRDefault="00A156AB" w:rsidP="009F342C">
            <w:pPr>
              <w:keepNext/>
              <w:keepLines/>
              <w:spacing w:after="0"/>
              <w:rPr>
                <w:rFonts w:ascii="Arial" w:hAnsi="Arial" w:cs="Arial"/>
                <w:b/>
                <w:sz w:val="16"/>
                <w:szCs w:val="16"/>
              </w:rPr>
            </w:pPr>
            <w:r w:rsidRPr="00F74830">
              <w:rPr>
                <w:rFonts w:ascii="Arial" w:hAnsi="Arial" w:cs="Arial"/>
                <w:b/>
                <w:sz w:val="16"/>
                <w:szCs w:val="16"/>
              </w:rPr>
              <w:t>Totals</w:t>
            </w:r>
          </w:p>
        </w:tc>
        <w:tc>
          <w:tcPr>
            <w:tcW w:w="768" w:type="dxa"/>
            <w:shd w:val="clear" w:color="auto" w:fill="FBCE76" w:themeFill="background2" w:themeFillTint="99"/>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77</w:t>
            </w:r>
          </w:p>
        </w:tc>
        <w:tc>
          <w:tcPr>
            <w:tcW w:w="720" w:type="dxa"/>
            <w:shd w:val="clear" w:color="auto" w:fill="FBCE76" w:themeFill="background2" w:themeFillTint="99"/>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887</w:t>
            </w:r>
          </w:p>
        </w:tc>
        <w:tc>
          <w:tcPr>
            <w:tcW w:w="762"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83</w:t>
            </w:r>
          </w:p>
        </w:tc>
        <w:tc>
          <w:tcPr>
            <w:tcW w:w="78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5,426</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243</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13,162</w:t>
            </w:r>
          </w:p>
        </w:tc>
        <w:tc>
          <w:tcPr>
            <w:tcW w:w="66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91</w:t>
            </w:r>
          </w:p>
        </w:tc>
        <w:tc>
          <w:tcPr>
            <w:tcW w:w="693"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3,948</w:t>
            </w:r>
          </w:p>
        </w:tc>
        <w:tc>
          <w:tcPr>
            <w:tcW w:w="747"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148</w:t>
            </w:r>
          </w:p>
        </w:tc>
        <w:tc>
          <w:tcPr>
            <w:tcW w:w="726"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8,543</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31,965</w:t>
            </w:r>
          </w:p>
        </w:tc>
        <w:tc>
          <w:tcPr>
            <w:tcW w:w="774"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xml:space="preserve">100.0 </w:t>
            </w:r>
          </w:p>
        </w:tc>
      </w:tr>
      <w:tr w:rsidR="00A5236A" w:rsidRPr="00F74830" w:rsidTr="00FF3EC9">
        <w:trPr>
          <w:cantSplit/>
          <w:trHeight w:val="300"/>
          <w:jc w:val="center"/>
        </w:trPr>
        <w:tc>
          <w:tcPr>
            <w:tcW w:w="1218" w:type="dxa"/>
            <w:shd w:val="clear" w:color="auto" w:fill="FBCE76" w:themeFill="background2" w:themeFillTint="99"/>
            <w:noWrap/>
            <w:tcMar>
              <w:top w:w="43" w:type="dxa"/>
              <w:left w:w="43" w:type="dxa"/>
              <w:bottom w:w="43" w:type="dxa"/>
              <w:right w:w="43" w:type="dxa"/>
            </w:tcMar>
            <w:vAlign w:val="center"/>
            <w:hideMark/>
          </w:tcPr>
          <w:p w:rsidR="00A156AB" w:rsidRPr="00F74830" w:rsidRDefault="00A156AB" w:rsidP="00A04396">
            <w:pPr>
              <w:keepNext/>
              <w:keepLines/>
              <w:spacing w:after="0"/>
              <w:rPr>
                <w:rFonts w:ascii="Arial" w:hAnsi="Arial" w:cs="Arial"/>
                <w:b/>
                <w:sz w:val="16"/>
                <w:szCs w:val="16"/>
              </w:rPr>
            </w:pPr>
            <w:r w:rsidRPr="00F74830">
              <w:rPr>
                <w:rFonts w:ascii="Arial" w:hAnsi="Arial" w:cs="Arial"/>
                <w:b/>
                <w:sz w:val="16"/>
                <w:szCs w:val="16"/>
              </w:rPr>
              <w:t>Percent</w:t>
            </w:r>
            <w:r w:rsidR="00A04396">
              <w:rPr>
                <w:rFonts w:ascii="Arial" w:hAnsi="Arial" w:cs="Arial"/>
                <w:b/>
                <w:sz w:val="16"/>
                <w:szCs w:val="16"/>
              </w:rPr>
              <w:t xml:space="preserve">age </w:t>
            </w:r>
            <w:r w:rsidRPr="00F74830">
              <w:rPr>
                <w:rFonts w:ascii="Arial" w:hAnsi="Arial" w:cs="Arial"/>
                <w:b/>
                <w:sz w:val="16"/>
                <w:szCs w:val="16"/>
              </w:rPr>
              <w:t>of</w:t>
            </w:r>
            <w:r w:rsidR="00A5236A" w:rsidRPr="00F74830">
              <w:rPr>
                <w:rFonts w:ascii="Arial" w:hAnsi="Arial" w:cs="Arial"/>
                <w:b/>
                <w:sz w:val="16"/>
                <w:szCs w:val="16"/>
              </w:rPr>
              <w:br/>
            </w:r>
            <w:r w:rsidR="00221B72">
              <w:rPr>
                <w:rFonts w:ascii="Arial" w:hAnsi="Arial" w:cs="Arial"/>
                <w:b/>
                <w:sz w:val="16"/>
                <w:szCs w:val="16"/>
              </w:rPr>
              <w:t>t</w:t>
            </w:r>
            <w:r w:rsidRPr="00F74830">
              <w:rPr>
                <w:rFonts w:ascii="Arial" w:hAnsi="Arial" w:cs="Arial"/>
                <w:b/>
                <w:sz w:val="16"/>
                <w:szCs w:val="16"/>
              </w:rPr>
              <w:t>otal MW</w:t>
            </w:r>
          </w:p>
        </w:tc>
        <w:tc>
          <w:tcPr>
            <w:tcW w:w="768" w:type="dxa"/>
            <w:shd w:val="clear" w:color="auto" w:fill="FBCE76" w:themeFill="background2" w:themeFillTint="99"/>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c>
          <w:tcPr>
            <w:tcW w:w="720" w:type="dxa"/>
            <w:shd w:val="clear" w:color="auto" w:fill="FBCE76" w:themeFill="background2" w:themeFillTint="99"/>
            <w:noWrap/>
            <w:tcMar>
              <w:top w:w="43" w:type="dxa"/>
              <w:left w:w="29"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2.8%</w:t>
            </w:r>
          </w:p>
        </w:tc>
        <w:tc>
          <w:tcPr>
            <w:tcW w:w="762"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c>
          <w:tcPr>
            <w:tcW w:w="78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17.0%</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41.2%</w:t>
            </w:r>
          </w:p>
        </w:tc>
        <w:tc>
          <w:tcPr>
            <w:tcW w:w="66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p>
        </w:tc>
        <w:tc>
          <w:tcPr>
            <w:tcW w:w="693"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12.3%</w:t>
            </w:r>
          </w:p>
        </w:tc>
        <w:tc>
          <w:tcPr>
            <w:tcW w:w="747"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c>
          <w:tcPr>
            <w:tcW w:w="726"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26.7%</w:t>
            </w:r>
          </w:p>
        </w:tc>
        <w:tc>
          <w:tcPr>
            <w:tcW w:w="720"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c>
          <w:tcPr>
            <w:tcW w:w="774" w:type="dxa"/>
            <w:shd w:val="clear" w:color="auto" w:fill="FBCE76" w:themeFill="background2" w:themeFillTint="99"/>
            <w:noWrap/>
            <w:tcMar>
              <w:top w:w="43" w:type="dxa"/>
              <w:left w:w="43" w:type="dxa"/>
              <w:bottom w:w="43" w:type="dxa"/>
              <w:right w:w="115" w:type="dxa"/>
            </w:tcMar>
            <w:vAlign w:val="center"/>
            <w:hideMark/>
          </w:tcPr>
          <w:p w:rsidR="00A156AB" w:rsidRPr="00F74830" w:rsidRDefault="00A156AB" w:rsidP="009F342C">
            <w:pPr>
              <w:keepNext/>
              <w:keepLines/>
              <w:spacing w:after="0" w:line="240" w:lineRule="auto"/>
              <w:jc w:val="right"/>
              <w:rPr>
                <w:rFonts w:ascii="Arial" w:hAnsi="Arial" w:cs="Arial"/>
                <w:sz w:val="16"/>
                <w:szCs w:val="16"/>
              </w:rPr>
            </w:pPr>
            <w:r w:rsidRPr="00F74830">
              <w:rPr>
                <w:rFonts w:ascii="Arial" w:hAnsi="Arial" w:cs="Arial"/>
                <w:sz w:val="16"/>
                <w:szCs w:val="16"/>
              </w:rPr>
              <w:t> </w:t>
            </w:r>
          </w:p>
        </w:tc>
      </w:tr>
    </w:tbl>
    <w:p w:rsidR="0008106C" w:rsidRPr="00B879A1" w:rsidRDefault="00D722D4" w:rsidP="00D70F17">
      <w:pPr>
        <w:pStyle w:val="ListParagraph"/>
        <w:keepNext/>
        <w:keepLines/>
        <w:numPr>
          <w:ilvl w:val="0"/>
          <w:numId w:val="0"/>
        </w:numPr>
        <w:spacing w:after="80"/>
        <w:ind w:right="-270" w:hanging="270"/>
        <w:contextualSpacing w:val="0"/>
        <w:rPr>
          <w:rFonts w:ascii="Arial" w:hAnsi="Arial" w:cs="Arial"/>
          <w:sz w:val="16"/>
          <w:szCs w:val="16"/>
        </w:rPr>
      </w:pPr>
      <w:r>
        <w:rPr>
          <w:rFonts w:ascii="Arial" w:hAnsi="Arial" w:cs="Arial"/>
          <w:sz w:val="16"/>
          <w:szCs w:val="16"/>
        </w:rPr>
        <w:t xml:space="preserve">(a) </w:t>
      </w:r>
      <w:r w:rsidR="00D70F17">
        <w:rPr>
          <w:rFonts w:ascii="Arial" w:hAnsi="Arial" w:cs="Arial"/>
          <w:sz w:val="16"/>
          <w:szCs w:val="16"/>
        </w:rPr>
        <w:tab/>
      </w:r>
      <w:r w:rsidR="00A156AB" w:rsidRPr="00972AEF">
        <w:rPr>
          <w:rFonts w:ascii="Arial" w:hAnsi="Arial" w:cs="Arial"/>
          <w:sz w:val="16"/>
          <w:szCs w:val="16"/>
        </w:rPr>
        <w:t xml:space="preserve">Generator assets in this table may be power plants or individual units that make up power plants. Values do not include HQICC, </w:t>
      </w:r>
      <w:r w:rsidR="00A156AB" w:rsidRPr="00B879A1">
        <w:rPr>
          <w:rFonts w:ascii="Arial" w:hAnsi="Arial" w:cs="Arial"/>
          <w:sz w:val="16"/>
          <w:szCs w:val="16"/>
        </w:rPr>
        <w:t>demand resources, or external purchases and sales.</w:t>
      </w:r>
    </w:p>
    <w:p w:rsidR="0008106C" w:rsidRDefault="00D722D4" w:rsidP="00D70F17">
      <w:pPr>
        <w:pStyle w:val="ListParagraph"/>
        <w:keepNext/>
        <w:keepLines/>
        <w:numPr>
          <w:ilvl w:val="0"/>
          <w:numId w:val="0"/>
        </w:numPr>
        <w:spacing w:before="0" w:after="80"/>
        <w:ind w:right="-270" w:hanging="270"/>
        <w:contextualSpacing w:val="0"/>
        <w:rPr>
          <w:rFonts w:ascii="Arial" w:hAnsi="Arial" w:cs="Arial"/>
          <w:sz w:val="16"/>
          <w:szCs w:val="16"/>
        </w:rPr>
      </w:pPr>
      <w:r w:rsidRPr="00B879A1">
        <w:rPr>
          <w:rFonts w:ascii="Arial" w:hAnsi="Arial" w:cs="Arial"/>
          <w:sz w:val="16"/>
          <w:szCs w:val="16"/>
        </w:rPr>
        <w:t xml:space="preserve">(b) </w:t>
      </w:r>
      <w:r w:rsidR="00D70F17" w:rsidRPr="00B879A1">
        <w:rPr>
          <w:rFonts w:ascii="Arial" w:hAnsi="Arial" w:cs="Arial"/>
          <w:sz w:val="16"/>
          <w:szCs w:val="16"/>
        </w:rPr>
        <w:tab/>
      </w:r>
      <w:r w:rsidR="00A156AB" w:rsidRPr="00B879A1">
        <w:rPr>
          <w:rFonts w:ascii="Arial" w:hAnsi="Arial" w:cs="Arial"/>
          <w:sz w:val="16"/>
          <w:szCs w:val="16"/>
        </w:rPr>
        <w:t xml:space="preserve">A </w:t>
      </w:r>
      <w:r w:rsidR="00EF25EB" w:rsidRPr="00B879A1">
        <w:rPr>
          <w:rFonts w:ascii="Arial" w:hAnsi="Arial" w:cs="Arial"/>
          <w:sz w:val="16"/>
          <w:szCs w:val="16"/>
        </w:rPr>
        <w:t>total of 10,011 MW of new</w:t>
      </w:r>
      <w:r w:rsidR="00A156AB" w:rsidRPr="00B879A1">
        <w:rPr>
          <w:rFonts w:ascii="Arial" w:hAnsi="Arial" w:cs="Arial"/>
          <w:sz w:val="16"/>
          <w:szCs w:val="16"/>
        </w:rPr>
        <w:t xml:space="preserve"> generation has been installed since the start of the markets in May 1999. This total is based on the </w:t>
      </w:r>
      <w:r w:rsidR="00BC7F25" w:rsidRPr="00B879A1">
        <w:rPr>
          <w:rFonts w:ascii="Arial" w:hAnsi="Arial" w:cs="Arial"/>
          <w:sz w:val="16"/>
          <w:szCs w:val="16"/>
        </w:rPr>
        <w:t xml:space="preserve">claimed capability </w:t>
      </w:r>
      <w:r w:rsidR="00A156AB" w:rsidRPr="00B879A1">
        <w:rPr>
          <w:rFonts w:ascii="Arial" w:hAnsi="Arial" w:cs="Arial"/>
          <w:sz w:val="16"/>
          <w:szCs w:val="16"/>
        </w:rPr>
        <w:t>of these assets as of March 2, 2010, and projected capabilities of assets expected to be in service by summer 2010.</w:t>
      </w:r>
    </w:p>
    <w:p w:rsidR="0008106C" w:rsidRDefault="00D722D4" w:rsidP="00D70F17">
      <w:pPr>
        <w:pStyle w:val="ListParagraph"/>
        <w:numPr>
          <w:ilvl w:val="0"/>
          <w:numId w:val="0"/>
        </w:numPr>
        <w:spacing w:before="0" w:after="160"/>
        <w:ind w:right="-274" w:hanging="270"/>
        <w:contextualSpacing w:val="0"/>
        <w:rPr>
          <w:rFonts w:ascii="Arial" w:hAnsi="Arial" w:cs="Arial"/>
          <w:sz w:val="16"/>
          <w:szCs w:val="16"/>
        </w:rPr>
      </w:pPr>
      <w:r>
        <w:rPr>
          <w:rFonts w:ascii="Arial" w:hAnsi="Arial" w:cs="Arial"/>
          <w:sz w:val="16"/>
          <w:szCs w:val="16"/>
        </w:rPr>
        <w:t xml:space="preserve">(c) </w:t>
      </w:r>
      <w:r w:rsidR="00D70F17">
        <w:rPr>
          <w:rFonts w:ascii="Arial" w:hAnsi="Arial" w:cs="Arial"/>
          <w:sz w:val="16"/>
          <w:szCs w:val="16"/>
        </w:rPr>
        <w:tab/>
      </w:r>
      <w:r w:rsidR="00A156AB" w:rsidRPr="00972AEF">
        <w:rPr>
          <w:rFonts w:ascii="Arial" w:hAnsi="Arial" w:cs="Arial"/>
          <w:sz w:val="16"/>
          <w:szCs w:val="16"/>
        </w:rPr>
        <w:t xml:space="preserve">Totals may not equal sum </w:t>
      </w:r>
      <w:r w:rsidR="003F6044">
        <w:rPr>
          <w:rFonts w:ascii="Arial" w:hAnsi="Arial" w:cs="Arial"/>
          <w:sz w:val="16"/>
          <w:szCs w:val="16"/>
        </w:rPr>
        <w:t>because of</w:t>
      </w:r>
      <w:r w:rsidR="00A156AB" w:rsidRPr="00972AEF">
        <w:rPr>
          <w:rFonts w:ascii="Arial" w:hAnsi="Arial" w:cs="Arial"/>
          <w:sz w:val="16"/>
          <w:szCs w:val="16"/>
        </w:rPr>
        <w:t xml:space="preserve"> rounding.</w:t>
      </w:r>
    </w:p>
    <w:p w:rsidR="00972AEF" w:rsidRDefault="003F11BF" w:rsidP="003F2DBA">
      <w:pPr>
        <w:keepNext/>
        <w:keepLines/>
        <w:spacing w:after="0" w:line="240" w:lineRule="auto"/>
        <w:jc w:val="center"/>
      </w:pPr>
      <w:r w:rsidRPr="003F11BF">
        <w:rPr>
          <w:noProof/>
        </w:rPr>
        <w:drawing>
          <wp:inline distT="0" distB="0" distL="0" distR="0">
            <wp:extent cx="5255315" cy="2222298"/>
            <wp:effectExtent l="19050" t="19050" r="21535" b="25602"/>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262534" cy="2225350"/>
                    </a:xfrm>
                    <a:prstGeom prst="rect">
                      <a:avLst/>
                    </a:prstGeom>
                    <a:noFill/>
                    <a:ln w="3175">
                      <a:solidFill>
                        <a:schemeClr val="tx1"/>
                      </a:solidFill>
                      <a:miter lim="800000"/>
                      <a:headEnd/>
                      <a:tailEnd/>
                    </a:ln>
                  </pic:spPr>
                </pic:pic>
              </a:graphicData>
            </a:graphic>
          </wp:inline>
        </w:drawing>
      </w:r>
    </w:p>
    <w:p w:rsidR="00F158B9" w:rsidRDefault="003F11BF" w:rsidP="009E779D">
      <w:pPr>
        <w:pStyle w:val="Caption-Figure"/>
        <w:tabs>
          <w:tab w:val="left" w:pos="8910"/>
        </w:tabs>
        <w:spacing w:before="60" w:after="80"/>
        <w:ind w:left="540" w:right="274"/>
      </w:pPr>
      <w:bookmarkStart w:id="579" w:name="_Ref267246665"/>
      <w:bookmarkStart w:id="580" w:name="_Toc271552380"/>
      <w:r>
        <w:t xml:space="preserve">Figure </w:t>
      </w:r>
      <w:r w:rsidR="00832C7A">
        <w:fldChar w:fldCharType="begin"/>
      </w:r>
      <w:r w:rsidR="00807C8D">
        <w:instrText xml:space="preserve"> STYLEREF 1 \s </w:instrText>
      </w:r>
      <w:r w:rsidR="00832C7A">
        <w:fldChar w:fldCharType="separate"/>
      </w:r>
      <w:r w:rsidR="00E5699E">
        <w:rPr>
          <w:noProof/>
        </w:rPr>
        <w:t>7</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4</w:t>
      </w:r>
      <w:r w:rsidR="00832C7A">
        <w:fldChar w:fldCharType="end"/>
      </w:r>
      <w:bookmarkEnd w:id="579"/>
      <w:r>
        <w:t xml:space="preserve">: </w:t>
      </w:r>
      <w:r w:rsidRPr="003936C9">
        <w:t xml:space="preserve">Shift in New England’s </w:t>
      </w:r>
      <w:r>
        <w:t>f</w:t>
      </w:r>
      <w:r w:rsidRPr="003936C9">
        <w:t xml:space="preserve">uel </w:t>
      </w:r>
      <w:r>
        <w:t>m</w:t>
      </w:r>
      <w:r w:rsidRPr="003936C9">
        <w:t>ix</w:t>
      </w:r>
      <w:r>
        <w:t>, from 2000 to 2009.</w:t>
      </w:r>
      <w:bookmarkEnd w:id="580"/>
    </w:p>
    <w:p w:rsidR="00F158B9" w:rsidRDefault="00D4331C" w:rsidP="009E779D">
      <w:pPr>
        <w:pStyle w:val="Caption-Figure"/>
        <w:keepNext w:val="0"/>
        <w:keepLines w:val="0"/>
        <w:tabs>
          <w:tab w:val="left" w:pos="8910"/>
        </w:tabs>
        <w:spacing w:before="0"/>
        <w:ind w:left="540" w:right="274"/>
        <w:rPr>
          <w:b w:val="0"/>
          <w:sz w:val="16"/>
          <w:szCs w:val="16"/>
        </w:rPr>
      </w:pPr>
      <w:r w:rsidRPr="00D4331C">
        <w:rPr>
          <w:sz w:val="16"/>
          <w:szCs w:val="16"/>
        </w:rPr>
        <w:t>Note:</w:t>
      </w:r>
      <w:r w:rsidRPr="00D4331C">
        <w:rPr>
          <w:b w:val="0"/>
          <w:sz w:val="16"/>
          <w:szCs w:val="16"/>
        </w:rPr>
        <w:t xml:space="preserve"> The “other” category </w:t>
      </w:r>
      <w:r w:rsidR="004F1FF7" w:rsidRPr="00D4331C">
        <w:rPr>
          <w:b w:val="0"/>
          <w:sz w:val="16"/>
          <w:szCs w:val="16"/>
        </w:rPr>
        <w:t>primarily</w:t>
      </w:r>
      <w:r w:rsidRPr="00D4331C">
        <w:rPr>
          <w:b w:val="0"/>
          <w:sz w:val="16"/>
          <w:szCs w:val="16"/>
        </w:rPr>
        <w:t xml:space="preserve"> contains renewable resources.</w:t>
      </w:r>
    </w:p>
    <w:p w:rsidR="00A156AB" w:rsidRDefault="00A156AB" w:rsidP="003F2DBA">
      <w:r>
        <w:t xml:space="preserve">Environmental </w:t>
      </w:r>
      <w:r w:rsidR="000F3697">
        <w:t>initiatives</w:t>
      </w:r>
      <w:r>
        <w:t xml:space="preserve"> that require reduced air </w:t>
      </w:r>
      <w:r w:rsidR="00D93D5E">
        <w:t xml:space="preserve">and water </w:t>
      </w:r>
      <w:r>
        <w:t>emissions are placing increased economic pressure on aging coal</w:t>
      </w:r>
      <w:r w:rsidR="00D93D5E">
        <w:t>-</w:t>
      </w:r>
      <w:r>
        <w:t xml:space="preserve"> and oil</w:t>
      </w:r>
      <w:r w:rsidR="00D93D5E">
        <w:t>-fired</w:t>
      </w:r>
      <w:r>
        <w:t xml:space="preserve"> units to add environmental controls or to reduce run </w:t>
      </w:r>
      <w:r w:rsidRPr="001F4D2D">
        <w:t>times (</w:t>
      </w:r>
      <w:r w:rsidRPr="00862469">
        <w:t xml:space="preserve">see </w:t>
      </w:r>
      <w:r w:rsidR="00832C7A">
        <w:fldChar w:fldCharType="begin"/>
      </w:r>
      <w:r w:rsidR="00B47FE1">
        <w:instrText xml:space="preserve"> REF _Ref262118354 \r \h </w:instrText>
      </w:r>
      <w:r w:rsidR="00832C7A">
        <w:fldChar w:fldCharType="separate"/>
      </w:r>
      <w:r w:rsidR="00E5699E">
        <w:t>Section 8</w:t>
      </w:r>
      <w:r w:rsidR="00832C7A">
        <w:fldChar w:fldCharType="end"/>
      </w:r>
      <w:r w:rsidR="003174D8" w:rsidRPr="003174D8">
        <w:t>). Given</w:t>
      </w:r>
      <w:r>
        <w:t xml:space="preserve"> the age of these coal and oil units, these </w:t>
      </w:r>
      <w:r w:rsidR="00D93D5E">
        <w:t>stations</w:t>
      </w:r>
      <w:r>
        <w:t xml:space="preserve"> may likely retire and be replaced with efficient and relatively clean-burning natural-gas-fired units.</w:t>
      </w:r>
    </w:p>
    <w:p w:rsidR="002878A4" w:rsidRDefault="00A156AB" w:rsidP="009D1346">
      <w:pPr>
        <w:pStyle w:val="Heading2"/>
      </w:pPr>
      <w:bookmarkStart w:id="581" w:name="_Toc239157101"/>
      <w:bookmarkStart w:id="582" w:name="_Toc271632278"/>
      <w:r>
        <w:t>Summary</w:t>
      </w:r>
      <w:bookmarkEnd w:id="581"/>
      <w:bookmarkEnd w:id="582"/>
    </w:p>
    <w:p w:rsidR="00A156AB" w:rsidRDefault="00A156AB" w:rsidP="00073277">
      <w:r w:rsidRPr="0061456F">
        <w:t>While natural gas remains the dominant fuel within New England’s electric</w:t>
      </w:r>
      <w:r w:rsidR="001D3F9B" w:rsidRPr="0061456F">
        <w:t xml:space="preserve"> power</w:t>
      </w:r>
      <w:r w:rsidRPr="0061456F">
        <w:t xml:space="preserve"> generation sector, the region’s diversity and expected reliability of natural gas supply has improved. This is the result of </w:t>
      </w:r>
      <w:r w:rsidR="001D3F9B" w:rsidRPr="0061456F">
        <w:t>the</w:t>
      </w:r>
      <w:r w:rsidRPr="0061456F">
        <w:t xml:space="preserve"> new Canaport LNG terminal that went into commercial operation in 2009 and the Neptune LNG</w:t>
      </w:r>
      <w:r w:rsidR="00F74830" w:rsidRPr="0061456F">
        <w:t xml:space="preserve"> </w:t>
      </w:r>
      <w:r w:rsidRPr="0061456F">
        <w:t xml:space="preserve">facility that </w:t>
      </w:r>
      <w:r w:rsidR="00B47FE1" w:rsidRPr="0061456F">
        <w:t xml:space="preserve">went </w:t>
      </w:r>
      <w:r w:rsidRPr="0061456F">
        <w:t>operational in 2010. In addition, new pipeline expansion projects have been designed to improve the ability to deliver LNG and other sources of natural gas to the region.</w:t>
      </w:r>
    </w:p>
    <w:p w:rsidR="00A156AB" w:rsidRDefault="00A156AB" w:rsidP="00073277">
      <w:r w:rsidRPr="00B82E96">
        <w:t xml:space="preserve">Regional gas prices on the spot market, which reached </w:t>
      </w:r>
      <w:r w:rsidRPr="00942529">
        <w:t>about $15.00/</w:t>
      </w:r>
      <w:r w:rsidR="003174D8" w:rsidRPr="00942529">
        <w:t>million Btu</w:t>
      </w:r>
      <w:r w:rsidRPr="00942529">
        <w:t xml:space="preserve"> </w:t>
      </w:r>
      <w:r w:rsidR="00B47FE1" w:rsidRPr="00942529">
        <w:t>(</w:t>
      </w:r>
      <w:r w:rsidR="003174D8" w:rsidRPr="00942529">
        <w:t>MMBtu)</w:t>
      </w:r>
      <w:r w:rsidR="00B47FE1" w:rsidRPr="00942529">
        <w:t xml:space="preserve"> </w:t>
      </w:r>
      <w:r w:rsidRPr="00942529">
        <w:t>in</w:t>
      </w:r>
      <w:r w:rsidRPr="00B82E96">
        <w:t xml:space="preserve"> mid-2008, have dropped </w:t>
      </w:r>
      <w:r w:rsidR="001D3F9B">
        <w:t>by about 66</w:t>
      </w:r>
      <w:r w:rsidRPr="00B82E96">
        <w:t>% to approximately $</w:t>
      </w:r>
      <w:r w:rsidR="001D3F9B">
        <w:t>5</w:t>
      </w:r>
      <w:r w:rsidRPr="00B82E96">
        <w:t>.00/MMBtu in s</w:t>
      </w:r>
      <w:r w:rsidR="001D3F9B">
        <w:t>ummer</w:t>
      </w:r>
      <w:r w:rsidRPr="00B82E96">
        <w:t xml:space="preserve"> 2010.</w:t>
      </w:r>
      <w:r w:rsidR="007E5326" w:rsidRPr="00E66749">
        <w:rPr>
          <w:rStyle w:val="FootnoteReference"/>
          <w:sz w:val="22"/>
        </w:rPr>
        <w:footnoteReference w:id="198"/>
      </w:r>
      <w:r w:rsidRPr="00B82E96">
        <w:t xml:space="preserve"> Oil has shown a similar pattern but typically remains more costly than gas on the basis of thermal equivalency. To help mitigate the dependency on natural gas as a single fuel when gas prices are high or supplies are scarce, about 25% of the region’s generating plants have dual-fuel capability, the ability to switch between oil and gas as required.</w:t>
      </w:r>
    </w:p>
    <w:p w:rsidR="00A156AB" w:rsidRDefault="00A156AB" w:rsidP="00073277">
      <w:r>
        <w:t xml:space="preserve">Contingencies on the regional gas supply and transmission system could </w:t>
      </w:r>
      <w:r w:rsidR="007E5326">
        <w:t xml:space="preserve">temporarily </w:t>
      </w:r>
      <w:r>
        <w:t xml:space="preserve">limit gas deliveries to generators anytime of the year. </w:t>
      </w:r>
      <w:r w:rsidRPr="00D93D8A">
        <w:t>Effective communication</w:t>
      </w:r>
      <w:r>
        <w:t xml:space="preserve"> between gas and electric industry operations helps mitigate these and other reliability concerns. </w:t>
      </w:r>
      <w:r w:rsidR="00B82E96">
        <w:t xml:space="preserve">Further </w:t>
      </w:r>
      <w:r>
        <w:t xml:space="preserve">flexibility </w:t>
      </w:r>
      <w:r w:rsidRPr="00886CFC">
        <w:t xml:space="preserve">of </w:t>
      </w:r>
      <w:r w:rsidR="00B82E96">
        <w:t xml:space="preserve">operation of </w:t>
      </w:r>
      <w:r>
        <w:t xml:space="preserve">gas-fired generating units </w:t>
      </w:r>
      <w:r w:rsidR="00B82E96">
        <w:t xml:space="preserve">would </w:t>
      </w:r>
      <w:r>
        <w:t xml:space="preserve">assist with the reliable integration </w:t>
      </w:r>
      <w:r w:rsidRPr="0061456F">
        <w:t xml:space="preserve">of </w:t>
      </w:r>
      <w:r w:rsidR="00EF25EB" w:rsidRPr="0061456F">
        <w:t>variable</w:t>
      </w:r>
      <w:r w:rsidR="00E43F1A" w:rsidRPr="0061456F">
        <w:t xml:space="preserve">-output </w:t>
      </w:r>
      <w:r w:rsidR="00EF25EB" w:rsidRPr="0061456F">
        <w:t>generation</w:t>
      </w:r>
      <w:r w:rsidRPr="0061456F">
        <w:t xml:space="preserve"> resources</w:t>
      </w:r>
      <w:r>
        <w:t>, such as wind</w:t>
      </w:r>
      <w:r w:rsidR="00BE3A3B">
        <w:t>-</w:t>
      </w:r>
      <w:r>
        <w:t xml:space="preserve"> and solar</w:t>
      </w:r>
      <w:r w:rsidR="00B82E96">
        <w:t>-</w:t>
      </w:r>
      <w:r>
        <w:t>powered facilities.</w:t>
      </w:r>
    </w:p>
    <w:p w:rsidR="00A156AB" w:rsidRDefault="00A156AB" w:rsidP="00073277">
      <w:r>
        <w:t>Gas quality and interchangeability will remain a concern</w:t>
      </w:r>
      <w:r w:rsidR="007E5326">
        <w:t>, yet minor to date,</w:t>
      </w:r>
      <w:r>
        <w:t xml:space="preserve"> as more LNG is imported, which can result in different gas compositions that can affect the operation of some types of gas turbines. The natural gas and electric power industries are exploring options to minimize potential problems due to variations in gas quality.</w:t>
      </w:r>
    </w:p>
    <w:p w:rsidR="00EF3088" w:rsidRDefault="00A156AB" w:rsidP="00073277">
      <w:pPr>
        <w:sectPr w:rsidR="00EF3088" w:rsidSect="00015282">
          <w:pgSz w:w="12240" w:h="15840"/>
          <w:pgMar w:top="1350" w:right="1440" w:bottom="1440" w:left="1440" w:header="720" w:footer="720" w:gutter="0"/>
          <w:cols w:space="720"/>
          <w:docGrid w:linePitch="360"/>
        </w:sectPr>
      </w:pPr>
      <w:r>
        <w:t>Aging coal</w:t>
      </w:r>
      <w:r w:rsidR="00BE3A3B">
        <w:t>-</w:t>
      </w:r>
      <w:r>
        <w:t xml:space="preserve"> and oil-fired generat</w:t>
      </w:r>
      <w:r w:rsidR="005761A3">
        <w:t>ors</w:t>
      </w:r>
      <w:r>
        <w:t xml:space="preserve"> are facing additional economic pressures from environmental </w:t>
      </w:r>
      <w:r w:rsidR="000F3697">
        <w:t>initiatives</w:t>
      </w:r>
      <w:r>
        <w:t xml:space="preserve">. The possibility of these units being replaced or repowered with natural gas could increase the region’s dependency on natural-gas-fired generation. Other environmental </w:t>
      </w:r>
      <w:r w:rsidR="000F3697">
        <w:t xml:space="preserve">initiatives </w:t>
      </w:r>
      <w:r>
        <w:t>are promoting the development of renewable resources and energy efficiency. The addition of these supply- and demand-side resources would reduce the region</w:t>
      </w:r>
      <w:r w:rsidR="00BE3A3B">
        <w:t>’</w:t>
      </w:r>
      <w:r>
        <w:t>s dependency on natural-gas-fired generation.</w:t>
      </w:r>
    </w:p>
    <w:p w:rsidR="00A156AB" w:rsidRDefault="00122C41" w:rsidP="00DF39BB">
      <w:pPr>
        <w:pStyle w:val="Heading1"/>
      </w:pPr>
      <w:r>
        <w:br/>
      </w:r>
      <w:bookmarkStart w:id="583" w:name="_Ref262118354"/>
      <w:bookmarkStart w:id="584" w:name="_Toc271632279"/>
      <w:r w:rsidRPr="00166976">
        <w:t>Environmental Regulatory Update</w:t>
      </w:r>
      <w:bookmarkEnd w:id="583"/>
      <w:bookmarkEnd w:id="584"/>
    </w:p>
    <w:p w:rsidR="00171A9D" w:rsidRPr="00352370" w:rsidRDefault="00832C7A" w:rsidP="00073277">
      <w:r>
        <w:rPr>
          <w:noProof/>
        </w:rPr>
        <w:pict>
          <v:shape id="_x0000_s1033" type="#_x0000_t202" style="position:absolute;margin-left:6228.2pt;margin-top:63.6pt;width:247.6pt;height:146.65pt;z-index:251715584;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3" inset="8.64pt,8.64pt,8.64pt,8.64pt">
              <w:txbxContent>
                <w:p w:rsidR="003C78A4" w:rsidRPr="00171A9D" w:rsidRDefault="003C78A4">
                  <w:pPr>
                    <w:pStyle w:val="BodyText1"/>
                  </w:pPr>
                  <w:r w:rsidRPr="00171A9D">
                    <w:t xml:space="preserve"> “The RSP shall address needs of the PTF system determined by the ISO through Needs Assessments initiated and updated on an ongoing basis by the ISO to account for market performance and economic, environmental and other considerations as may be agreed upon from time to time.” (Attachment K, Overview) </w:t>
                  </w:r>
                </w:p>
                <w:p w:rsidR="003C78A4" w:rsidRPr="00171A9D" w:rsidRDefault="003C78A4">
                  <w:pPr>
                    <w:pStyle w:val="BodyText1"/>
                  </w:pPr>
                  <w:r w:rsidRPr="00171A9D">
                    <w:t>“The ISO shall develop the RSP based on periodic comprehensive assessments (conducted not less than every third year) of the PTF systemwide needs to maintain the reliability of the New England Transmission System while accounting for market efficiency, economic, environmental and other considerations, as agreed upon from time to time.“ (Attachment K, §</w:t>
                  </w:r>
                  <w:r>
                    <w:t xml:space="preserve"> </w:t>
                  </w:r>
                  <w:r w:rsidRPr="00171A9D">
                    <w:t xml:space="preserve">3.1) </w:t>
                  </w:r>
                </w:p>
                <w:p w:rsidR="003C78A4" w:rsidRPr="001C1510" w:rsidRDefault="003C78A4" w:rsidP="00D50D49">
                  <w:pPr>
                    <w:rPr>
                      <w:i/>
                      <w:szCs w:val="14"/>
                    </w:rPr>
                  </w:pPr>
                </w:p>
              </w:txbxContent>
            </v:textbox>
            <w10:wrap type="square" anchorx="margin" anchory="margin"/>
          </v:shape>
        </w:pict>
      </w:r>
      <w:r w:rsidR="004001CC">
        <w:t>This section</w:t>
      </w:r>
      <w:r w:rsidR="004001CC" w:rsidRPr="00D3526C">
        <w:t xml:space="preserve"> provides an update of environmental regulations </w:t>
      </w:r>
      <w:r w:rsidR="000F3697">
        <w:t xml:space="preserve">and initiatives </w:t>
      </w:r>
      <w:r w:rsidR="004001CC" w:rsidRPr="00D3526C">
        <w:t xml:space="preserve">potentially affecting New England generators and the outlook for renewable </w:t>
      </w:r>
      <w:r w:rsidR="004001CC" w:rsidRPr="00D14341">
        <w:t xml:space="preserve">resource development in the region. It builds on the information presented in RSP09, Section 7. Two new topics are included in this section: historical emissions of New England generation and an overview of the New England states’ energy-efficiency </w:t>
      </w:r>
      <w:r w:rsidR="003D08E8">
        <w:t xml:space="preserve">(EE) </w:t>
      </w:r>
      <w:r w:rsidR="004001CC" w:rsidRPr="00D14341">
        <w:t>program</w:t>
      </w:r>
      <w:r w:rsidR="004001CC">
        <w:t>s</w:t>
      </w:r>
      <w:r w:rsidR="003174D8" w:rsidRPr="003174D8">
        <w:t>. Attachment K of the OATT requires the RSP</w:t>
      </w:r>
      <w:r w:rsidR="004001CC" w:rsidRPr="00B82E96">
        <w:t xml:space="preserve"> process to account for, among other </w:t>
      </w:r>
      <w:r w:rsidR="00D4331C" w:rsidRPr="00D4331C">
        <w:t>things, environmental considerations</w:t>
      </w:r>
      <w:r w:rsidR="001822D7">
        <w:t>, which are discussed in this section</w:t>
      </w:r>
      <w:r w:rsidR="00D4331C" w:rsidRPr="00D4331C">
        <w:t xml:space="preserve">. </w:t>
      </w:r>
    </w:p>
    <w:p w:rsidR="001B3090" w:rsidRDefault="00D4331C">
      <w:pPr>
        <w:pStyle w:val="Heading2"/>
      </w:pPr>
      <w:bookmarkStart w:id="585" w:name="_Ref262723616"/>
      <w:bookmarkStart w:id="586" w:name="_Ref266124418"/>
      <w:bookmarkStart w:id="587" w:name="_Toc271632280"/>
      <w:r w:rsidRPr="00D4331C">
        <w:t>Update of Environmental Regulations</w:t>
      </w:r>
      <w:bookmarkEnd w:id="585"/>
      <w:bookmarkEnd w:id="586"/>
      <w:bookmarkEnd w:id="587"/>
      <w:r w:rsidRPr="00D4331C">
        <w:t xml:space="preserve"> </w:t>
      </w:r>
    </w:p>
    <w:p w:rsidR="004001CC" w:rsidRPr="00352370" w:rsidRDefault="00D4331C" w:rsidP="00073277">
      <w:r w:rsidRPr="00D4331C">
        <w:t>This section summarizes major environmental activities at the federal and regional levels over the last 12</w:t>
      </w:r>
      <w:r w:rsidR="00381674">
        <w:t> </w:t>
      </w:r>
      <w:r w:rsidRPr="00D4331C">
        <w:t xml:space="preserve">months that may affect New England generators. The U.S. Environmental Protection Agency (EPA) has been very active during this period in reviewing and proposing new air quality standards and regulations. </w:t>
      </w:r>
      <w:r w:rsidR="00352370">
        <w:t>EPA’s actions, along with regional activities, cover t</w:t>
      </w:r>
      <w:r w:rsidRPr="00D4331C">
        <w:t>he following topics:</w:t>
      </w:r>
    </w:p>
    <w:p w:rsidR="004169A1" w:rsidRDefault="004169A1" w:rsidP="006C0100">
      <w:pPr>
        <w:pStyle w:val="Bullet-Solid"/>
      </w:pPr>
      <w:r>
        <w:t>Ozone attainment measures</w:t>
      </w:r>
    </w:p>
    <w:p w:rsidR="001B3090" w:rsidRDefault="00D4331C">
      <w:pPr>
        <w:pStyle w:val="Bullet-Solid"/>
        <w:numPr>
          <w:ilvl w:val="1"/>
          <w:numId w:val="21"/>
        </w:numPr>
        <w:ind w:left="1080"/>
      </w:pPr>
      <w:r w:rsidRPr="004169A1">
        <w:t>Tighter National Ambient Air Quality Standards (NAAQS) for criteria pollutants that power plants emit or that are created as a byproduct of these emissions: sulfur dioxide (SO</w:t>
      </w:r>
      <w:r w:rsidRPr="004169A1">
        <w:rPr>
          <w:vertAlign w:val="subscript"/>
        </w:rPr>
        <w:t>2</w:t>
      </w:r>
      <w:r w:rsidRPr="004169A1">
        <w:t>), nitrogen dioxide (NO</w:t>
      </w:r>
      <w:r w:rsidRPr="004169A1">
        <w:rPr>
          <w:vertAlign w:val="subscript"/>
        </w:rPr>
        <w:t>2</w:t>
      </w:r>
      <w:r w:rsidRPr="004169A1">
        <w:t>), fine particulates (PM</w:t>
      </w:r>
      <w:r w:rsidRPr="004169A1">
        <w:rPr>
          <w:vertAlign w:val="subscript"/>
        </w:rPr>
        <w:t>2.5</w:t>
      </w:r>
      <w:r w:rsidRPr="004169A1">
        <w:t>), and ozone (O</w:t>
      </w:r>
      <w:r w:rsidRPr="004169A1">
        <w:rPr>
          <w:vertAlign w:val="subscript"/>
        </w:rPr>
        <w:t>3</w:t>
      </w:r>
      <w:r w:rsidRPr="004169A1">
        <w:t>)</w:t>
      </w:r>
      <w:r w:rsidRPr="00AC6948">
        <w:rPr>
          <w:rStyle w:val="FootnoteReference"/>
          <w:sz w:val="22"/>
        </w:rPr>
        <w:footnoteReference w:id="199"/>
      </w:r>
    </w:p>
    <w:p w:rsidR="00164A74" w:rsidRPr="004169A1" w:rsidRDefault="00D4331C">
      <w:pPr>
        <w:pStyle w:val="Bullet-Solid"/>
        <w:numPr>
          <w:ilvl w:val="1"/>
          <w:numId w:val="21"/>
        </w:numPr>
        <w:ind w:left="1080"/>
      </w:pPr>
      <w:r w:rsidRPr="004169A1">
        <w:t>Clean Air Interstate Rule (CAIR)</w:t>
      </w:r>
    </w:p>
    <w:p w:rsidR="00164A74" w:rsidRPr="004169A1" w:rsidRDefault="00D4331C">
      <w:pPr>
        <w:pStyle w:val="Bullet-Solid"/>
        <w:numPr>
          <w:ilvl w:val="1"/>
          <w:numId w:val="21"/>
        </w:numPr>
        <w:ind w:left="1080"/>
      </w:pPr>
      <w:r w:rsidRPr="004169A1">
        <w:t>High Electric Demand Day (HEDD)</w:t>
      </w:r>
      <w:r w:rsidR="000E7E29" w:rsidRPr="004169A1">
        <w:t xml:space="preserve"> voluntary </w:t>
      </w:r>
      <w:r w:rsidR="00114ADF">
        <w:t xml:space="preserve">measures to reduce </w:t>
      </w:r>
      <w:r w:rsidR="000E7E29" w:rsidRPr="004169A1">
        <w:t>ozone</w:t>
      </w:r>
      <w:r w:rsidR="000E7E29" w:rsidRPr="00AC6948">
        <w:rPr>
          <w:rStyle w:val="FootnoteReference"/>
          <w:sz w:val="22"/>
        </w:rPr>
        <w:footnoteReference w:id="200"/>
      </w:r>
    </w:p>
    <w:p w:rsidR="004001CC" w:rsidRPr="00352370" w:rsidRDefault="00987991" w:rsidP="006C0100">
      <w:pPr>
        <w:pStyle w:val="Bullet-Solid"/>
      </w:pPr>
      <w:r w:rsidRPr="00987991">
        <w:t>Carbon dioxide (CO</w:t>
      </w:r>
      <w:r w:rsidRPr="00987991">
        <w:rPr>
          <w:vertAlign w:val="subscript"/>
        </w:rPr>
        <w:t>2</w:t>
      </w:r>
      <w:r w:rsidRPr="00987991">
        <w:t>) regulation</w:t>
      </w:r>
    </w:p>
    <w:p w:rsidR="00164A74" w:rsidRPr="00352370" w:rsidRDefault="00987991">
      <w:pPr>
        <w:pStyle w:val="Bullet-Solid"/>
        <w:numPr>
          <w:ilvl w:val="1"/>
          <w:numId w:val="21"/>
        </w:numPr>
        <w:ind w:left="1080"/>
      </w:pPr>
      <w:r w:rsidRPr="00987991">
        <w:t>Regional Greenhouse Gas Initiative (RGGI)</w:t>
      </w:r>
    </w:p>
    <w:p w:rsidR="00164A74" w:rsidRPr="00352370" w:rsidRDefault="00987991">
      <w:pPr>
        <w:pStyle w:val="Bullet-Solid"/>
        <w:numPr>
          <w:ilvl w:val="1"/>
          <w:numId w:val="21"/>
        </w:numPr>
        <w:ind w:left="1080"/>
      </w:pPr>
      <w:r w:rsidRPr="00987991">
        <w:t>Other regional and federal cap-and-trade programs</w:t>
      </w:r>
    </w:p>
    <w:p w:rsidR="00164A74" w:rsidRPr="00352370" w:rsidRDefault="00987991">
      <w:pPr>
        <w:pStyle w:val="Bullet-Solid"/>
        <w:numPr>
          <w:ilvl w:val="1"/>
          <w:numId w:val="21"/>
        </w:numPr>
        <w:ind w:left="1080"/>
      </w:pPr>
      <w:r w:rsidRPr="00987991">
        <w:t>EPA’s CO</w:t>
      </w:r>
      <w:r w:rsidRPr="00987991">
        <w:rPr>
          <w:vertAlign w:val="subscript"/>
        </w:rPr>
        <w:t>2</w:t>
      </w:r>
      <w:r w:rsidRPr="00987991">
        <w:t xml:space="preserve"> regulation and future air regulation strategy</w:t>
      </w:r>
    </w:p>
    <w:p w:rsidR="004001CC" w:rsidRPr="006F6A29" w:rsidRDefault="00D4331C" w:rsidP="006C0100">
      <w:pPr>
        <w:pStyle w:val="Bullet-Solid"/>
      </w:pPr>
      <w:r w:rsidRPr="00D4331C">
        <w:t>Power plant cooling water issues</w:t>
      </w:r>
      <w:r w:rsidRPr="00D4331C">
        <w:rPr>
          <w:i/>
        </w:rPr>
        <w:t xml:space="preserve"> </w:t>
      </w:r>
      <w:r w:rsidRPr="00D4331C">
        <w:t xml:space="preserve">addressed by the </w:t>
      </w:r>
      <w:r w:rsidRPr="00D4331C">
        <w:rPr>
          <w:i/>
        </w:rPr>
        <w:t xml:space="preserve">Clean Water Act, </w:t>
      </w:r>
      <w:r w:rsidRPr="00D4331C">
        <w:t>Section 316b</w:t>
      </w:r>
      <w:r w:rsidRPr="00AC6948">
        <w:rPr>
          <w:rStyle w:val="FootnoteReference"/>
          <w:sz w:val="22"/>
        </w:rPr>
        <w:footnoteReference w:id="201"/>
      </w:r>
    </w:p>
    <w:p w:rsidR="004001CC" w:rsidRPr="006F6A29" w:rsidRDefault="00D4331C" w:rsidP="006C0100">
      <w:pPr>
        <w:pStyle w:val="Bullet-Solid"/>
      </w:pPr>
      <w:r w:rsidRPr="00D4331C">
        <w:t>Regional haze</w:t>
      </w:r>
      <w:r w:rsidRPr="00AC6948">
        <w:rPr>
          <w:rStyle w:val="FootnoteReference"/>
          <w:sz w:val="22"/>
        </w:rPr>
        <w:footnoteReference w:id="202"/>
      </w:r>
    </w:p>
    <w:p w:rsidR="004001CC" w:rsidRPr="00352370" w:rsidRDefault="00D4331C" w:rsidP="006C0100">
      <w:pPr>
        <w:pStyle w:val="Bullet-Solid"/>
      </w:pPr>
      <w:r w:rsidRPr="00D4331C">
        <w:t>National Emission Standards for Hazardous Air Pollutants (NESHAPs), including mercury</w:t>
      </w:r>
      <w:r w:rsidRPr="00AC6948">
        <w:rPr>
          <w:rStyle w:val="FootnoteReference"/>
          <w:sz w:val="22"/>
        </w:rPr>
        <w:footnoteReference w:id="203"/>
      </w:r>
    </w:p>
    <w:p w:rsidR="004001CC" w:rsidRPr="00352370" w:rsidRDefault="00345F51" w:rsidP="006C0100">
      <w:pPr>
        <w:pStyle w:val="Bullet-Solid"/>
        <w:spacing w:after="240"/>
      </w:pPr>
      <w:r>
        <w:t>EPA’s proposed rule on c</w:t>
      </w:r>
      <w:r w:rsidR="00D4331C" w:rsidRPr="00D4331C">
        <w:t>oal combustion byproducts</w:t>
      </w:r>
      <w:r w:rsidR="007A4D5D" w:rsidRPr="00AC6948">
        <w:rPr>
          <w:rStyle w:val="FootnoteReference"/>
          <w:sz w:val="22"/>
        </w:rPr>
        <w:footnoteReference w:id="204"/>
      </w:r>
    </w:p>
    <w:p w:rsidR="004001CC" w:rsidRPr="00341546" w:rsidRDefault="00987991" w:rsidP="00073277">
      <w:r w:rsidRPr="00987991">
        <w:t>The issues that likely can have the most significant impacts on New England’s power plant operations and costs over the next 10 years are discussed in this section. They include proposed ozone attainment measures, the RGGI cap-and-trade</w:t>
      </w:r>
      <w:r w:rsidR="00821C68" w:rsidRPr="00821C68">
        <w:t xml:space="preserve"> program</w:t>
      </w:r>
      <w:r w:rsidR="0086274D">
        <w:t>,</w:t>
      </w:r>
      <w:r w:rsidR="00821C68" w:rsidRPr="00821C68">
        <w:t xml:space="preserve"> federal climate legislation and CO</w:t>
      </w:r>
      <w:r w:rsidR="00821C68" w:rsidRPr="00821C68">
        <w:rPr>
          <w:vertAlign w:val="subscript"/>
        </w:rPr>
        <w:t>2</w:t>
      </w:r>
      <w:r w:rsidR="00821C68" w:rsidRPr="00821C68">
        <w:t xml:space="preserve"> regulation</w:t>
      </w:r>
      <w:r w:rsidR="0086274D">
        <w:t>,</w:t>
      </w:r>
      <w:r w:rsidR="00821C68" w:rsidRPr="00821C68">
        <w:t xml:space="preserve"> and cooling water issues.</w:t>
      </w:r>
    </w:p>
    <w:p w:rsidR="00B462A6" w:rsidRDefault="004001CC">
      <w:pPr>
        <w:pStyle w:val="Heading3"/>
      </w:pPr>
      <w:bookmarkStart w:id="588" w:name="_Toc271632281"/>
      <w:r w:rsidRPr="00341546">
        <w:t>Ozone Attainment</w:t>
      </w:r>
      <w:r w:rsidR="004169A1">
        <w:t xml:space="preserve"> Measures</w:t>
      </w:r>
      <w:bookmarkEnd w:id="588"/>
    </w:p>
    <w:p w:rsidR="004001CC" w:rsidRDefault="004001CC" w:rsidP="00073277">
      <w:r w:rsidRPr="00341546">
        <w:t>Proposed ozone attainment measures include the revised NAAQS, HEDD, and the CAIR replacement rule.</w:t>
      </w:r>
      <w:r w:rsidRPr="00D3526C">
        <w:t xml:space="preserve"> </w:t>
      </w:r>
    </w:p>
    <w:p w:rsidR="00FC0261" w:rsidRDefault="004001CC" w:rsidP="00235A65">
      <w:pPr>
        <w:pStyle w:val="Heading4"/>
      </w:pPr>
      <w:r w:rsidRPr="00D3526C">
        <w:t>Revised Ozone St</w:t>
      </w:r>
      <w:r w:rsidRPr="00C31D47">
        <w:t>a</w:t>
      </w:r>
      <w:r w:rsidRPr="00D3526C">
        <w:t>ndard</w:t>
      </w:r>
    </w:p>
    <w:p w:rsidR="004001CC" w:rsidRPr="00166976" w:rsidRDefault="004001CC" w:rsidP="00073277">
      <w:r w:rsidRPr="00166976">
        <w:t xml:space="preserve">The </w:t>
      </w:r>
      <w:r>
        <w:t>EPA ha</w:t>
      </w:r>
      <w:r w:rsidRPr="004A0AB9">
        <w:t xml:space="preserve">s proposed </w:t>
      </w:r>
      <w:r>
        <w:t xml:space="preserve">revising the March 2008 ozone standard of 75 parts per billion (ppb) to a range of 60 to 70 ppb. </w:t>
      </w:r>
      <w:r w:rsidR="00C676AB">
        <w:t xml:space="preserve">As shown in </w:t>
      </w:r>
      <w:r w:rsidR="00832C7A">
        <w:fldChar w:fldCharType="begin"/>
      </w:r>
      <w:r w:rsidR="00F60C34">
        <w:instrText xml:space="preserve"> REF _Ref262121492 \h </w:instrText>
      </w:r>
      <w:r w:rsidR="00832C7A">
        <w:fldChar w:fldCharType="separate"/>
      </w:r>
      <w:r w:rsidR="00E5699E" w:rsidRPr="00C27BF5">
        <w:t xml:space="preserve">Figure </w:t>
      </w:r>
      <w:r w:rsidR="00E5699E">
        <w:rPr>
          <w:noProof/>
        </w:rPr>
        <w:t>8</w:t>
      </w:r>
      <w:r w:rsidR="00E5699E">
        <w:noBreakHyphen/>
      </w:r>
      <w:r w:rsidR="00E5699E">
        <w:rPr>
          <w:noProof/>
        </w:rPr>
        <w:t>1</w:t>
      </w:r>
      <w:r w:rsidR="00832C7A">
        <w:fldChar w:fldCharType="end"/>
      </w:r>
      <w:r w:rsidR="00C676AB">
        <w:t>,</w:t>
      </w:r>
      <w:r>
        <w:t xml:space="preserve"> </w:t>
      </w:r>
      <w:r w:rsidRPr="00166976">
        <w:t xml:space="preserve">more New England areas </w:t>
      </w:r>
      <w:r>
        <w:t>and the Northeast in general would experience greater degrees of nonattainment</w:t>
      </w:r>
      <w:r w:rsidR="00F91CE6">
        <w:t xml:space="preserve"> of the proposed ozone standard</w:t>
      </w:r>
      <w:r>
        <w:t>. The figure is based on eight-hour ozone concentrations taken at monitoring sites f</w:t>
      </w:r>
      <w:r w:rsidR="000965BC">
        <w:t>rom</w:t>
      </w:r>
      <w:r>
        <w:t xml:space="preserve"> 2007 to 2009</w:t>
      </w:r>
      <w:r w:rsidR="00C676AB">
        <w:t xml:space="preserve">, and most sites have values exceeding the </w:t>
      </w:r>
      <w:r w:rsidR="00C676AB" w:rsidRPr="00C70D89">
        <w:t xml:space="preserve">proposed range for the revised </w:t>
      </w:r>
      <w:r w:rsidR="00C676AB">
        <w:t xml:space="preserve">standard (as indicated by </w:t>
      </w:r>
      <w:r>
        <w:t xml:space="preserve">the different-colored symbols </w:t>
      </w:r>
      <w:r w:rsidR="000F093A">
        <w:t>in the figure</w:t>
      </w:r>
      <w:r w:rsidR="00C676AB">
        <w:t>, which</w:t>
      </w:r>
      <w:r w:rsidR="000F093A">
        <w:t xml:space="preserve"> </w:t>
      </w:r>
      <w:r>
        <w:t>reflect different ppb values at the monitoring sites</w:t>
      </w:r>
      <w:r w:rsidR="00C676AB">
        <w:t xml:space="preserve">). </w:t>
      </w:r>
      <w:r>
        <w:t xml:space="preserve">The proposed ozone revision could require </w:t>
      </w:r>
      <w:r w:rsidRPr="00166976">
        <w:t xml:space="preserve">further </w:t>
      </w:r>
      <w:r w:rsidRPr="000B2D74">
        <w:t>reductions in NO</w:t>
      </w:r>
      <w:r w:rsidRPr="000B2D74">
        <w:rPr>
          <w:vertAlign w:val="subscript"/>
        </w:rPr>
        <w:t>X</w:t>
      </w:r>
      <w:r w:rsidRPr="000B2D74">
        <w:t xml:space="preserve"> emissions</w:t>
      </w:r>
      <w:r w:rsidRPr="00166976">
        <w:t xml:space="preserve"> in the region</w:t>
      </w:r>
      <w:r>
        <w:t xml:space="preserve"> and affect some of </w:t>
      </w:r>
      <w:r w:rsidR="000F093A">
        <w:t>New England’s</w:t>
      </w:r>
      <w:r>
        <w:t xml:space="preserve"> generators</w:t>
      </w:r>
      <w:r w:rsidRPr="00166976">
        <w:t xml:space="preserve">. </w:t>
      </w:r>
    </w:p>
    <w:p w:rsidR="004001CC" w:rsidRDefault="004001CC" w:rsidP="00B37328">
      <w:pPr>
        <w:spacing w:after="0" w:line="240" w:lineRule="auto"/>
        <w:jc w:val="center"/>
      </w:pPr>
      <w:r w:rsidRPr="00166976">
        <w:rPr>
          <w:noProof/>
        </w:rPr>
        <w:drawing>
          <wp:inline distT="0" distB="0" distL="0" distR="0">
            <wp:extent cx="3808730" cy="4986136"/>
            <wp:effectExtent l="19050" t="0" r="127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809931" cy="4987709"/>
                    </a:xfrm>
                    <a:prstGeom prst="rect">
                      <a:avLst/>
                    </a:prstGeom>
                    <a:noFill/>
                    <a:ln w="9525">
                      <a:noFill/>
                      <a:miter lim="800000"/>
                      <a:headEnd/>
                      <a:tailEnd/>
                    </a:ln>
                  </pic:spPr>
                </pic:pic>
              </a:graphicData>
            </a:graphic>
          </wp:inline>
        </w:drawing>
      </w:r>
    </w:p>
    <w:p w:rsidR="004001CC" w:rsidRDefault="00F60C34" w:rsidP="00F91CE6">
      <w:pPr>
        <w:pStyle w:val="Caption-Figure"/>
        <w:spacing w:before="0" w:after="80"/>
        <w:ind w:left="1800" w:right="1800"/>
      </w:pPr>
      <w:bookmarkStart w:id="589" w:name="_Ref262121492"/>
      <w:bookmarkStart w:id="590" w:name="_Toc271552381"/>
      <w:r w:rsidRPr="00C27BF5">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589"/>
      <w:r w:rsidR="004116BF" w:rsidRPr="00C27BF5">
        <w:t xml:space="preserve">: </w:t>
      </w:r>
      <w:r w:rsidR="001D4EF1" w:rsidRPr="00C27BF5">
        <w:t>Average seasonal c</w:t>
      </w:r>
      <w:r w:rsidR="004116BF" w:rsidRPr="00C27BF5">
        <w:t>oncentrations</w:t>
      </w:r>
      <w:r w:rsidR="000F3697" w:rsidRPr="00C27BF5">
        <w:t xml:space="preserve"> of </w:t>
      </w:r>
      <w:r w:rsidR="00CF4761" w:rsidRPr="00C27BF5">
        <w:t>o</w:t>
      </w:r>
      <w:r w:rsidR="000F3697" w:rsidRPr="00C27BF5">
        <w:t xml:space="preserve">zone </w:t>
      </w:r>
      <w:r w:rsidR="004116BF" w:rsidRPr="00C27BF5">
        <w:t>in the Northeast</w:t>
      </w:r>
      <w:r w:rsidR="001D4EF1" w:rsidRPr="00C27BF5">
        <w:t xml:space="preserve">, </w:t>
      </w:r>
      <w:r w:rsidR="000F3697" w:rsidRPr="00C27BF5">
        <w:t>2007</w:t>
      </w:r>
      <w:r w:rsidR="001D4EF1" w:rsidRPr="00C27BF5">
        <w:t xml:space="preserve"> to 2009 (ppb)</w:t>
      </w:r>
      <w:bookmarkEnd w:id="590"/>
      <w:r w:rsidR="002C6216">
        <w:t>.</w:t>
      </w:r>
    </w:p>
    <w:p w:rsidR="004001CC" w:rsidRPr="006C0100" w:rsidRDefault="004001CC" w:rsidP="006816CF">
      <w:pPr>
        <w:spacing w:line="240" w:lineRule="auto"/>
        <w:ind w:left="1800" w:right="1800"/>
        <w:rPr>
          <w:rFonts w:ascii="Arial" w:hAnsi="Arial" w:cs="Arial"/>
          <w:sz w:val="16"/>
          <w:szCs w:val="16"/>
        </w:rPr>
      </w:pPr>
      <w:r w:rsidRPr="006C0100">
        <w:rPr>
          <w:rFonts w:ascii="Arial" w:hAnsi="Arial" w:cs="Arial"/>
          <w:b/>
          <w:sz w:val="16"/>
          <w:szCs w:val="16"/>
        </w:rPr>
        <w:t>Source:</w:t>
      </w:r>
      <w:r w:rsidRPr="006C0100">
        <w:rPr>
          <w:rFonts w:ascii="Arial" w:hAnsi="Arial" w:cs="Arial"/>
          <w:sz w:val="16"/>
          <w:szCs w:val="16"/>
        </w:rPr>
        <w:t xml:space="preserve"> </w:t>
      </w:r>
      <w:r w:rsidR="00703F11">
        <w:rPr>
          <w:rFonts w:ascii="Arial" w:hAnsi="Arial" w:cs="Arial"/>
          <w:sz w:val="16"/>
          <w:szCs w:val="16"/>
        </w:rPr>
        <w:t>Chris Salmi</w:t>
      </w:r>
      <w:r w:rsidR="007A6F15">
        <w:rPr>
          <w:rFonts w:ascii="Arial" w:hAnsi="Arial" w:cs="Arial"/>
          <w:sz w:val="16"/>
          <w:szCs w:val="16"/>
        </w:rPr>
        <w:t xml:space="preserve"> (NJ Department of Environmental Protection [DEP])</w:t>
      </w:r>
      <w:r w:rsidR="00703F11">
        <w:rPr>
          <w:rFonts w:ascii="Arial" w:hAnsi="Arial" w:cs="Arial"/>
          <w:sz w:val="16"/>
          <w:szCs w:val="16"/>
        </w:rPr>
        <w:t xml:space="preserve">, </w:t>
      </w:r>
      <w:r w:rsidRPr="006C0100">
        <w:rPr>
          <w:rFonts w:ascii="Arial" w:hAnsi="Arial" w:cs="Arial"/>
          <w:sz w:val="16"/>
          <w:szCs w:val="16"/>
        </w:rPr>
        <w:t>“Intro</w:t>
      </w:r>
      <w:r w:rsidR="008F3250">
        <w:rPr>
          <w:rFonts w:ascii="Arial" w:hAnsi="Arial" w:cs="Arial"/>
          <w:sz w:val="16"/>
          <w:szCs w:val="16"/>
        </w:rPr>
        <w:t xml:space="preserve">, </w:t>
      </w:r>
      <w:r w:rsidRPr="006C0100">
        <w:rPr>
          <w:rFonts w:ascii="Arial" w:hAnsi="Arial" w:cs="Arial"/>
          <w:sz w:val="16"/>
          <w:szCs w:val="16"/>
        </w:rPr>
        <w:t>AQ/Timeline Presentation</w:t>
      </w:r>
      <w:r w:rsidR="007A6F15">
        <w:rPr>
          <w:rFonts w:ascii="Arial" w:hAnsi="Arial" w:cs="Arial"/>
          <w:sz w:val="16"/>
          <w:szCs w:val="16"/>
        </w:rPr>
        <w:t>,</w:t>
      </w:r>
      <w:r w:rsidRPr="006C0100">
        <w:rPr>
          <w:rFonts w:ascii="Arial" w:hAnsi="Arial" w:cs="Arial"/>
          <w:sz w:val="16"/>
          <w:szCs w:val="16"/>
        </w:rPr>
        <w:t xml:space="preserve">” Slide 2, Ozone Transport Commission </w:t>
      </w:r>
      <w:r w:rsidR="008F3250">
        <w:rPr>
          <w:rFonts w:ascii="Arial" w:hAnsi="Arial" w:cs="Arial"/>
          <w:sz w:val="16"/>
          <w:szCs w:val="16"/>
        </w:rPr>
        <w:t xml:space="preserve">(OTC) </w:t>
      </w:r>
      <w:r w:rsidRPr="006C0100">
        <w:rPr>
          <w:rFonts w:ascii="Arial" w:hAnsi="Arial" w:cs="Arial"/>
          <w:sz w:val="16"/>
          <w:szCs w:val="16"/>
        </w:rPr>
        <w:t xml:space="preserve">Stationary </w:t>
      </w:r>
      <w:r w:rsidR="00703F11">
        <w:rPr>
          <w:rFonts w:ascii="Arial" w:hAnsi="Arial" w:cs="Arial"/>
          <w:sz w:val="16"/>
          <w:szCs w:val="16"/>
        </w:rPr>
        <w:t xml:space="preserve">Area and Mobile Sources Meeting, Hartford </w:t>
      </w:r>
      <w:r w:rsidR="008F3250">
        <w:rPr>
          <w:rFonts w:ascii="Arial" w:hAnsi="Arial" w:cs="Arial"/>
          <w:sz w:val="16"/>
          <w:szCs w:val="16"/>
        </w:rPr>
        <w:t>(</w:t>
      </w:r>
      <w:r w:rsidRPr="006C0100">
        <w:rPr>
          <w:rFonts w:ascii="Arial" w:hAnsi="Arial" w:cs="Arial"/>
          <w:sz w:val="16"/>
          <w:szCs w:val="16"/>
        </w:rPr>
        <w:t>March 16, 2010</w:t>
      </w:r>
      <w:r w:rsidR="008F3250">
        <w:rPr>
          <w:rFonts w:ascii="Arial" w:hAnsi="Arial" w:cs="Arial"/>
          <w:sz w:val="16"/>
          <w:szCs w:val="16"/>
        </w:rPr>
        <w:t>)</w:t>
      </w:r>
      <w:r w:rsidRPr="006C0100">
        <w:rPr>
          <w:rFonts w:ascii="Arial" w:hAnsi="Arial" w:cs="Arial"/>
          <w:sz w:val="16"/>
          <w:szCs w:val="16"/>
        </w:rPr>
        <w:t xml:space="preserve">; </w:t>
      </w:r>
      <w:hyperlink r:id="rId45" w:history="1">
        <w:r w:rsidRPr="006C0100">
          <w:rPr>
            <w:rFonts w:ascii="Arial" w:hAnsi="Arial" w:cs="Arial"/>
            <w:sz w:val="16"/>
            <w:szCs w:val="16"/>
          </w:rPr>
          <w:t>http://www.otcair.org/document.asp?fview=meeting#</w:t>
        </w:r>
      </w:hyperlink>
      <w:r w:rsidRPr="006C0100">
        <w:rPr>
          <w:rFonts w:ascii="Arial" w:hAnsi="Arial" w:cs="Arial"/>
          <w:sz w:val="16"/>
          <w:szCs w:val="16"/>
        </w:rPr>
        <w:t>).</w:t>
      </w:r>
      <w:r w:rsidR="00703F11">
        <w:rPr>
          <w:rFonts w:ascii="Arial" w:hAnsi="Arial" w:cs="Arial"/>
          <w:sz w:val="16"/>
          <w:szCs w:val="16"/>
        </w:rPr>
        <w:t xml:space="preserve"> Map created by Martha Webster, M</w:t>
      </w:r>
      <w:r w:rsidR="007A6F15">
        <w:rPr>
          <w:rFonts w:ascii="Arial" w:hAnsi="Arial" w:cs="Arial"/>
          <w:sz w:val="16"/>
          <w:szCs w:val="16"/>
        </w:rPr>
        <w:t>ai</w:t>
      </w:r>
      <w:r w:rsidR="00703F11">
        <w:rPr>
          <w:rFonts w:ascii="Arial" w:hAnsi="Arial" w:cs="Arial"/>
          <w:sz w:val="16"/>
          <w:szCs w:val="16"/>
        </w:rPr>
        <w:t>ne D</w:t>
      </w:r>
      <w:r w:rsidR="007A6F15">
        <w:rPr>
          <w:rFonts w:ascii="Arial" w:hAnsi="Arial" w:cs="Arial"/>
          <w:sz w:val="16"/>
          <w:szCs w:val="16"/>
        </w:rPr>
        <w:t>EP</w:t>
      </w:r>
      <w:r w:rsidR="00703F11">
        <w:rPr>
          <w:rFonts w:ascii="Arial" w:hAnsi="Arial" w:cs="Arial"/>
          <w:sz w:val="16"/>
          <w:szCs w:val="16"/>
        </w:rPr>
        <w:t>.</w:t>
      </w:r>
    </w:p>
    <w:p w:rsidR="001B3090" w:rsidRDefault="004001CC" w:rsidP="00235A65">
      <w:pPr>
        <w:pStyle w:val="Heading4"/>
      </w:pPr>
      <w:r>
        <w:t>H</w:t>
      </w:r>
      <w:r w:rsidR="00C27BF5">
        <w:t xml:space="preserve">igh </w:t>
      </w:r>
      <w:r>
        <w:t>E</w:t>
      </w:r>
      <w:r w:rsidR="00C27BF5">
        <w:t xml:space="preserve">lectric </w:t>
      </w:r>
      <w:r>
        <w:t>D</w:t>
      </w:r>
      <w:r w:rsidR="00C27BF5">
        <w:t xml:space="preserve">emand </w:t>
      </w:r>
      <w:r>
        <w:t>D</w:t>
      </w:r>
      <w:r w:rsidR="00C27BF5">
        <w:t>ays</w:t>
      </w:r>
    </w:p>
    <w:p w:rsidR="004001CC" w:rsidRDefault="004001CC" w:rsidP="00073277">
      <w:r>
        <w:t xml:space="preserve">In addition to meeting the ozone standard, Connecticut is one of six states that signed an OTC commitment for </w:t>
      </w:r>
      <w:r w:rsidRPr="00D3485A">
        <w:t>NO</w:t>
      </w:r>
      <w:r w:rsidRPr="00D3485A">
        <w:rPr>
          <w:vertAlign w:val="subscript"/>
        </w:rPr>
        <w:t>X</w:t>
      </w:r>
      <w:r w:rsidRPr="00C70D89">
        <w:t xml:space="preserve"> </w:t>
      </w:r>
      <w:r>
        <w:t>reductions of 11.7 tons during high electric demand days.</w:t>
      </w:r>
      <w:r w:rsidRPr="00341546">
        <w:rPr>
          <w:rFonts w:eastAsia="Times New Roman"/>
          <w:vertAlign w:val="superscript"/>
        </w:rPr>
        <w:footnoteReference w:id="205"/>
      </w:r>
      <w:r w:rsidRPr="00C70D89">
        <w:t xml:space="preserve"> The total HEDD NO</w:t>
      </w:r>
      <w:r w:rsidRPr="00341546">
        <w:rPr>
          <w:vertAlign w:val="subscript"/>
        </w:rPr>
        <w:t>X</w:t>
      </w:r>
      <w:r w:rsidRPr="00C70D89">
        <w:t xml:space="preserve"> reduction commitment by the six states in the program is 135 tons</w:t>
      </w:r>
      <w:r>
        <w:t>/</w:t>
      </w:r>
      <w:r w:rsidRPr="00C70D89">
        <w:t>day. The HEDD M</w:t>
      </w:r>
      <w:r>
        <w:t>emorandum of Understanding (M</w:t>
      </w:r>
      <w:r w:rsidRPr="00C70D89">
        <w:t>OU</w:t>
      </w:r>
      <w:r>
        <w:t>)</w:t>
      </w:r>
      <w:r w:rsidRPr="00C70D89">
        <w:t xml:space="preserve"> lists alternatives such as addi</w:t>
      </w:r>
      <w:r w:rsidR="00C27BF5">
        <w:t>ng</w:t>
      </w:r>
      <w:r w:rsidR="0076739E">
        <w:t xml:space="preserve"> </w:t>
      </w:r>
      <w:r w:rsidRPr="00C70D89">
        <w:t>NO</w:t>
      </w:r>
      <w:r w:rsidRPr="00341546">
        <w:rPr>
          <w:vertAlign w:val="subscript"/>
        </w:rPr>
        <w:t>X</w:t>
      </w:r>
      <w:r w:rsidRPr="00C70D89">
        <w:t xml:space="preserve"> controls, repowering or retir</w:t>
      </w:r>
      <w:r w:rsidR="00C27BF5">
        <w:t>ing units</w:t>
      </w:r>
      <w:r w:rsidRPr="00C70D89">
        <w:t>, reducing output, implementing energy</w:t>
      </w:r>
      <w:r w:rsidR="003D08E8">
        <w:t>-</w:t>
      </w:r>
      <w:r w:rsidRPr="00C70D89">
        <w:t>efficiency and demand</w:t>
      </w:r>
      <w:r w:rsidR="00C27BF5">
        <w:t>-</w:t>
      </w:r>
      <w:r w:rsidRPr="00C70D89">
        <w:t xml:space="preserve">response measures, or </w:t>
      </w:r>
      <w:r w:rsidR="00C27BF5">
        <w:t xml:space="preserve">capping </w:t>
      </w:r>
      <w:r w:rsidRPr="00C70D89">
        <w:t xml:space="preserve">emissions on HEDDs to </w:t>
      </w:r>
      <w:r w:rsidR="00C359D4">
        <w:t xml:space="preserve">reduce </w:t>
      </w:r>
      <w:r w:rsidR="00C359D4" w:rsidRPr="00C70D89">
        <w:t>NO</w:t>
      </w:r>
      <w:r w:rsidR="00C359D4" w:rsidRPr="00341546">
        <w:rPr>
          <w:vertAlign w:val="subscript"/>
        </w:rPr>
        <w:t>X</w:t>
      </w:r>
      <w:r w:rsidR="00C359D4" w:rsidRPr="00C70D89">
        <w:t xml:space="preserve"> </w:t>
      </w:r>
      <w:r w:rsidR="00C359D4">
        <w:t xml:space="preserve">and </w:t>
      </w:r>
      <w:r w:rsidRPr="00C70D89">
        <w:t>meet the HEDD commitment. Each state is developing its own strategy and regulations to implement its HEDD commitment</w:t>
      </w:r>
      <w:r w:rsidR="00AA67FC">
        <w:t>;</w:t>
      </w:r>
      <w:r w:rsidR="00AA67FC" w:rsidRPr="00AA67FC">
        <w:t xml:space="preserve"> </w:t>
      </w:r>
      <w:r w:rsidR="00AA67FC" w:rsidRPr="00F172ED">
        <w:t xml:space="preserve">rules </w:t>
      </w:r>
      <w:r w:rsidR="00AA67FC">
        <w:t xml:space="preserve">must </w:t>
      </w:r>
      <w:r w:rsidR="00AA67FC" w:rsidRPr="00F172ED">
        <w:t>be in place no later than 2012</w:t>
      </w:r>
      <w:r w:rsidR="00AA67FC">
        <w:t xml:space="preserve"> according to the MOU</w:t>
      </w:r>
      <w:r w:rsidRPr="00C70D89">
        <w:t xml:space="preserve">. </w:t>
      </w:r>
    </w:p>
    <w:p w:rsidR="00FC0261" w:rsidRDefault="00821C68" w:rsidP="00235A65">
      <w:pPr>
        <w:pStyle w:val="Heading4"/>
      </w:pPr>
      <w:r w:rsidRPr="00A9583A">
        <w:rPr>
          <w:rFonts w:eastAsiaTheme="minorHAnsi"/>
        </w:rPr>
        <w:t>CAIR Replacement</w:t>
      </w:r>
      <w:r w:rsidR="009C1CFE">
        <w:rPr>
          <w:rFonts w:eastAsiaTheme="minorHAnsi"/>
        </w:rPr>
        <w:t xml:space="preserve"> Rule</w:t>
      </w:r>
    </w:p>
    <w:p w:rsidR="004001CC" w:rsidRPr="00EA555F" w:rsidRDefault="004001CC" w:rsidP="00073277">
      <w:r>
        <w:t xml:space="preserve">The </w:t>
      </w:r>
      <w:r w:rsidRPr="004025C8">
        <w:t xml:space="preserve">EPA established the </w:t>
      </w:r>
      <w:r w:rsidRPr="000C5CC9">
        <w:rPr>
          <w:i/>
        </w:rPr>
        <w:t>Clean Air Interstate Rule</w:t>
      </w:r>
      <w:r w:rsidRPr="004025C8">
        <w:t xml:space="preserve"> in March 2005 to reduce precursors to ozone and particulates over 28 eastern states (including Connecticut and Massachusetts) and the District of Columbia. CAIR’s objective is to reduce sulfur dioxide and nitrogen oxides, both of which contribute to the formation of fine </w:t>
      </w:r>
      <w:r w:rsidRPr="00D3485A">
        <w:t>particulates. NO</w:t>
      </w:r>
      <w:r w:rsidRPr="00D3485A">
        <w:rPr>
          <w:vertAlign w:val="subscript"/>
        </w:rPr>
        <w:t>X</w:t>
      </w:r>
      <w:r w:rsidRPr="00D3485A">
        <w:t xml:space="preserve"> emissions</w:t>
      </w:r>
      <w:r w:rsidRPr="004025C8">
        <w:t xml:space="preserve"> also contribute to the formation of ground-level ozone. CAIR was intended to cap </w:t>
      </w:r>
      <w:smartTag w:uri="urn:schemas-microsoft-com:office:smarttags" w:element="stockticker">
        <w:r w:rsidRPr="004025C8">
          <w:t>N</w:t>
        </w:r>
      </w:smartTag>
      <w:r w:rsidRPr="004025C8">
        <w:t>O</w:t>
      </w:r>
      <w:r w:rsidRPr="004025C8">
        <w:rPr>
          <w:vertAlign w:val="subscript"/>
        </w:rPr>
        <w:t>X</w:t>
      </w:r>
      <w:r w:rsidRPr="004025C8">
        <w:t xml:space="preserve"> emissions at 1.5 million tons starting in 2009 and at 1.3</w:t>
      </w:r>
      <w:r>
        <w:t> </w:t>
      </w:r>
      <w:r w:rsidRPr="004025C8">
        <w:t>million tons in 2015. CAIR also capped SO</w:t>
      </w:r>
      <w:r w:rsidRPr="004025C8">
        <w:rPr>
          <w:vertAlign w:val="subscript"/>
        </w:rPr>
        <w:t>2</w:t>
      </w:r>
      <w:r w:rsidRPr="004025C8">
        <w:t xml:space="preserve"> levels</w:t>
      </w:r>
      <w:r w:rsidR="000F3697">
        <w:t xml:space="preserve"> </w:t>
      </w:r>
      <w:r w:rsidR="006339A4">
        <w:t>at 2.5 million tons</w:t>
      </w:r>
      <w:r w:rsidRPr="004025C8">
        <w:t>.</w:t>
      </w:r>
    </w:p>
    <w:p w:rsidR="00960BA6" w:rsidRPr="00EA555F" w:rsidRDefault="00987991" w:rsidP="00960BA6">
      <w:r w:rsidRPr="00987991">
        <w:t xml:space="preserve">Connecticut and Massachusetts were the only two affected states in New England that would be required to </w:t>
      </w:r>
      <w:r w:rsidR="00771254">
        <w:t>r</w:t>
      </w:r>
      <w:r w:rsidRPr="00987991">
        <w:t>educe emissions in their states under the original CAIR NO</w:t>
      </w:r>
      <w:r w:rsidRPr="00987991">
        <w:rPr>
          <w:vertAlign w:val="subscript"/>
        </w:rPr>
        <w:t>X</w:t>
      </w:r>
      <w:r w:rsidRPr="00987991">
        <w:t xml:space="preserve"> cap during the ozone season, which is May through September. These states had been relying on the provisions of CAIR to develop their own compliance rules for generators and had been proceeding with CAIR compliance plans. Generators in these states also had been taking steps toward compliance with these CAIR rules. Connecticut and Massachusetts were not subject to the original CAIR’s annual SO</w:t>
      </w:r>
      <w:r w:rsidRPr="00987991">
        <w:rPr>
          <w:vertAlign w:val="subscript"/>
        </w:rPr>
        <w:t>2</w:t>
      </w:r>
      <w:r w:rsidRPr="00987991">
        <w:t xml:space="preserve"> or annual NO</w:t>
      </w:r>
      <w:r w:rsidRPr="00987991">
        <w:rPr>
          <w:vertAlign w:val="subscript"/>
        </w:rPr>
        <w:t>X</w:t>
      </w:r>
      <w:r w:rsidRPr="00987991">
        <w:t xml:space="preserve"> cap</w:t>
      </w:r>
      <w:r w:rsidR="00C76083">
        <w:t>s</w:t>
      </w:r>
      <w:r w:rsidR="00E84B2C">
        <w:t xml:space="preserve">. </w:t>
      </w:r>
    </w:p>
    <w:p w:rsidR="004001CC" w:rsidRPr="00EA555F" w:rsidRDefault="004001CC" w:rsidP="00073277">
      <w:r w:rsidRPr="004025C8">
        <w:t xml:space="preserve">On July 11, 2008, the U.S. Court of Appeals for the District of Columbia Circuit vacated the entire </w:t>
      </w:r>
      <w:r w:rsidRPr="000C5CC9">
        <w:rPr>
          <w:i/>
        </w:rPr>
        <w:t>Clean Air Interstate Rule</w:t>
      </w:r>
      <w:r>
        <w:rPr>
          <w:i/>
        </w:rPr>
        <w:t>.</w:t>
      </w:r>
      <w:r w:rsidRPr="00E719E1">
        <w:rPr>
          <w:rStyle w:val="FootnoteReference"/>
          <w:sz w:val="22"/>
        </w:rPr>
        <w:footnoteReference w:id="206"/>
      </w:r>
      <w:r w:rsidRPr="004025C8">
        <w:t xml:space="preserve"> However, on December 29, 2008, the court reversed its July decision and reinstated </w:t>
      </w:r>
      <w:r w:rsidRPr="006A7038">
        <w:t>CAIR indefinitely until the EPA amends the rule or parties appeal the court’s decision</w:t>
      </w:r>
      <w:r w:rsidR="00821C68" w:rsidRPr="006A7038">
        <w:t xml:space="preserve">. </w:t>
      </w:r>
      <w:r w:rsidR="00575563" w:rsidRPr="006A7038">
        <w:t>On July 6, 2010, EPA proposed a</w:t>
      </w:r>
      <w:r w:rsidR="00821C68" w:rsidRPr="006A7038">
        <w:t xml:space="preserve"> CAIR replacement rule</w:t>
      </w:r>
      <w:r w:rsidR="00575563" w:rsidRPr="006A7038">
        <w:t>,</w:t>
      </w:r>
      <w:r w:rsidR="00821C68" w:rsidRPr="006A7038">
        <w:t xml:space="preserve"> </w:t>
      </w:r>
      <w:r w:rsidR="00575563" w:rsidRPr="006A7038">
        <w:t xml:space="preserve">labeled the </w:t>
      </w:r>
      <w:r w:rsidR="00987991" w:rsidRPr="00987991">
        <w:rPr>
          <w:i/>
        </w:rPr>
        <w:t>Transport Rule</w:t>
      </w:r>
      <w:r w:rsidR="00575563" w:rsidRPr="006A7038">
        <w:t>. As proposed, this rule would only affect Connecticut and Massachusetts</w:t>
      </w:r>
      <w:r w:rsidR="00B761DC">
        <w:t xml:space="preserve"> by requiring </w:t>
      </w:r>
      <w:r w:rsidR="00987991" w:rsidRPr="00987991">
        <w:t>annual caps on SO</w:t>
      </w:r>
      <w:r w:rsidR="00987991" w:rsidRPr="00987991">
        <w:rPr>
          <w:vertAlign w:val="subscript"/>
        </w:rPr>
        <w:t>2</w:t>
      </w:r>
      <w:r w:rsidR="00987991" w:rsidRPr="00987991">
        <w:t xml:space="preserve"> and NO</w:t>
      </w:r>
      <w:r w:rsidR="00987991" w:rsidRPr="00987991">
        <w:rPr>
          <w:vertAlign w:val="subscript"/>
        </w:rPr>
        <w:t>X</w:t>
      </w:r>
      <w:r w:rsidR="00987991" w:rsidRPr="00987991">
        <w:t xml:space="preserve"> </w:t>
      </w:r>
      <w:r w:rsidR="00E719E1">
        <w:t xml:space="preserve">emissions </w:t>
      </w:r>
      <w:r w:rsidR="00987991" w:rsidRPr="00987991">
        <w:t xml:space="preserve">for each state and an ozone season cap </w:t>
      </w:r>
      <w:r w:rsidR="00E719E1">
        <w:t xml:space="preserve">starting in 2012 </w:t>
      </w:r>
      <w:r w:rsidR="00987991" w:rsidRPr="00987991">
        <w:t xml:space="preserve">for Connecticut for </w:t>
      </w:r>
      <w:r w:rsidR="00987991" w:rsidRPr="005761A3">
        <w:t>compliance by</w:t>
      </w:r>
      <w:r w:rsidR="00E1644D" w:rsidRPr="005761A3">
        <w:t xml:space="preserve"> </w:t>
      </w:r>
      <w:r w:rsidR="00987991" w:rsidRPr="005761A3">
        <w:t>larger</w:t>
      </w:r>
      <w:r w:rsidR="00211A3E" w:rsidRPr="005761A3">
        <w:t xml:space="preserve"> electric</w:t>
      </w:r>
      <w:r w:rsidR="00211A3E">
        <w:t xml:space="preserve"> generators</w:t>
      </w:r>
      <w:r w:rsidR="00821C68" w:rsidRPr="006A7038">
        <w:t>.</w:t>
      </w:r>
    </w:p>
    <w:p w:rsidR="004001CC" w:rsidRPr="00B759B4" w:rsidRDefault="004001CC" w:rsidP="00073277">
      <w:pPr>
        <w:rPr>
          <w:rFonts w:ascii="Arial" w:eastAsia="Times New Roman" w:hAnsi="Arial"/>
          <w:i/>
          <w:iCs/>
          <w:sz w:val="20"/>
          <w:szCs w:val="20"/>
        </w:rPr>
      </w:pPr>
      <w:r w:rsidRPr="006F36B4">
        <w:t xml:space="preserve">The ISO will continue to monitor and evaluate developments relating to </w:t>
      </w:r>
      <w:r w:rsidR="00211A3E">
        <w:t xml:space="preserve">the proposed </w:t>
      </w:r>
      <w:r w:rsidR="00211A3E" w:rsidRPr="00E719E1">
        <w:rPr>
          <w:i/>
        </w:rPr>
        <w:t>Transport Rule</w:t>
      </w:r>
      <w:r w:rsidRPr="006F36B4">
        <w:t xml:space="preserve"> and any impacts this decision </w:t>
      </w:r>
      <w:r w:rsidR="00B759B4">
        <w:t xml:space="preserve">and related state rules </w:t>
      </w:r>
      <w:r w:rsidRPr="006F36B4">
        <w:t>could have on New England</w:t>
      </w:r>
      <w:r>
        <w:t xml:space="preserve"> </w:t>
      </w:r>
      <w:r w:rsidR="00987991" w:rsidRPr="00987991">
        <w:t xml:space="preserve">generators throughout the region. </w:t>
      </w:r>
    </w:p>
    <w:p w:rsidR="00B462A6" w:rsidRDefault="004001CC">
      <w:pPr>
        <w:pStyle w:val="Heading3"/>
      </w:pPr>
      <w:bookmarkStart w:id="591" w:name="_Ref266614475"/>
      <w:bookmarkStart w:id="592" w:name="_Toc271632282"/>
      <w:r w:rsidRPr="00166976">
        <w:t>Greenhouse Gases</w:t>
      </w:r>
      <w:bookmarkEnd w:id="591"/>
      <w:bookmarkEnd w:id="592"/>
    </w:p>
    <w:p w:rsidR="004001CC" w:rsidRDefault="004001CC" w:rsidP="00073277">
      <w:r w:rsidRPr="00166976">
        <w:t xml:space="preserve">The Regional Greenhouse Gas </w:t>
      </w:r>
      <w:r>
        <w:t xml:space="preserve">Initiative </w:t>
      </w:r>
      <w:r w:rsidRPr="00166976">
        <w:t xml:space="preserve">is a </w:t>
      </w:r>
      <w:r>
        <w:t>10</w:t>
      </w:r>
      <w:r w:rsidRPr="00166976">
        <w:t>-state CO</w:t>
      </w:r>
      <w:r w:rsidRPr="004102A0">
        <w:rPr>
          <w:vertAlign w:val="subscript"/>
        </w:rPr>
        <w:t>2</w:t>
      </w:r>
      <w:r w:rsidRPr="00166976">
        <w:t xml:space="preserve"> cap</w:t>
      </w:r>
      <w:r>
        <w:t>-</w:t>
      </w:r>
      <w:r w:rsidRPr="00166976">
        <w:t>and</w:t>
      </w:r>
      <w:r>
        <w:t>-</w:t>
      </w:r>
      <w:r w:rsidRPr="00166976">
        <w:t xml:space="preserve">trade program </w:t>
      </w:r>
      <w:r>
        <w:t xml:space="preserve">that began in 2009 and </w:t>
      </w:r>
      <w:r w:rsidRPr="00166976">
        <w:t>affect</w:t>
      </w:r>
      <w:r>
        <w:t xml:space="preserve">s </w:t>
      </w:r>
      <w:r w:rsidRPr="00166976">
        <w:t>electric</w:t>
      </w:r>
      <w:r>
        <w:t>ity</w:t>
      </w:r>
      <w:r w:rsidRPr="00166976">
        <w:t xml:space="preserve"> generators. </w:t>
      </w:r>
      <w:r>
        <w:t>In 2008</w:t>
      </w:r>
      <w:r w:rsidR="00AA67FC">
        <w:t>,</w:t>
      </w:r>
      <w:r>
        <w:t xml:space="preserve"> </w:t>
      </w:r>
      <w:r w:rsidRPr="00166976">
        <w:t>CO</w:t>
      </w:r>
      <w:r w:rsidRPr="004102A0">
        <w:rPr>
          <w:vertAlign w:val="subscript"/>
        </w:rPr>
        <w:t>2</w:t>
      </w:r>
      <w:r w:rsidRPr="00166976">
        <w:t xml:space="preserve"> emissions from RGGI units </w:t>
      </w:r>
      <w:r>
        <w:t>total</w:t>
      </w:r>
      <w:r w:rsidR="00AA67FC">
        <w:t>ed</w:t>
      </w:r>
      <w:r>
        <w:t xml:space="preserve"> </w:t>
      </w:r>
      <w:r w:rsidRPr="00166976">
        <w:t>15</w:t>
      </w:r>
      <w:r>
        <w:t>3</w:t>
      </w:r>
      <w:r w:rsidRPr="00166976">
        <w:t>.5</w:t>
      </w:r>
      <w:r>
        <w:t> </w:t>
      </w:r>
      <w:r w:rsidRPr="00166976">
        <w:t xml:space="preserve">million tons, almost 18% below the current </w:t>
      </w:r>
      <w:r>
        <w:t xml:space="preserve">RGGI </w:t>
      </w:r>
      <w:r w:rsidRPr="00166976">
        <w:t>cap (188.1 million short tons of CO</w:t>
      </w:r>
      <w:r w:rsidRPr="004102A0">
        <w:rPr>
          <w:vertAlign w:val="subscript"/>
        </w:rPr>
        <w:t>2</w:t>
      </w:r>
      <w:r w:rsidRPr="00166976">
        <w:t>)</w:t>
      </w:r>
      <w:r>
        <w:t>. P</w:t>
      </w:r>
      <w:r w:rsidRPr="00166976">
        <w:t xml:space="preserve">reliminary EPA data show the 2009 emissions </w:t>
      </w:r>
      <w:r>
        <w:t xml:space="preserve">from RGGI units to be </w:t>
      </w:r>
      <w:r w:rsidRPr="00166976">
        <w:t xml:space="preserve">even lower at 123.7 million tons (a </w:t>
      </w:r>
      <w:r w:rsidR="00DB462B">
        <w:t>34</w:t>
      </w:r>
      <w:r w:rsidRPr="00166976">
        <w:t>% reduction</w:t>
      </w:r>
      <w:r>
        <w:t xml:space="preserve"> </w:t>
      </w:r>
      <w:r w:rsidRPr="006F36B4">
        <w:t>from the RGGI cap)</w:t>
      </w:r>
      <w:r>
        <w:t>.</w:t>
      </w:r>
      <w:r w:rsidR="00F46CEB" w:rsidRPr="00F46CEB">
        <w:rPr>
          <w:rStyle w:val="FootnoteReference"/>
          <w:sz w:val="22"/>
        </w:rPr>
        <w:footnoteReference w:id="207"/>
      </w:r>
      <w:r w:rsidRPr="00900827">
        <w:t xml:space="preserve"> New England’s</w:t>
      </w:r>
      <w:r w:rsidRPr="00166976">
        <w:t xml:space="preserve"> portion of the 2008 RGGI emissions was </w:t>
      </w:r>
      <w:r>
        <w:t>44.3 </w:t>
      </w:r>
      <w:r w:rsidRPr="00DC45B3">
        <w:t>million tons</w:t>
      </w:r>
      <w:r w:rsidR="000965BC" w:rsidRPr="00DC45B3">
        <w:t>,</w:t>
      </w:r>
      <w:r w:rsidRPr="00DC45B3">
        <w:t xml:space="preserve"> </w:t>
      </w:r>
      <w:r w:rsidR="00F46CEB" w:rsidRPr="00DC45B3">
        <w:t xml:space="preserve">almost 21% below </w:t>
      </w:r>
      <w:r w:rsidRPr="00DC45B3">
        <w:t>its six-state cap allocation of 55.8 million tons. New England’s</w:t>
      </w:r>
      <w:r w:rsidRPr="00166976">
        <w:t xml:space="preserve"> 2009 preliminary emissions were 39.3</w:t>
      </w:r>
      <w:r w:rsidR="0081159E">
        <w:t> </w:t>
      </w:r>
      <w:r w:rsidRPr="00166976">
        <w:t>million tons, almost 30% below the six</w:t>
      </w:r>
      <w:r w:rsidR="009327FB">
        <w:t>-</w:t>
      </w:r>
      <w:r w:rsidRPr="00166976">
        <w:t>state</w:t>
      </w:r>
      <w:r w:rsidR="009327FB">
        <w:t xml:space="preserve"> </w:t>
      </w:r>
      <w:r w:rsidRPr="00166976">
        <w:t>cap allocation.</w:t>
      </w:r>
      <w:r>
        <w:t xml:space="preserve"> </w:t>
      </w:r>
      <w:r w:rsidR="009327FB">
        <w:t>T</w:t>
      </w:r>
      <w:r>
        <w:t>he lower emission</w:t>
      </w:r>
      <w:r w:rsidR="003C0CB7">
        <w:t>s</w:t>
      </w:r>
      <w:r>
        <w:t xml:space="preserve"> </w:t>
      </w:r>
      <w:r w:rsidR="009327FB">
        <w:t xml:space="preserve">could be the result of </w:t>
      </w:r>
      <w:r>
        <w:t xml:space="preserve">the lower energy consumption driven in part by the economic recession, lower natural gas prices, and </w:t>
      </w:r>
      <w:r w:rsidR="009327FB">
        <w:t xml:space="preserve">the increase in energy production by </w:t>
      </w:r>
      <w:r>
        <w:t xml:space="preserve">natural gas units from </w:t>
      </w:r>
      <w:r w:rsidRPr="00D3526C">
        <w:t>40.9%</w:t>
      </w:r>
      <w:r w:rsidR="000965BC">
        <w:t xml:space="preserve"> in 2008</w:t>
      </w:r>
      <w:r w:rsidRPr="00D3526C">
        <w:t xml:space="preserve"> to 42.4% in 2009.</w:t>
      </w:r>
      <w:r>
        <w:t xml:space="preserve"> Adding some longer-term perspective,</w:t>
      </w:r>
      <w:r w:rsidRPr="00166976">
        <w:t xml:space="preserve"> the 2018 RGGI cap of 169 million tons is 10% lower</w:t>
      </w:r>
      <w:r>
        <w:t xml:space="preserve"> than the current RGGI cap</w:t>
      </w:r>
      <w:r w:rsidRPr="00166976">
        <w:t xml:space="preserve"> </w:t>
      </w:r>
      <w:r>
        <w:t xml:space="preserve">and </w:t>
      </w:r>
      <w:r w:rsidRPr="00166976">
        <w:t>less than what proposed federal cap</w:t>
      </w:r>
      <w:r>
        <w:t>-</w:t>
      </w:r>
      <w:r w:rsidRPr="00166976">
        <w:t>and</w:t>
      </w:r>
      <w:r>
        <w:t>-</w:t>
      </w:r>
      <w:r w:rsidRPr="00166976">
        <w:t xml:space="preserve">trade bills in </w:t>
      </w:r>
      <w:r>
        <w:t xml:space="preserve">the U.S. </w:t>
      </w:r>
      <w:r w:rsidRPr="00166976">
        <w:t xml:space="preserve">Congress </w:t>
      </w:r>
      <w:r w:rsidR="002F03A1">
        <w:t>would</w:t>
      </w:r>
      <w:r w:rsidRPr="00166976">
        <w:t xml:space="preserve"> requir</w:t>
      </w:r>
      <w:r w:rsidR="002F03A1">
        <w:t>e</w:t>
      </w:r>
      <w:r w:rsidRPr="00166976">
        <w:t>: a 17% reduction by 2020 from 2005 emissions</w:t>
      </w:r>
      <w:r>
        <w:t>.</w:t>
      </w:r>
      <w:r w:rsidRPr="009327FB">
        <w:rPr>
          <w:rStyle w:val="FootnoteReference"/>
          <w:sz w:val="22"/>
        </w:rPr>
        <w:footnoteReference w:id="208"/>
      </w:r>
      <w:r>
        <w:t xml:space="preserve"> </w:t>
      </w:r>
    </w:p>
    <w:p w:rsidR="004001CC" w:rsidRPr="000B2D74" w:rsidRDefault="002F03A1" w:rsidP="00073277">
      <w:r>
        <w:t>T</w:t>
      </w:r>
      <w:r w:rsidR="004001CC" w:rsidRPr="00166976">
        <w:t xml:space="preserve">he RGGI auction prices have dropped to </w:t>
      </w:r>
      <w:r w:rsidR="004001CC" w:rsidRPr="001466B0">
        <w:t>a</w:t>
      </w:r>
      <w:r w:rsidR="003B2E47" w:rsidRPr="001466B0">
        <w:t>bout</w:t>
      </w:r>
      <w:r w:rsidR="004001CC" w:rsidRPr="001466B0">
        <w:t xml:space="preserve"> $2</w:t>
      </w:r>
      <w:r w:rsidR="001466B0" w:rsidRPr="001466B0">
        <w:t>/</w:t>
      </w:r>
      <w:r w:rsidR="00787694">
        <w:t>allowance</w:t>
      </w:r>
      <w:r w:rsidR="004001CC" w:rsidRPr="001466B0">
        <w:t xml:space="preserve"> from over $3</w:t>
      </w:r>
      <w:r w:rsidR="001466B0" w:rsidRPr="001466B0">
        <w:t>/</w:t>
      </w:r>
      <w:r w:rsidR="00787694">
        <w:t>allowance</w:t>
      </w:r>
      <w:r w:rsidR="004001CC" w:rsidRPr="001466B0">
        <w:t xml:space="preserve"> in the</w:t>
      </w:r>
      <w:r w:rsidR="004001CC" w:rsidRPr="00166976">
        <w:t xml:space="preserve"> first auctions</w:t>
      </w:r>
      <w:r w:rsidR="004001CC">
        <w:t>.</w:t>
      </w:r>
      <w:r w:rsidR="00787694" w:rsidRPr="00BA5E80">
        <w:rPr>
          <w:rStyle w:val="FootnoteReference"/>
          <w:sz w:val="22"/>
        </w:rPr>
        <w:footnoteReference w:id="209"/>
      </w:r>
      <w:r w:rsidR="004001CC">
        <w:t xml:space="preserve"> </w:t>
      </w:r>
      <w:r w:rsidR="004001CC" w:rsidRPr="00166976">
        <w:t xml:space="preserve">Total revenues for the New England states from seven RGGI auctions were $177.3 million, </w:t>
      </w:r>
      <w:r w:rsidR="004001CC" w:rsidRPr="006F36B4">
        <w:t>of which</w:t>
      </w:r>
      <w:r w:rsidR="004001CC">
        <w:t xml:space="preserve"> about 93% or $165.2</w:t>
      </w:r>
      <w:r w:rsidR="005A1BB4">
        <w:t> </w:t>
      </w:r>
      <w:r w:rsidR="004001CC" w:rsidRPr="000B2D74">
        <w:t xml:space="preserve">million was allocated to these states’ energy-efficiency programs (see </w:t>
      </w:r>
      <w:r w:rsidR="00DC45B3" w:rsidRPr="000B2D74">
        <w:t>Section</w:t>
      </w:r>
      <w:r w:rsidR="00DC45B3">
        <w:t> </w:t>
      </w:r>
      <w:fldSimple w:instr=" REF _Ref266532183 \r \h  \* MERGEFORMAT ">
        <w:r w:rsidR="00E5699E">
          <w:t>8.4</w:t>
        </w:r>
      </w:fldSimple>
      <w:r w:rsidR="004001CC" w:rsidRPr="000B2D74">
        <w:t>).</w:t>
      </w:r>
      <w:r w:rsidR="004001CC" w:rsidRPr="00010491">
        <w:rPr>
          <w:rStyle w:val="FootnoteReference"/>
          <w:sz w:val="22"/>
        </w:rPr>
        <w:footnoteReference w:id="210"/>
      </w:r>
      <w:r w:rsidR="004001CC" w:rsidRPr="00010491">
        <w:t xml:space="preserve"> </w:t>
      </w:r>
      <w:r w:rsidR="004001CC" w:rsidRPr="000B2D74">
        <w:t>A reevaluation of the RGGI program is planned for 2012.</w:t>
      </w:r>
      <w:r w:rsidR="004001CC" w:rsidRPr="00010491">
        <w:rPr>
          <w:rStyle w:val="FootnoteReference"/>
          <w:sz w:val="22"/>
        </w:rPr>
        <w:footnoteReference w:id="211"/>
      </w:r>
    </w:p>
    <w:p w:rsidR="004001CC" w:rsidRPr="00166976" w:rsidRDefault="004001CC" w:rsidP="00073277">
      <w:r w:rsidRPr="000B2D74">
        <w:t xml:space="preserve">Climate legislation is under development in </w:t>
      </w:r>
      <w:r w:rsidR="00451C14" w:rsidRPr="000B2D74">
        <w:t>C</w:t>
      </w:r>
      <w:r w:rsidRPr="000B2D74">
        <w:t>ongress, with the Senate developing an alternate bill to the Waxman-Markey bill that passed in the House in June 2009.</w:t>
      </w:r>
      <w:r w:rsidRPr="001466B0">
        <w:rPr>
          <w:rStyle w:val="FootnoteReference"/>
          <w:sz w:val="22"/>
        </w:rPr>
        <w:footnoteReference w:id="212"/>
      </w:r>
      <w:r w:rsidRPr="001466B0">
        <w:t xml:space="preserve"> </w:t>
      </w:r>
      <w:r w:rsidRPr="000B2D74">
        <w:t xml:space="preserve">The timetable for when either of these bills could emerge as legislation is uncertain. Both bills are targeting a 17% reduction in </w:t>
      </w:r>
      <w:r w:rsidR="00517750" w:rsidRPr="000B2D74">
        <w:t>greenhouse gas (</w:t>
      </w:r>
      <w:r w:rsidRPr="000B2D74">
        <w:t>GHG</w:t>
      </w:r>
      <w:r w:rsidR="00517750" w:rsidRPr="000B2D74">
        <w:t>)</w:t>
      </w:r>
      <w:r w:rsidRPr="000B2D74">
        <w:t xml:space="preserve"> emissions by 2020.</w:t>
      </w:r>
    </w:p>
    <w:p w:rsidR="004001CC" w:rsidRPr="00166976" w:rsidRDefault="004001CC" w:rsidP="00073277">
      <w:r w:rsidRPr="00166976">
        <w:t xml:space="preserve">EPA had also established an annual GHG emissions reporting requirement for electric generating units </w:t>
      </w:r>
      <w:r>
        <w:t>with GHG emissions greater than 25,000 metric tons.</w:t>
      </w:r>
      <w:r w:rsidRPr="001466B0">
        <w:rPr>
          <w:rStyle w:val="FootnoteReference"/>
          <w:sz w:val="22"/>
        </w:rPr>
        <w:footnoteReference w:id="213"/>
      </w:r>
      <w:r>
        <w:t xml:space="preserve"> This requirement </w:t>
      </w:r>
      <w:r w:rsidRPr="00166976">
        <w:t>started January 1</w:t>
      </w:r>
      <w:r>
        <w:t xml:space="preserve"> for the year 2010</w:t>
      </w:r>
      <w:r w:rsidRPr="00166976">
        <w:t xml:space="preserve">. EPA also has proposed a GHG permitting requirement for the generating units that would be part of the </w:t>
      </w:r>
      <w:r w:rsidRPr="00C70D89">
        <w:rPr>
          <w:i/>
        </w:rPr>
        <w:t>Clean Air Act</w:t>
      </w:r>
      <w:r w:rsidRPr="00166976">
        <w:t xml:space="preserve"> </w:t>
      </w:r>
      <w:r w:rsidRPr="00C70D89">
        <w:rPr>
          <w:i/>
        </w:rPr>
        <w:t>Title V</w:t>
      </w:r>
      <w:r w:rsidRPr="00166976">
        <w:t xml:space="preserve"> air permit renewal every five years</w:t>
      </w:r>
      <w:r>
        <w:t>.</w:t>
      </w:r>
      <w:r w:rsidRPr="0071070F">
        <w:rPr>
          <w:rStyle w:val="FootnoteReference"/>
          <w:sz w:val="22"/>
        </w:rPr>
        <w:footnoteReference w:id="214"/>
      </w:r>
      <w:r w:rsidRPr="0071070F">
        <w:t xml:space="preserve"> </w:t>
      </w:r>
      <w:r w:rsidRPr="00166976">
        <w:t xml:space="preserve">The permit would require </w:t>
      </w:r>
      <w:r>
        <w:t xml:space="preserve">the </w:t>
      </w:r>
      <w:r w:rsidRPr="00166976">
        <w:t xml:space="preserve">use of best available control technology </w:t>
      </w:r>
      <w:r>
        <w:t xml:space="preserve">(BACT) </w:t>
      </w:r>
      <w:r w:rsidRPr="00166976">
        <w:t>or energy</w:t>
      </w:r>
      <w:r>
        <w:t>-</w:t>
      </w:r>
      <w:r w:rsidRPr="00166976">
        <w:t>efficiency measures to reduce GHG</w:t>
      </w:r>
      <w:r>
        <w:t>,</w:t>
      </w:r>
      <w:r w:rsidRPr="00166976">
        <w:t xml:space="preserve"> but </w:t>
      </w:r>
      <w:r>
        <w:t xml:space="preserve">EPA </w:t>
      </w:r>
      <w:r w:rsidRPr="00166976">
        <w:t xml:space="preserve">has not </w:t>
      </w:r>
      <w:r>
        <w:t xml:space="preserve">yet </w:t>
      </w:r>
      <w:r w:rsidRPr="00166976">
        <w:t xml:space="preserve">defined what these </w:t>
      </w:r>
      <w:r>
        <w:t>would be</w:t>
      </w:r>
      <w:r w:rsidRPr="00166976">
        <w:t>.</w:t>
      </w:r>
    </w:p>
    <w:p w:rsidR="00B462A6" w:rsidRDefault="004001CC">
      <w:pPr>
        <w:pStyle w:val="Heading3"/>
      </w:pPr>
      <w:bookmarkStart w:id="593" w:name="_Toc271632283"/>
      <w:r w:rsidRPr="00166976">
        <w:t>Cooling Water</w:t>
      </w:r>
      <w:bookmarkEnd w:id="593"/>
    </w:p>
    <w:p w:rsidR="004001CC" w:rsidRPr="00180A3B" w:rsidRDefault="004001CC" w:rsidP="00073277">
      <w:r>
        <w:t>C</w:t>
      </w:r>
      <w:r w:rsidRPr="00166976">
        <w:t xml:space="preserve">ooling water intake requirements </w:t>
      </w:r>
      <w:r>
        <w:t>for</w:t>
      </w:r>
      <w:r w:rsidRPr="00166976">
        <w:t xml:space="preserve"> power plants under </w:t>
      </w:r>
      <w:r>
        <w:t xml:space="preserve">the </w:t>
      </w:r>
      <w:r w:rsidRPr="00C70D89">
        <w:rPr>
          <w:i/>
        </w:rPr>
        <w:t>Clean Water Act</w:t>
      </w:r>
      <w:r>
        <w:rPr>
          <w:i/>
        </w:rPr>
        <w:t xml:space="preserve">, </w:t>
      </w:r>
      <w:r w:rsidRPr="00166976">
        <w:t>Section 316b</w:t>
      </w:r>
      <w:r>
        <w:t xml:space="preserve"> potentially could require cooling tower retrofits on some power plants in the region</w:t>
      </w:r>
      <w:r w:rsidR="00662103">
        <w:t xml:space="preserve">. </w:t>
      </w:r>
      <w:r>
        <w:t>The</w:t>
      </w:r>
      <w:r w:rsidRPr="00C70D89">
        <w:t xml:space="preserve"> revised requirements </w:t>
      </w:r>
      <w:r>
        <w:t xml:space="preserve">would </w:t>
      </w:r>
      <w:r w:rsidRPr="00C70D89">
        <w:t xml:space="preserve">result in fewer </w:t>
      </w:r>
      <w:r>
        <w:t>aquatic or</w:t>
      </w:r>
      <w:r w:rsidRPr="00166976">
        <w:t xml:space="preserve">ganisms </w:t>
      </w:r>
      <w:r>
        <w:t xml:space="preserve">being entrained or entrapped </w:t>
      </w:r>
      <w:r w:rsidRPr="00166976">
        <w:t xml:space="preserve">in the cooling systems. However, EPA </w:t>
      </w:r>
      <w:r w:rsidR="0071070F">
        <w:t xml:space="preserve">must </w:t>
      </w:r>
      <w:r w:rsidRPr="00180A3B">
        <w:t>decide how it will apply a benefit/cost analysis in determining the best available technology (BAT) to make these reductions at power plants. Until this is determined, future requirements will be uncertain when water permits are renewed.</w:t>
      </w:r>
    </w:p>
    <w:p w:rsidR="00B462A6" w:rsidRDefault="00987991">
      <w:pPr>
        <w:pStyle w:val="Heading3"/>
      </w:pPr>
      <w:bookmarkStart w:id="594" w:name="_Toc271632284"/>
      <w:r w:rsidRPr="00987991">
        <w:t>Studies of Potential Generator Retirements</w:t>
      </w:r>
      <w:bookmarkEnd w:id="594"/>
    </w:p>
    <w:p w:rsidR="00723F79" w:rsidRDefault="00987991" w:rsidP="00073277">
      <w:r w:rsidRPr="00987991">
        <w:t>A report sponsored by the Clean Air Policy Initiative of the Clean Energy Group, a coalition of private electric generating companies, analyzed the impacts of EPA’s proposed air and water regulations on electric system reliability nationwide</w:t>
      </w:r>
      <w:r w:rsidRPr="00723F79">
        <w:t>.</w:t>
      </w:r>
      <w:r w:rsidRPr="00723F79">
        <w:rPr>
          <w:rStyle w:val="FootnoteReference"/>
          <w:sz w:val="22"/>
        </w:rPr>
        <w:footnoteReference w:id="215"/>
      </w:r>
      <w:r w:rsidRPr="00987991">
        <w:t xml:space="preserve"> The report concluded that, while the initiatives would result in generator retirements, the excess amount of capacity</w:t>
      </w:r>
      <w:r w:rsidR="00E27C5C" w:rsidRPr="003542D8">
        <w:t xml:space="preserve"> generally is sufficient to maintain system reliability.</w:t>
      </w:r>
      <w:r w:rsidR="00E31139">
        <w:t xml:space="preserve"> </w:t>
      </w:r>
    </w:p>
    <w:p w:rsidR="004001CC" w:rsidRDefault="004001CC" w:rsidP="00073277">
      <w:r w:rsidRPr="00180A3B">
        <w:t xml:space="preserve">NERC </w:t>
      </w:r>
      <w:r w:rsidR="00E31139">
        <w:t xml:space="preserve">is </w:t>
      </w:r>
      <w:r w:rsidR="00AD6348">
        <w:t xml:space="preserve">conducting a study to </w:t>
      </w:r>
      <w:r w:rsidRPr="00180A3B">
        <w:t>evaluat</w:t>
      </w:r>
      <w:r w:rsidR="00AD6348">
        <w:t>e</w:t>
      </w:r>
      <w:r w:rsidRPr="00180A3B">
        <w:t xml:space="preserve"> the potential for retirements of fossil generators </w:t>
      </w:r>
      <w:r w:rsidR="003B2E47">
        <w:t xml:space="preserve">because of </w:t>
      </w:r>
      <w:r w:rsidR="00E8134E">
        <w:t xml:space="preserve">the </w:t>
      </w:r>
      <w:r w:rsidRPr="00180A3B">
        <w:t xml:space="preserve">estimated impacts </w:t>
      </w:r>
      <w:r w:rsidR="00987991" w:rsidRPr="00987991">
        <w:t xml:space="preserve">of </w:t>
      </w:r>
      <w:r w:rsidR="00987991" w:rsidRPr="00987991">
        <w:rPr>
          <w:rFonts w:eastAsia="Times New Roman" w:cs="Times New Roman"/>
          <w:iCs/>
        </w:rPr>
        <w:t>four</w:t>
      </w:r>
      <w:r w:rsidR="002E0C6C">
        <w:rPr>
          <w:rFonts w:eastAsia="Times New Roman" w:cs="Times New Roman"/>
          <w:iCs/>
        </w:rPr>
        <w:t xml:space="preserve"> </w:t>
      </w:r>
      <w:r w:rsidRPr="00180A3B">
        <w:t xml:space="preserve">environmental </w:t>
      </w:r>
      <w:r w:rsidR="002F03A1">
        <w:t>initiatives</w:t>
      </w:r>
      <w:r w:rsidR="00AD6348">
        <w:t xml:space="preserve"> in particular</w:t>
      </w:r>
      <w:r w:rsidR="003D5B05">
        <w:rPr>
          <w:rFonts w:cs="Times New Roman"/>
        </w:rPr>
        <w:t>—</w:t>
      </w:r>
      <w:r w:rsidR="003D5B05">
        <w:t xml:space="preserve">the </w:t>
      </w:r>
      <w:r w:rsidR="003D5B05" w:rsidRPr="00723F79">
        <w:rPr>
          <w:i/>
        </w:rPr>
        <w:t>Transport Rule</w:t>
      </w:r>
      <w:r w:rsidR="003D5B05" w:rsidRPr="00E8134E">
        <w:t xml:space="preserve">; NESHAPs, </w:t>
      </w:r>
      <w:r w:rsidR="003D5B05">
        <w:t xml:space="preserve">including </w:t>
      </w:r>
      <w:r w:rsidR="003D5B05" w:rsidRPr="00180A3B">
        <w:t>mercury</w:t>
      </w:r>
      <w:r w:rsidR="003D5B05">
        <w:t xml:space="preserve">; EPA’s proposed rule that would </w:t>
      </w:r>
      <w:r w:rsidR="003D5B05" w:rsidRPr="00E8134E">
        <w:t xml:space="preserve">regulate coal combustion byproducts; </w:t>
      </w:r>
      <w:r w:rsidRPr="001A24FE">
        <w:t>and</w:t>
      </w:r>
      <w:r w:rsidRPr="00180A3B">
        <w:t xml:space="preserve"> </w:t>
      </w:r>
      <w:r w:rsidR="001A24FE">
        <w:t xml:space="preserve">the </w:t>
      </w:r>
      <w:r w:rsidRPr="00180A3B">
        <w:rPr>
          <w:i/>
        </w:rPr>
        <w:t xml:space="preserve">Clean </w:t>
      </w:r>
      <w:r w:rsidR="00987991" w:rsidRPr="00987991">
        <w:rPr>
          <w:i/>
        </w:rPr>
        <w:t>Water Act,</w:t>
      </w:r>
      <w:r w:rsidR="00987991" w:rsidRPr="00987991">
        <w:t xml:space="preserve"> Section 316b. The study is assessing the potential for individual unit retirements, comparing the total estimated costs for compliance with these potential requirements with the units’ estimated wholesale energy revenues in their region. The study also is assessing the potential impact of the retirements (i.e., the initiatives) on system reliability and potential mitigation strategies for units that appear to be uneconomic and possible candidates for retirement. This report is scheduled to be published by the end of 2010</w:t>
      </w:r>
      <w:r w:rsidR="00E84B2C">
        <w:t xml:space="preserve">. </w:t>
      </w:r>
    </w:p>
    <w:p w:rsidR="00B462A6" w:rsidRDefault="004001CC">
      <w:pPr>
        <w:pStyle w:val="Heading3"/>
      </w:pPr>
      <w:bookmarkStart w:id="595" w:name="_Toc271632285"/>
      <w:r>
        <w:t>FCM Classification for Generation Retrofits</w:t>
      </w:r>
      <w:r w:rsidRPr="00087813">
        <w:t xml:space="preserve"> </w:t>
      </w:r>
      <w:r w:rsidR="00E26E7D">
        <w:t>Resulting from</w:t>
      </w:r>
      <w:r>
        <w:t xml:space="preserve"> Environmental Regulations</w:t>
      </w:r>
      <w:bookmarkEnd w:id="595"/>
      <w:r>
        <w:t xml:space="preserve"> </w:t>
      </w:r>
    </w:p>
    <w:p w:rsidR="004001CC" w:rsidRPr="00C323B0" w:rsidRDefault="004001CC" w:rsidP="00073277">
      <w:r>
        <w:t>The FCM rules allow a resource to be treated as a “new</w:t>
      </w:r>
      <w:r w:rsidR="00C020B4">
        <w:t>”</w:t>
      </w:r>
      <w:r>
        <w:t xml:space="preserve"> </w:t>
      </w:r>
      <w:r w:rsidRPr="00087813">
        <w:t xml:space="preserve">resource </w:t>
      </w:r>
      <w:r>
        <w:t xml:space="preserve">when its investment for </w:t>
      </w:r>
      <w:r w:rsidRPr="00087813">
        <w:t>compl</w:t>
      </w:r>
      <w:r>
        <w:t xml:space="preserve">ying </w:t>
      </w:r>
      <w:r w:rsidRPr="00087813">
        <w:t>with</w:t>
      </w:r>
      <w:r>
        <w:t xml:space="preserve"> </w:t>
      </w:r>
      <w:r w:rsidRPr="00087813">
        <w:t xml:space="preserve">environmental regulations or permits </w:t>
      </w:r>
      <w:r>
        <w:t xml:space="preserve">is </w:t>
      </w:r>
      <w:r w:rsidRPr="00087813">
        <w:t>equal to or greater than $100</w:t>
      </w:r>
      <w:r>
        <w:t>/</w:t>
      </w:r>
      <w:r w:rsidRPr="00087813">
        <w:t>k</w:t>
      </w:r>
      <w:r>
        <w:t xml:space="preserve">W </w:t>
      </w:r>
      <w:r w:rsidRPr="00087813">
        <w:t>of</w:t>
      </w:r>
      <w:r>
        <w:t xml:space="preserve"> its </w:t>
      </w:r>
      <w:r w:rsidRPr="00087813">
        <w:t>summer</w:t>
      </w:r>
      <w:r>
        <w:t xml:space="preserve"> q</w:t>
      </w:r>
      <w:r w:rsidRPr="00087813">
        <w:t>ualified</w:t>
      </w:r>
      <w:r>
        <w:t xml:space="preserve"> c</w:t>
      </w:r>
      <w:r w:rsidRPr="00087813">
        <w:t>apacity</w:t>
      </w:r>
      <w:r>
        <w:t>. This is applicable w</w:t>
      </w:r>
      <w:r w:rsidRPr="00087813">
        <w:t>he</w:t>
      </w:r>
      <w:r>
        <w:t>n</w:t>
      </w:r>
      <w:r w:rsidRPr="00087813">
        <w:t xml:space="preserve"> </w:t>
      </w:r>
      <w:r>
        <w:t xml:space="preserve">the </w:t>
      </w:r>
      <w:r w:rsidRPr="00087813">
        <w:t xml:space="preserve">investment </w:t>
      </w:r>
      <w:r>
        <w:t xml:space="preserve">was or is made between </w:t>
      </w:r>
      <w:r w:rsidRPr="00087813">
        <w:t>January 1, 2007</w:t>
      </w:r>
      <w:r>
        <w:t>,</w:t>
      </w:r>
      <w:r w:rsidRPr="00087813">
        <w:t xml:space="preserve"> and the conclusion of the first </w:t>
      </w:r>
      <w:r>
        <w:t>c</w:t>
      </w:r>
      <w:r w:rsidRPr="00087813">
        <w:t>apacity</w:t>
      </w:r>
      <w:r>
        <w:t xml:space="preserve"> c</w:t>
      </w:r>
      <w:r w:rsidRPr="00087813">
        <w:t xml:space="preserve">ommitment </w:t>
      </w:r>
      <w:r>
        <w:t>p</w:t>
      </w:r>
      <w:r w:rsidRPr="00087813">
        <w:t>eriod associated with the</w:t>
      </w:r>
      <w:r>
        <w:t xml:space="preserve"> resource’s c</w:t>
      </w:r>
      <w:r w:rsidRPr="00087813">
        <w:t xml:space="preserve">apacity </w:t>
      </w:r>
      <w:r>
        <w:t>s</w:t>
      </w:r>
      <w:r w:rsidRPr="00087813">
        <w:t xml:space="preserve">upply </w:t>
      </w:r>
      <w:r>
        <w:t>o</w:t>
      </w:r>
      <w:r w:rsidRPr="00087813">
        <w:t>bligation</w:t>
      </w:r>
      <w:r>
        <w:t>. A</w:t>
      </w:r>
      <w:r w:rsidRPr="00087813">
        <w:t>fter the investment, the owner of</w:t>
      </w:r>
      <w:r>
        <w:t xml:space="preserve"> </w:t>
      </w:r>
      <w:r w:rsidRPr="00087813">
        <w:t>the resource may elect the whole</w:t>
      </w:r>
      <w:r>
        <w:t xml:space="preserve"> </w:t>
      </w:r>
      <w:r w:rsidRPr="00087813">
        <w:t xml:space="preserve">resource </w:t>
      </w:r>
      <w:r>
        <w:t xml:space="preserve">for </w:t>
      </w:r>
      <w:r w:rsidRPr="00087813">
        <w:t>participat</w:t>
      </w:r>
      <w:r>
        <w:t xml:space="preserve">ion </w:t>
      </w:r>
      <w:r w:rsidRPr="00087813">
        <w:t>in the Forward Capacity</w:t>
      </w:r>
      <w:r>
        <w:t xml:space="preserve"> </w:t>
      </w:r>
      <w:r w:rsidRPr="00087813">
        <w:t xml:space="preserve">Auction as a </w:t>
      </w:r>
      <w:r>
        <w:t>n</w:t>
      </w:r>
      <w:r w:rsidRPr="00087813">
        <w:t xml:space="preserve">ew </w:t>
      </w:r>
      <w:r>
        <w:t>g</w:t>
      </w:r>
      <w:r w:rsidRPr="00087813">
        <w:t xml:space="preserve">enerating </w:t>
      </w:r>
      <w:r>
        <w:t>c</w:t>
      </w:r>
      <w:r w:rsidRPr="00087813">
        <w:t>apacity</w:t>
      </w:r>
      <w:r>
        <w:t xml:space="preserve"> r</w:t>
      </w:r>
      <w:r w:rsidRPr="00087813">
        <w:t>esource. The $100</w:t>
      </w:r>
      <w:r w:rsidR="00362835">
        <w:t>/kW</w:t>
      </w:r>
      <w:r w:rsidRPr="00087813">
        <w:t xml:space="preserve"> threshold (in base year</w:t>
      </w:r>
      <w:r>
        <w:t xml:space="preserve"> </w:t>
      </w:r>
      <w:r w:rsidRPr="00087813">
        <w:t xml:space="preserve">2008 dollars) </w:t>
      </w:r>
      <w:r>
        <w:t xml:space="preserve">will </w:t>
      </w:r>
      <w:r w:rsidRPr="00087813">
        <w:t>be adjusted annually in</w:t>
      </w:r>
      <w:r>
        <w:t xml:space="preserve"> </w:t>
      </w:r>
      <w:r w:rsidRPr="00087813">
        <w:t xml:space="preserve">accordance with the most recent Handy-Whitman </w:t>
      </w:r>
      <w:r w:rsidR="00987991" w:rsidRPr="00987991">
        <w:rPr>
          <w:i/>
        </w:rPr>
        <w:t>Index of Public Utility Construction Costs</w:t>
      </w:r>
      <w:r w:rsidRPr="00087813">
        <w:t>.</w:t>
      </w:r>
      <w:r w:rsidRPr="00723F79">
        <w:rPr>
          <w:rStyle w:val="FootnoteReference"/>
          <w:sz w:val="22"/>
        </w:rPr>
        <w:footnoteReference w:id="216"/>
      </w:r>
    </w:p>
    <w:p w:rsidR="001B3090" w:rsidRDefault="004001CC">
      <w:pPr>
        <w:pStyle w:val="Heading2"/>
      </w:pPr>
      <w:bookmarkStart w:id="596" w:name="_Toc271632286"/>
      <w:r w:rsidRPr="006A7038">
        <w:t>New England Power Plant Emissions</w:t>
      </w:r>
      <w:bookmarkEnd w:id="596"/>
    </w:p>
    <w:p w:rsidR="004001CC" w:rsidRDefault="00F32036" w:rsidP="00073277">
      <w:r w:rsidRPr="006A7038">
        <w:t>Since 1993, t</w:t>
      </w:r>
      <w:r w:rsidR="004001CC" w:rsidRPr="006A7038">
        <w:t xml:space="preserve">he ISO has produced </w:t>
      </w:r>
      <w:r w:rsidRPr="006A7038">
        <w:t xml:space="preserve">an </w:t>
      </w:r>
      <w:r w:rsidR="004001CC" w:rsidRPr="006A7038">
        <w:t>annual</w:t>
      </w:r>
      <w:r w:rsidRPr="006A7038">
        <w:t xml:space="preserve"> </w:t>
      </w:r>
      <w:r w:rsidR="004001CC" w:rsidRPr="00631AF0">
        <w:t>Marginal Emission Analysis (MEA) Report</w:t>
      </w:r>
      <w:r w:rsidR="004001CC" w:rsidRPr="006A7038">
        <w:t xml:space="preserve">. In response to the suggestion of several stakeholders, the ISO expanded the 2008 MEA Report and renamed it the </w:t>
      </w:r>
      <w:r w:rsidR="004001CC" w:rsidRPr="006A7038">
        <w:rPr>
          <w:i/>
        </w:rPr>
        <w:t xml:space="preserve">New England 2008 Electric Generation Emissions </w:t>
      </w:r>
      <w:r w:rsidR="00987991" w:rsidRPr="00987991">
        <w:rPr>
          <w:i/>
        </w:rPr>
        <w:t>Report</w:t>
      </w:r>
      <w:r w:rsidR="00987991" w:rsidRPr="00987991">
        <w:t>.</w:t>
      </w:r>
      <w:r w:rsidR="00987991" w:rsidRPr="00723F79">
        <w:rPr>
          <w:rStyle w:val="FootnoteReference"/>
          <w:sz w:val="22"/>
        </w:rPr>
        <w:footnoteReference w:id="217"/>
      </w:r>
      <w:r w:rsidR="00987991" w:rsidRPr="00723F79">
        <w:t xml:space="preserve"> </w:t>
      </w:r>
      <w:r w:rsidR="00987991" w:rsidRPr="00987991">
        <w:t xml:space="preserve">In addition to including the results of the 2008 marginal emissions analysis, the revised report summarizes </w:t>
      </w:r>
      <w:r w:rsidR="004001CC" w:rsidRPr="006A7038">
        <w:t>a peak-day NO</w:t>
      </w:r>
      <w:r w:rsidR="004001CC" w:rsidRPr="006A7038">
        <w:rPr>
          <w:vertAlign w:val="subscript"/>
        </w:rPr>
        <w:t>X</w:t>
      </w:r>
      <w:r w:rsidR="004001CC" w:rsidRPr="006A7038">
        <w:t xml:space="preserve"> emissions analysis the ISO performed at the request of state environmental regulators. The results of the emissions analys</w:t>
      </w:r>
      <w:r w:rsidR="00821C68" w:rsidRPr="006A7038">
        <w:t>e</w:t>
      </w:r>
      <w:r w:rsidR="004001CC" w:rsidRPr="006A7038">
        <w:t>s are summarized below.</w:t>
      </w:r>
    </w:p>
    <w:p w:rsidR="004001CC" w:rsidRPr="00166976" w:rsidRDefault="004001CC" w:rsidP="00073277">
      <w:r w:rsidRPr="00166976">
        <w:t xml:space="preserve">The total generation system emissions are shown in </w:t>
      </w:r>
      <w:r w:rsidR="00832C7A">
        <w:fldChar w:fldCharType="begin"/>
      </w:r>
      <w:r w:rsidR="00C71561">
        <w:instrText xml:space="preserve"> REF _Ref262122536 \h </w:instrText>
      </w:r>
      <w:r w:rsidR="00832C7A">
        <w:fldChar w:fldCharType="separate"/>
      </w:r>
      <w:r w:rsidR="00E5699E">
        <w:t xml:space="preserve">Table </w:t>
      </w:r>
      <w:r w:rsidR="00E5699E">
        <w:rPr>
          <w:noProof/>
        </w:rPr>
        <w:t>8</w:t>
      </w:r>
      <w:r w:rsidR="00E5699E">
        <w:noBreakHyphen/>
      </w:r>
      <w:r w:rsidR="00E5699E">
        <w:rPr>
          <w:noProof/>
        </w:rPr>
        <w:t>1</w:t>
      </w:r>
      <w:r w:rsidR="00832C7A">
        <w:fldChar w:fldCharType="end"/>
      </w:r>
      <w:r w:rsidRPr="00166976">
        <w:t xml:space="preserve"> for the New England generators administered by the ISO for 2001 to 2008. </w:t>
      </w:r>
      <w:r w:rsidR="003B2E47">
        <w:t>The table</w:t>
      </w:r>
      <w:r w:rsidRPr="00166976">
        <w:t xml:space="preserve"> shows </w:t>
      </w:r>
      <w:r>
        <w:t xml:space="preserve">that </w:t>
      </w:r>
      <w:r w:rsidRPr="00166976">
        <w:t>total NO</w:t>
      </w:r>
      <w:r w:rsidRPr="00166976">
        <w:rPr>
          <w:vertAlign w:val="subscript"/>
        </w:rPr>
        <w:t>X</w:t>
      </w:r>
      <w:r w:rsidRPr="00166976">
        <w:t>, SO</w:t>
      </w:r>
      <w:r w:rsidRPr="00166976">
        <w:rPr>
          <w:vertAlign w:val="subscript"/>
        </w:rPr>
        <w:t>2</w:t>
      </w:r>
      <w:r w:rsidRPr="00166976">
        <w:t>, and CO</w:t>
      </w:r>
      <w:r w:rsidRPr="00166976">
        <w:rPr>
          <w:vertAlign w:val="subscript"/>
        </w:rPr>
        <w:t>2</w:t>
      </w:r>
      <w:r w:rsidRPr="00166976">
        <w:t xml:space="preserve"> emissions </w:t>
      </w:r>
      <w:r>
        <w:t xml:space="preserve">in 2008 </w:t>
      </w:r>
      <w:r w:rsidRPr="00166976">
        <w:t>were 32.6</w:t>
      </w:r>
      <w:r w:rsidR="001453EF" w:rsidRPr="001453EF">
        <w:t xml:space="preserve"> </w:t>
      </w:r>
      <w:r w:rsidR="001453EF" w:rsidRPr="00166976">
        <w:t>ktons</w:t>
      </w:r>
      <w:r w:rsidRPr="00166976">
        <w:t xml:space="preserve">, 94.2 </w:t>
      </w:r>
      <w:r w:rsidR="001453EF" w:rsidRPr="00166976">
        <w:t>ktons</w:t>
      </w:r>
      <w:r w:rsidR="001453EF">
        <w:t>,</w:t>
      </w:r>
      <w:r w:rsidR="001453EF" w:rsidRPr="00166976">
        <w:t xml:space="preserve"> </w:t>
      </w:r>
      <w:r w:rsidRPr="00166976">
        <w:t>and 55,427 ktons, respectively.</w:t>
      </w:r>
    </w:p>
    <w:p w:rsidR="004001CC" w:rsidRDefault="00C71561" w:rsidP="00BD4AB3">
      <w:pPr>
        <w:pStyle w:val="Caption"/>
      </w:pPr>
      <w:bookmarkStart w:id="597" w:name="_Ref262122536"/>
      <w:bookmarkStart w:id="598" w:name="_Toc271552421"/>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597"/>
      <w:r w:rsidR="004001CC">
        <w:br/>
      </w:r>
      <w:r w:rsidR="004001CC" w:rsidRPr="00166976">
        <w:t xml:space="preserve"> </w:t>
      </w:r>
      <w:r w:rsidR="004001CC">
        <w:t xml:space="preserve">Total </w:t>
      </w:r>
      <w:r w:rsidR="004001CC" w:rsidRPr="00166976">
        <w:t>New England Generator Emissions</w:t>
      </w:r>
      <w:r w:rsidR="00A047CC">
        <w:t xml:space="preserve"> (</w:t>
      </w:r>
      <w:r w:rsidR="004001CC" w:rsidRPr="00166976">
        <w:t>1</w:t>
      </w:r>
      <w:r w:rsidR="00A047CC">
        <w:t>,</w:t>
      </w:r>
      <w:r w:rsidR="004001CC" w:rsidRPr="00166976">
        <w:t xml:space="preserve">000 </w:t>
      </w:r>
      <w:r w:rsidR="004001CC">
        <w:t>t</w:t>
      </w:r>
      <w:r w:rsidR="004001CC" w:rsidRPr="00166976">
        <w:t>ons</w:t>
      </w:r>
      <w:r w:rsidR="00A047CC">
        <w:t>)</w:t>
      </w:r>
      <w:bookmarkEnd w:id="598"/>
    </w:p>
    <w:tbl>
      <w:tblPr>
        <w:tblW w:w="3835" w:type="dxa"/>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960"/>
        <w:gridCol w:w="955"/>
        <w:gridCol w:w="960"/>
        <w:gridCol w:w="960"/>
      </w:tblGrid>
      <w:tr w:rsidR="004001CC" w:rsidRPr="00BD4AB3" w:rsidTr="00474B15">
        <w:trPr>
          <w:trHeight w:val="312"/>
          <w:jc w:val="center"/>
        </w:trPr>
        <w:tc>
          <w:tcPr>
            <w:tcW w:w="960" w:type="dxa"/>
            <w:shd w:val="clear" w:color="auto" w:fill="FBCE76" w:themeFill="background2" w:themeFillTint="99"/>
            <w:noWrap/>
            <w:vAlign w:val="center"/>
            <w:hideMark/>
          </w:tcPr>
          <w:p w:rsidR="004001CC" w:rsidRPr="00BD4AB3" w:rsidRDefault="004001CC" w:rsidP="00BD4AB3">
            <w:pPr>
              <w:keepNext/>
              <w:keepLines/>
              <w:spacing w:after="0"/>
              <w:jc w:val="center"/>
              <w:rPr>
                <w:rFonts w:ascii="Arial" w:hAnsi="Arial" w:cs="Arial"/>
                <w:b/>
                <w:sz w:val="18"/>
                <w:szCs w:val="18"/>
              </w:rPr>
            </w:pPr>
            <w:r w:rsidRPr="00BD4AB3">
              <w:rPr>
                <w:rFonts w:ascii="Arial" w:hAnsi="Arial" w:cs="Arial"/>
                <w:b/>
                <w:sz w:val="18"/>
                <w:szCs w:val="18"/>
              </w:rPr>
              <w:t>Year</w:t>
            </w:r>
          </w:p>
        </w:tc>
        <w:tc>
          <w:tcPr>
            <w:tcW w:w="955" w:type="dxa"/>
            <w:shd w:val="clear" w:color="auto" w:fill="FBCE76" w:themeFill="background2" w:themeFillTint="99"/>
            <w:noWrap/>
            <w:vAlign w:val="center"/>
            <w:hideMark/>
          </w:tcPr>
          <w:p w:rsidR="004001CC" w:rsidRPr="00BD4AB3" w:rsidRDefault="004001CC" w:rsidP="00BD4AB3">
            <w:pPr>
              <w:keepNext/>
              <w:keepLines/>
              <w:spacing w:after="0"/>
              <w:jc w:val="center"/>
              <w:rPr>
                <w:rFonts w:ascii="Arial" w:hAnsi="Arial" w:cs="Arial"/>
                <w:b/>
                <w:sz w:val="18"/>
                <w:szCs w:val="18"/>
              </w:rPr>
            </w:pPr>
            <w:r w:rsidRPr="00BD4AB3">
              <w:rPr>
                <w:rFonts w:ascii="Arial" w:hAnsi="Arial" w:cs="Arial"/>
                <w:b/>
                <w:sz w:val="18"/>
                <w:szCs w:val="18"/>
              </w:rPr>
              <w:t>NO</w:t>
            </w:r>
            <w:r w:rsidRPr="00BD4AB3">
              <w:rPr>
                <w:rFonts w:ascii="Arial" w:hAnsi="Arial" w:cs="Arial"/>
                <w:b/>
                <w:sz w:val="18"/>
                <w:szCs w:val="18"/>
                <w:vertAlign w:val="subscript"/>
              </w:rPr>
              <w:t>X</w:t>
            </w:r>
          </w:p>
        </w:tc>
        <w:tc>
          <w:tcPr>
            <w:tcW w:w="960" w:type="dxa"/>
            <w:shd w:val="clear" w:color="auto" w:fill="FBCE76" w:themeFill="background2" w:themeFillTint="99"/>
            <w:noWrap/>
            <w:vAlign w:val="center"/>
            <w:hideMark/>
          </w:tcPr>
          <w:p w:rsidR="004001CC" w:rsidRPr="00BD4AB3" w:rsidRDefault="004001CC" w:rsidP="00BD4AB3">
            <w:pPr>
              <w:keepNext/>
              <w:keepLines/>
              <w:spacing w:after="0"/>
              <w:jc w:val="center"/>
              <w:rPr>
                <w:rFonts w:ascii="Arial" w:hAnsi="Arial" w:cs="Arial"/>
                <w:b/>
                <w:sz w:val="18"/>
                <w:szCs w:val="18"/>
              </w:rPr>
            </w:pPr>
            <w:r w:rsidRPr="00BD4AB3">
              <w:rPr>
                <w:rFonts w:ascii="Arial" w:hAnsi="Arial" w:cs="Arial"/>
                <w:b/>
                <w:sz w:val="18"/>
                <w:szCs w:val="18"/>
              </w:rPr>
              <w:t>SO</w:t>
            </w:r>
            <w:r w:rsidRPr="00BD4AB3">
              <w:rPr>
                <w:rFonts w:ascii="Arial" w:hAnsi="Arial" w:cs="Arial"/>
                <w:b/>
                <w:sz w:val="18"/>
                <w:szCs w:val="18"/>
                <w:vertAlign w:val="subscript"/>
              </w:rPr>
              <w:t>2</w:t>
            </w:r>
          </w:p>
        </w:tc>
        <w:tc>
          <w:tcPr>
            <w:tcW w:w="960" w:type="dxa"/>
            <w:shd w:val="clear" w:color="auto" w:fill="FBCE76" w:themeFill="background2" w:themeFillTint="99"/>
            <w:noWrap/>
            <w:vAlign w:val="center"/>
            <w:hideMark/>
          </w:tcPr>
          <w:p w:rsidR="004001CC" w:rsidRPr="00BD4AB3" w:rsidRDefault="004001CC" w:rsidP="00BD4AB3">
            <w:pPr>
              <w:keepNext/>
              <w:keepLines/>
              <w:spacing w:after="0"/>
              <w:jc w:val="center"/>
              <w:rPr>
                <w:rFonts w:ascii="Arial" w:hAnsi="Arial" w:cs="Arial"/>
                <w:b/>
                <w:sz w:val="18"/>
                <w:szCs w:val="18"/>
              </w:rPr>
            </w:pPr>
            <w:r w:rsidRPr="00BD4AB3">
              <w:rPr>
                <w:rFonts w:ascii="Arial" w:hAnsi="Arial" w:cs="Arial"/>
                <w:b/>
                <w:sz w:val="18"/>
                <w:szCs w:val="18"/>
              </w:rPr>
              <w:t>CO</w:t>
            </w:r>
            <w:r w:rsidRPr="00BD4AB3">
              <w:rPr>
                <w:rFonts w:ascii="Arial" w:hAnsi="Arial" w:cs="Arial"/>
                <w:b/>
                <w:sz w:val="18"/>
                <w:szCs w:val="18"/>
                <w:vertAlign w:val="subscript"/>
              </w:rPr>
              <w:t>2</w:t>
            </w:r>
          </w:p>
        </w:tc>
      </w:tr>
      <w:tr w:rsidR="004001CC" w:rsidRPr="00F227A0" w:rsidTr="00DE1235">
        <w:trPr>
          <w:trHeight w:val="288"/>
          <w:jc w:val="center"/>
        </w:trPr>
        <w:tc>
          <w:tcPr>
            <w:tcW w:w="960" w:type="dxa"/>
            <w:shd w:val="clear" w:color="auto" w:fill="auto"/>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2001</w:t>
            </w:r>
          </w:p>
        </w:tc>
        <w:tc>
          <w:tcPr>
            <w:tcW w:w="955"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59.73</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200.01</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52,991</w:t>
            </w:r>
          </w:p>
        </w:tc>
      </w:tr>
      <w:tr w:rsidR="004001CC" w:rsidRPr="00F227A0" w:rsidTr="00DE1235">
        <w:trPr>
          <w:trHeight w:val="288"/>
          <w:jc w:val="center"/>
        </w:trPr>
        <w:tc>
          <w:tcPr>
            <w:tcW w:w="960" w:type="dxa"/>
            <w:shd w:val="clear" w:color="auto" w:fill="FDEED1" w:themeFill="background2" w:themeFillTint="33"/>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2002</w:t>
            </w:r>
          </w:p>
        </w:tc>
        <w:tc>
          <w:tcPr>
            <w:tcW w:w="955"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56.40</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161.10</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54,497</w:t>
            </w:r>
          </w:p>
        </w:tc>
      </w:tr>
      <w:tr w:rsidR="004001CC" w:rsidRPr="00F227A0" w:rsidTr="00DE1235">
        <w:trPr>
          <w:trHeight w:val="288"/>
          <w:jc w:val="center"/>
        </w:trPr>
        <w:tc>
          <w:tcPr>
            <w:tcW w:w="960" w:type="dxa"/>
            <w:shd w:val="clear" w:color="auto" w:fill="auto"/>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2003</w:t>
            </w:r>
          </w:p>
        </w:tc>
        <w:tc>
          <w:tcPr>
            <w:tcW w:w="955"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54.23</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159.41</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56,278</w:t>
            </w:r>
          </w:p>
        </w:tc>
      </w:tr>
      <w:tr w:rsidR="004001CC" w:rsidRPr="00F227A0" w:rsidTr="00DE1235">
        <w:trPr>
          <w:trHeight w:val="288"/>
          <w:jc w:val="center"/>
        </w:trPr>
        <w:tc>
          <w:tcPr>
            <w:tcW w:w="960" w:type="dxa"/>
            <w:shd w:val="clear" w:color="auto" w:fill="FDEED1" w:themeFill="background2" w:themeFillTint="33"/>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2004</w:t>
            </w:r>
          </w:p>
        </w:tc>
        <w:tc>
          <w:tcPr>
            <w:tcW w:w="955"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50.64</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149.75</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56,723</w:t>
            </w:r>
          </w:p>
        </w:tc>
      </w:tr>
      <w:tr w:rsidR="004001CC" w:rsidRPr="00F227A0" w:rsidTr="00DE1235">
        <w:trPr>
          <w:trHeight w:val="288"/>
          <w:jc w:val="center"/>
        </w:trPr>
        <w:tc>
          <w:tcPr>
            <w:tcW w:w="960" w:type="dxa"/>
            <w:shd w:val="clear" w:color="auto" w:fill="auto"/>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2005</w:t>
            </w:r>
          </w:p>
        </w:tc>
        <w:tc>
          <w:tcPr>
            <w:tcW w:w="955"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58.01</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150.00</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60,580</w:t>
            </w:r>
          </w:p>
        </w:tc>
      </w:tr>
      <w:tr w:rsidR="004001CC" w:rsidRPr="00F227A0" w:rsidTr="00DE1235">
        <w:trPr>
          <w:trHeight w:val="288"/>
          <w:jc w:val="center"/>
        </w:trPr>
        <w:tc>
          <w:tcPr>
            <w:tcW w:w="960" w:type="dxa"/>
            <w:shd w:val="clear" w:color="auto" w:fill="FDEED1" w:themeFill="background2" w:themeFillTint="33"/>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2006</w:t>
            </w:r>
          </w:p>
        </w:tc>
        <w:tc>
          <w:tcPr>
            <w:tcW w:w="955"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42.86</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101.78</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51,649</w:t>
            </w:r>
          </w:p>
        </w:tc>
      </w:tr>
      <w:tr w:rsidR="004001CC" w:rsidRPr="00F227A0" w:rsidTr="00DE1235">
        <w:trPr>
          <w:trHeight w:val="288"/>
          <w:jc w:val="center"/>
        </w:trPr>
        <w:tc>
          <w:tcPr>
            <w:tcW w:w="960" w:type="dxa"/>
            <w:shd w:val="clear" w:color="auto" w:fill="auto"/>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2007</w:t>
            </w:r>
          </w:p>
        </w:tc>
        <w:tc>
          <w:tcPr>
            <w:tcW w:w="955"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35.01</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108.80</w:t>
            </w:r>
          </w:p>
        </w:tc>
        <w:tc>
          <w:tcPr>
            <w:tcW w:w="960" w:type="dxa"/>
            <w:shd w:val="clear" w:color="auto" w:fill="auto"/>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59,169</w:t>
            </w:r>
          </w:p>
        </w:tc>
      </w:tr>
      <w:tr w:rsidR="004001CC" w:rsidRPr="00F227A0" w:rsidTr="00DE1235">
        <w:trPr>
          <w:trHeight w:val="288"/>
          <w:jc w:val="center"/>
        </w:trPr>
        <w:tc>
          <w:tcPr>
            <w:tcW w:w="960" w:type="dxa"/>
            <w:shd w:val="clear" w:color="auto" w:fill="FDEED1" w:themeFill="background2" w:themeFillTint="33"/>
            <w:noWrap/>
            <w:vAlign w:val="center"/>
            <w:hideMark/>
          </w:tcPr>
          <w:p w:rsidR="004001CC" w:rsidRPr="00BD4AB3" w:rsidRDefault="004001CC" w:rsidP="00BD4AB3">
            <w:pPr>
              <w:keepNext/>
              <w:keepLines/>
              <w:spacing w:after="0"/>
              <w:rPr>
                <w:rFonts w:ascii="Arial" w:hAnsi="Arial" w:cs="Arial"/>
                <w:b/>
                <w:sz w:val="18"/>
                <w:szCs w:val="18"/>
              </w:rPr>
            </w:pPr>
            <w:r w:rsidRPr="00BD4AB3">
              <w:rPr>
                <w:rFonts w:ascii="Arial" w:hAnsi="Arial" w:cs="Arial"/>
                <w:b/>
                <w:sz w:val="18"/>
                <w:szCs w:val="18"/>
              </w:rPr>
              <w:t>2008</w:t>
            </w:r>
          </w:p>
        </w:tc>
        <w:tc>
          <w:tcPr>
            <w:tcW w:w="955"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32.57</w:t>
            </w:r>
          </w:p>
        </w:tc>
        <w:tc>
          <w:tcPr>
            <w:tcW w:w="960" w:type="dxa"/>
            <w:shd w:val="clear" w:color="auto" w:fill="FDEED1" w:themeFill="background2" w:themeFillTint="33"/>
            <w:noWrap/>
            <w:tcMar>
              <w:right w:w="144" w:type="dxa"/>
            </w:tcMar>
            <w:vAlign w:val="center"/>
            <w:hideMark/>
          </w:tcPr>
          <w:p w:rsidR="004001CC" w:rsidRPr="00F227A0" w:rsidRDefault="001453EF" w:rsidP="00474B15">
            <w:pPr>
              <w:keepNext/>
              <w:keepLines/>
              <w:spacing w:after="0"/>
              <w:jc w:val="right"/>
              <w:rPr>
                <w:rFonts w:ascii="Arial" w:hAnsi="Arial" w:cs="Arial"/>
                <w:sz w:val="18"/>
                <w:szCs w:val="18"/>
              </w:rPr>
            </w:pPr>
            <w:r>
              <w:rPr>
                <w:rFonts w:ascii="Arial" w:hAnsi="Arial" w:cs="Arial"/>
                <w:sz w:val="18"/>
                <w:szCs w:val="18"/>
              </w:rPr>
              <w:t xml:space="preserve"> </w:t>
            </w:r>
            <w:r w:rsidR="004001CC" w:rsidRPr="00F227A0">
              <w:rPr>
                <w:rFonts w:ascii="Arial" w:hAnsi="Arial" w:cs="Arial"/>
                <w:sz w:val="18"/>
                <w:szCs w:val="18"/>
              </w:rPr>
              <w:t>94.18</w:t>
            </w:r>
          </w:p>
        </w:tc>
        <w:tc>
          <w:tcPr>
            <w:tcW w:w="960" w:type="dxa"/>
            <w:shd w:val="clear" w:color="auto" w:fill="FDEED1" w:themeFill="background2" w:themeFillTint="33"/>
            <w:noWrap/>
            <w:tcMar>
              <w:right w:w="144" w:type="dxa"/>
            </w:tcMar>
            <w:vAlign w:val="center"/>
            <w:hideMark/>
          </w:tcPr>
          <w:p w:rsidR="004001CC" w:rsidRPr="00F227A0" w:rsidRDefault="004001CC" w:rsidP="00474B15">
            <w:pPr>
              <w:keepNext/>
              <w:keepLines/>
              <w:spacing w:after="0"/>
              <w:jc w:val="right"/>
              <w:rPr>
                <w:rFonts w:ascii="Arial" w:hAnsi="Arial" w:cs="Arial"/>
                <w:sz w:val="18"/>
                <w:szCs w:val="18"/>
              </w:rPr>
            </w:pPr>
            <w:r w:rsidRPr="00F227A0">
              <w:rPr>
                <w:rFonts w:ascii="Arial" w:hAnsi="Arial" w:cs="Arial"/>
                <w:sz w:val="18"/>
                <w:szCs w:val="18"/>
              </w:rPr>
              <w:t>55,427</w:t>
            </w:r>
          </w:p>
        </w:tc>
      </w:tr>
    </w:tbl>
    <w:p w:rsidR="004001CC" w:rsidRPr="00166976" w:rsidRDefault="004001CC" w:rsidP="00073277"/>
    <w:p w:rsidR="004001CC" w:rsidRPr="00166976" w:rsidRDefault="00832C7A" w:rsidP="00073277">
      <w:r>
        <w:fldChar w:fldCharType="begin"/>
      </w:r>
      <w:r w:rsidR="00367A16">
        <w:instrText xml:space="preserve"> REF _Ref262122670 \h </w:instrText>
      </w:r>
      <w:r>
        <w:fldChar w:fldCharType="separate"/>
      </w:r>
      <w:r w:rsidR="00E5699E">
        <w:t xml:space="preserve">Table </w:t>
      </w:r>
      <w:r w:rsidR="00E5699E">
        <w:rPr>
          <w:noProof/>
        </w:rPr>
        <w:t>8</w:t>
      </w:r>
      <w:r w:rsidR="00E5699E">
        <w:noBreakHyphen/>
      </w:r>
      <w:r w:rsidR="00E5699E">
        <w:rPr>
          <w:noProof/>
        </w:rPr>
        <w:t>2</w:t>
      </w:r>
      <w:r>
        <w:fldChar w:fldCharType="end"/>
      </w:r>
      <w:r w:rsidR="004001CC" w:rsidRPr="00166976">
        <w:t xml:space="preserve"> shows the annual New England generation emission rates in lbs/MWh. </w:t>
      </w:r>
      <w:r w:rsidR="004001CC">
        <w:t>Compared with</w:t>
      </w:r>
      <w:r w:rsidR="004001CC" w:rsidRPr="00166976">
        <w:t xml:space="preserve"> 1999</w:t>
      </w:r>
      <w:r w:rsidR="004001CC">
        <w:t>,</w:t>
      </w:r>
      <w:r w:rsidR="004001CC" w:rsidRPr="00166976">
        <w:t xml:space="preserve"> the </w:t>
      </w:r>
      <w:r w:rsidR="004001CC">
        <w:t xml:space="preserve">2008 </w:t>
      </w:r>
      <w:r w:rsidR="004001CC" w:rsidRPr="00166976">
        <w:t>SO</w:t>
      </w:r>
      <w:r w:rsidR="004001CC" w:rsidRPr="00166976">
        <w:rPr>
          <w:vertAlign w:val="subscript"/>
        </w:rPr>
        <w:t>2</w:t>
      </w:r>
      <w:r w:rsidR="004001CC" w:rsidRPr="00166976">
        <w:t xml:space="preserve"> </w:t>
      </w:r>
      <w:r w:rsidR="004001CC">
        <w:t xml:space="preserve">emission rate </w:t>
      </w:r>
      <w:r w:rsidR="004001CC" w:rsidRPr="00166976">
        <w:t>has declined by 67%, the NO</w:t>
      </w:r>
      <w:r w:rsidR="004001CC" w:rsidRPr="00166976">
        <w:rPr>
          <w:vertAlign w:val="subscript"/>
        </w:rPr>
        <w:t>X</w:t>
      </w:r>
      <w:r w:rsidR="004001CC" w:rsidRPr="00166976">
        <w:t xml:space="preserve"> rate by 62%</w:t>
      </w:r>
      <w:r w:rsidR="004001CC">
        <w:t>,</w:t>
      </w:r>
      <w:r w:rsidR="004001CC" w:rsidRPr="00166976">
        <w:t xml:space="preserve"> and the CO</w:t>
      </w:r>
      <w:r w:rsidR="004001CC" w:rsidRPr="00166976">
        <w:rPr>
          <w:vertAlign w:val="subscript"/>
        </w:rPr>
        <w:t>2</w:t>
      </w:r>
      <w:r w:rsidR="004001CC" w:rsidRPr="00166976">
        <w:t xml:space="preserve"> rate by 12%</w:t>
      </w:r>
      <w:r w:rsidR="004001CC">
        <w:t xml:space="preserve">. </w:t>
      </w:r>
      <w:r w:rsidR="004001CC" w:rsidRPr="00166976">
        <w:t>This is the result of using cleaner fuels</w:t>
      </w:r>
      <w:r w:rsidR="004001CC">
        <w:t>, particularly natural gas,</w:t>
      </w:r>
      <w:r w:rsidR="004001CC" w:rsidRPr="00166976">
        <w:t xml:space="preserve"> and adding emission</w:t>
      </w:r>
      <w:r w:rsidR="008C2821">
        <w:t>s</w:t>
      </w:r>
      <w:r w:rsidR="004001CC" w:rsidRPr="00166976">
        <w:t xml:space="preserve"> controls to generating plants over these </w:t>
      </w:r>
      <w:r w:rsidR="004001CC">
        <w:t>10</w:t>
      </w:r>
      <w:r w:rsidR="004001CC" w:rsidRPr="00166976">
        <w:t xml:space="preserve"> years.</w:t>
      </w:r>
    </w:p>
    <w:p w:rsidR="004001CC" w:rsidRDefault="00C71561" w:rsidP="00BE1496">
      <w:pPr>
        <w:pStyle w:val="Caption"/>
      </w:pPr>
      <w:bookmarkStart w:id="599" w:name="_Ref262122670"/>
      <w:bookmarkStart w:id="600" w:name="_Toc271552422"/>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599"/>
      <w:r w:rsidR="004001CC">
        <w:br/>
      </w:r>
      <w:r w:rsidR="004001CC" w:rsidRPr="00166976">
        <w:t>New England Generator Average Emissions Rates</w:t>
      </w:r>
      <w:r w:rsidR="004001CC">
        <w:t>,</w:t>
      </w:r>
      <w:r w:rsidR="004001CC" w:rsidRPr="00166976">
        <w:t xml:space="preserve"> 1999 </w:t>
      </w:r>
      <w:r w:rsidR="004001CC">
        <w:t>to</w:t>
      </w:r>
      <w:r w:rsidR="004001CC" w:rsidRPr="00166976">
        <w:t xml:space="preserve"> </w:t>
      </w:r>
      <w:r w:rsidR="004001CC" w:rsidRPr="00A047CC">
        <w:t>2008</w:t>
      </w:r>
      <w:r w:rsidR="008C2821" w:rsidRPr="00A047CC">
        <w:t xml:space="preserve"> </w:t>
      </w:r>
      <w:r w:rsidR="003174D8" w:rsidRPr="00A047CC">
        <w:t>(lbs/MWh)</w:t>
      </w:r>
      <w:bookmarkEnd w:id="600"/>
    </w:p>
    <w:tbl>
      <w:tblPr>
        <w:tblW w:w="5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960"/>
        <w:gridCol w:w="1181"/>
        <w:gridCol w:w="960"/>
        <w:gridCol w:w="960"/>
        <w:gridCol w:w="960"/>
      </w:tblGrid>
      <w:tr w:rsidR="004001CC" w:rsidRPr="00497CEF" w:rsidTr="00497CEF">
        <w:trPr>
          <w:cantSplit/>
          <w:trHeight w:val="312"/>
          <w:jc w:val="center"/>
        </w:trPr>
        <w:tc>
          <w:tcPr>
            <w:tcW w:w="960" w:type="dxa"/>
            <w:shd w:val="clear" w:color="auto" w:fill="FBCE76" w:themeFill="background2" w:themeFillTint="99"/>
            <w:noWrap/>
            <w:tcMar>
              <w:top w:w="43" w:type="dxa"/>
              <w:left w:w="115" w:type="dxa"/>
              <w:bottom w:w="43" w:type="dxa"/>
              <w:right w:w="115" w:type="dxa"/>
            </w:tcMar>
            <w:vAlign w:val="center"/>
            <w:hideMark/>
          </w:tcPr>
          <w:p w:rsidR="004001CC" w:rsidRPr="00497CEF" w:rsidRDefault="004001CC" w:rsidP="006816CF">
            <w:pPr>
              <w:keepNext/>
              <w:keepLines/>
              <w:spacing w:after="0"/>
              <w:jc w:val="center"/>
              <w:rPr>
                <w:rFonts w:ascii="Arial" w:hAnsi="Arial" w:cs="Arial"/>
                <w:b/>
                <w:sz w:val="18"/>
                <w:szCs w:val="18"/>
              </w:rPr>
            </w:pPr>
            <w:r w:rsidRPr="00497CEF">
              <w:rPr>
                <w:rFonts w:ascii="Arial" w:hAnsi="Arial" w:cs="Arial"/>
                <w:b/>
                <w:sz w:val="18"/>
                <w:szCs w:val="18"/>
              </w:rPr>
              <w:t>Year</w:t>
            </w:r>
          </w:p>
        </w:tc>
        <w:tc>
          <w:tcPr>
            <w:tcW w:w="1180" w:type="dxa"/>
            <w:shd w:val="clear" w:color="auto" w:fill="FBCE76" w:themeFill="background2" w:themeFillTint="99"/>
            <w:tcMar>
              <w:top w:w="43" w:type="dxa"/>
              <w:left w:w="115" w:type="dxa"/>
              <w:bottom w:w="43" w:type="dxa"/>
              <w:right w:w="115" w:type="dxa"/>
            </w:tcMar>
            <w:vAlign w:val="center"/>
            <w:hideMark/>
          </w:tcPr>
          <w:p w:rsidR="004001CC" w:rsidRPr="00497CEF" w:rsidRDefault="004001CC" w:rsidP="006816CF">
            <w:pPr>
              <w:keepNext/>
              <w:keepLines/>
              <w:spacing w:after="0"/>
              <w:jc w:val="center"/>
              <w:rPr>
                <w:rFonts w:ascii="Arial" w:hAnsi="Arial" w:cs="Arial"/>
                <w:b/>
                <w:sz w:val="18"/>
                <w:szCs w:val="18"/>
              </w:rPr>
            </w:pPr>
            <w:r w:rsidRPr="00497CEF">
              <w:rPr>
                <w:rFonts w:ascii="Arial" w:hAnsi="Arial" w:cs="Arial"/>
                <w:b/>
                <w:sz w:val="18"/>
                <w:szCs w:val="18"/>
              </w:rPr>
              <w:t>Total Generation (GWh)</w:t>
            </w:r>
          </w:p>
        </w:tc>
        <w:tc>
          <w:tcPr>
            <w:tcW w:w="960" w:type="dxa"/>
            <w:shd w:val="clear" w:color="auto" w:fill="FBCE76" w:themeFill="background2" w:themeFillTint="99"/>
            <w:noWrap/>
            <w:tcMar>
              <w:top w:w="43" w:type="dxa"/>
              <w:left w:w="115" w:type="dxa"/>
              <w:bottom w:w="43" w:type="dxa"/>
              <w:right w:w="115" w:type="dxa"/>
            </w:tcMar>
            <w:vAlign w:val="center"/>
            <w:hideMark/>
          </w:tcPr>
          <w:p w:rsidR="004001CC" w:rsidRPr="00497CEF" w:rsidRDefault="004001CC" w:rsidP="006816CF">
            <w:pPr>
              <w:keepNext/>
              <w:keepLines/>
              <w:spacing w:after="0"/>
              <w:jc w:val="center"/>
              <w:rPr>
                <w:rFonts w:ascii="Arial" w:hAnsi="Arial" w:cs="Arial"/>
                <w:b/>
                <w:sz w:val="18"/>
                <w:szCs w:val="18"/>
              </w:rPr>
            </w:pPr>
            <w:r w:rsidRPr="00497CEF">
              <w:rPr>
                <w:rFonts w:ascii="Arial" w:hAnsi="Arial" w:cs="Arial"/>
                <w:b/>
                <w:sz w:val="18"/>
                <w:szCs w:val="18"/>
              </w:rPr>
              <w:t>NO</w:t>
            </w:r>
            <w:r w:rsidR="006A7038" w:rsidRPr="00497CEF">
              <w:rPr>
                <w:rFonts w:ascii="Arial" w:hAnsi="Arial" w:cs="Arial"/>
                <w:b/>
                <w:sz w:val="18"/>
                <w:szCs w:val="18"/>
                <w:vertAlign w:val="subscript"/>
              </w:rPr>
              <w:t>X</w:t>
            </w:r>
          </w:p>
        </w:tc>
        <w:tc>
          <w:tcPr>
            <w:tcW w:w="960" w:type="dxa"/>
            <w:shd w:val="clear" w:color="auto" w:fill="FBCE76" w:themeFill="background2" w:themeFillTint="99"/>
            <w:noWrap/>
            <w:tcMar>
              <w:top w:w="43" w:type="dxa"/>
              <w:left w:w="115" w:type="dxa"/>
              <w:bottom w:w="43" w:type="dxa"/>
              <w:right w:w="115" w:type="dxa"/>
            </w:tcMar>
            <w:vAlign w:val="center"/>
            <w:hideMark/>
          </w:tcPr>
          <w:p w:rsidR="004001CC" w:rsidRPr="00497CEF" w:rsidRDefault="004001CC" w:rsidP="006816CF">
            <w:pPr>
              <w:keepNext/>
              <w:keepLines/>
              <w:spacing w:after="0"/>
              <w:jc w:val="center"/>
              <w:rPr>
                <w:rFonts w:ascii="Arial" w:hAnsi="Arial" w:cs="Arial"/>
                <w:b/>
                <w:sz w:val="18"/>
                <w:szCs w:val="18"/>
              </w:rPr>
            </w:pPr>
            <w:r w:rsidRPr="00497CEF">
              <w:rPr>
                <w:rFonts w:ascii="Arial" w:hAnsi="Arial" w:cs="Arial"/>
                <w:b/>
                <w:sz w:val="18"/>
                <w:szCs w:val="18"/>
              </w:rPr>
              <w:t>SO</w:t>
            </w:r>
            <w:r w:rsidRPr="00497CEF">
              <w:rPr>
                <w:rFonts w:ascii="Arial" w:hAnsi="Arial" w:cs="Arial"/>
                <w:b/>
                <w:sz w:val="18"/>
                <w:szCs w:val="18"/>
                <w:vertAlign w:val="subscript"/>
              </w:rPr>
              <w:t>2</w:t>
            </w:r>
          </w:p>
        </w:tc>
        <w:tc>
          <w:tcPr>
            <w:tcW w:w="960" w:type="dxa"/>
            <w:shd w:val="clear" w:color="auto" w:fill="FBCE76" w:themeFill="background2" w:themeFillTint="99"/>
            <w:noWrap/>
            <w:tcMar>
              <w:top w:w="43" w:type="dxa"/>
              <w:left w:w="115" w:type="dxa"/>
              <w:bottom w:w="43" w:type="dxa"/>
              <w:right w:w="115" w:type="dxa"/>
            </w:tcMar>
            <w:vAlign w:val="center"/>
            <w:hideMark/>
          </w:tcPr>
          <w:p w:rsidR="004001CC" w:rsidRPr="00497CEF" w:rsidRDefault="004001CC" w:rsidP="006816CF">
            <w:pPr>
              <w:keepNext/>
              <w:keepLines/>
              <w:spacing w:after="0"/>
              <w:jc w:val="center"/>
              <w:rPr>
                <w:rFonts w:ascii="Arial" w:hAnsi="Arial" w:cs="Arial"/>
                <w:b/>
                <w:sz w:val="18"/>
                <w:szCs w:val="18"/>
              </w:rPr>
            </w:pPr>
            <w:r w:rsidRPr="00497CEF">
              <w:rPr>
                <w:rFonts w:ascii="Arial" w:hAnsi="Arial" w:cs="Arial"/>
                <w:b/>
                <w:sz w:val="18"/>
                <w:szCs w:val="18"/>
              </w:rPr>
              <w:t>CO</w:t>
            </w:r>
            <w:r w:rsidRPr="00497CEF">
              <w:rPr>
                <w:rFonts w:ascii="Arial" w:hAnsi="Arial" w:cs="Arial"/>
                <w:b/>
                <w:sz w:val="18"/>
                <w:szCs w:val="18"/>
                <w:vertAlign w:val="subscript"/>
              </w:rPr>
              <w:t>2</w:t>
            </w:r>
          </w:p>
        </w:tc>
      </w:tr>
      <w:tr w:rsidR="004001CC" w:rsidRPr="00497CEF" w:rsidTr="006816CF">
        <w:trPr>
          <w:cantSplit/>
          <w:jc w:val="center"/>
        </w:trPr>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1999</w:t>
            </w:r>
          </w:p>
        </w:tc>
        <w:tc>
          <w:tcPr>
            <w:tcW w:w="118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104,409</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1.36</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4.52</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1,009</w:t>
            </w:r>
          </w:p>
        </w:tc>
      </w:tr>
      <w:tr w:rsidR="004001CC" w:rsidRPr="00497CEF" w:rsidTr="006816CF">
        <w:trPr>
          <w:cantSplit/>
          <w:jc w:val="center"/>
        </w:trPr>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2000</w:t>
            </w:r>
          </w:p>
        </w:tc>
        <w:tc>
          <w:tcPr>
            <w:tcW w:w="118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110,199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1.12</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3.88</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913</w:t>
            </w:r>
          </w:p>
        </w:tc>
      </w:tr>
      <w:tr w:rsidR="004001CC" w:rsidRPr="00497CEF" w:rsidTr="006816CF">
        <w:trPr>
          <w:cantSplit/>
          <w:jc w:val="center"/>
        </w:trPr>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2001</w:t>
            </w:r>
          </w:p>
        </w:tc>
        <w:tc>
          <w:tcPr>
            <w:tcW w:w="118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114,626</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1.05</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3.51</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930</w:t>
            </w:r>
          </w:p>
        </w:tc>
      </w:tr>
      <w:tr w:rsidR="004001CC" w:rsidRPr="00497CEF" w:rsidTr="006816CF">
        <w:trPr>
          <w:cantSplit/>
          <w:jc w:val="center"/>
        </w:trPr>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2002</w:t>
            </w:r>
          </w:p>
        </w:tc>
        <w:tc>
          <w:tcPr>
            <w:tcW w:w="118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120,539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0.94</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2.69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909</w:t>
            </w:r>
          </w:p>
        </w:tc>
      </w:tr>
      <w:tr w:rsidR="004001CC" w:rsidRPr="00497CEF" w:rsidTr="006816CF">
        <w:trPr>
          <w:cantSplit/>
          <w:jc w:val="center"/>
        </w:trPr>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2003</w:t>
            </w:r>
          </w:p>
        </w:tc>
        <w:tc>
          <w:tcPr>
            <w:tcW w:w="118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127,195</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0.93</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2.75</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970</w:t>
            </w:r>
          </w:p>
        </w:tc>
      </w:tr>
      <w:tr w:rsidR="004001CC" w:rsidRPr="00497CEF" w:rsidTr="006816CF">
        <w:trPr>
          <w:cantSplit/>
          <w:jc w:val="center"/>
        </w:trPr>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2004</w:t>
            </w:r>
          </w:p>
        </w:tc>
        <w:tc>
          <w:tcPr>
            <w:tcW w:w="118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129,459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0.78</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2.31</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876</w:t>
            </w:r>
          </w:p>
        </w:tc>
      </w:tr>
      <w:tr w:rsidR="004001CC" w:rsidRPr="00497CEF" w:rsidTr="006816CF">
        <w:trPr>
          <w:cantSplit/>
          <w:jc w:val="center"/>
        </w:trPr>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2005</w:t>
            </w:r>
          </w:p>
        </w:tc>
        <w:tc>
          <w:tcPr>
            <w:tcW w:w="118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131,874</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0.88</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2.27</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919</w:t>
            </w:r>
          </w:p>
        </w:tc>
      </w:tr>
      <w:tr w:rsidR="004001CC" w:rsidRPr="00497CEF" w:rsidTr="006816CF">
        <w:trPr>
          <w:cantSplit/>
          <w:jc w:val="center"/>
        </w:trPr>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2006</w:t>
            </w:r>
          </w:p>
        </w:tc>
        <w:tc>
          <w:tcPr>
            <w:tcW w:w="118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128,046</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0.67</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1.59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808</w:t>
            </w:r>
          </w:p>
        </w:tc>
      </w:tr>
      <w:tr w:rsidR="004001CC" w:rsidRPr="00497CEF" w:rsidTr="006816CF">
        <w:trPr>
          <w:cantSplit/>
          <w:jc w:val="center"/>
        </w:trPr>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2007</w:t>
            </w:r>
          </w:p>
        </w:tc>
        <w:tc>
          <w:tcPr>
            <w:tcW w:w="118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130,723</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0.54</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1.66</w:t>
            </w:r>
          </w:p>
        </w:tc>
        <w:tc>
          <w:tcPr>
            <w:tcW w:w="960" w:type="dxa"/>
            <w:shd w:val="clear" w:color="auto" w:fill="auto"/>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905</w:t>
            </w:r>
          </w:p>
        </w:tc>
      </w:tr>
      <w:tr w:rsidR="004001CC" w:rsidRPr="00497CEF" w:rsidTr="006816CF">
        <w:trPr>
          <w:cantSplit/>
          <w:jc w:val="center"/>
        </w:trPr>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rPr>
                <w:rFonts w:ascii="Arial" w:hAnsi="Arial" w:cs="Arial"/>
                <w:b/>
                <w:sz w:val="18"/>
                <w:szCs w:val="18"/>
              </w:rPr>
            </w:pPr>
            <w:r w:rsidRPr="00497CEF">
              <w:rPr>
                <w:rFonts w:ascii="Arial" w:hAnsi="Arial" w:cs="Arial"/>
                <w:b/>
                <w:sz w:val="18"/>
                <w:szCs w:val="18"/>
              </w:rPr>
              <w:t>2008</w:t>
            </w:r>
          </w:p>
        </w:tc>
        <w:tc>
          <w:tcPr>
            <w:tcW w:w="118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124,749</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0.52</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1.51</w:t>
            </w:r>
          </w:p>
        </w:tc>
        <w:tc>
          <w:tcPr>
            <w:tcW w:w="960" w:type="dxa"/>
            <w:shd w:val="clear" w:color="auto" w:fill="FDEED1" w:themeFill="background2" w:themeFillTint="33"/>
            <w:noWrap/>
            <w:tcMar>
              <w:top w:w="58" w:type="dxa"/>
              <w:left w:w="115" w:type="dxa"/>
              <w:bottom w:w="58" w:type="dxa"/>
              <w:right w:w="115" w:type="dxa"/>
            </w:tcMar>
            <w:vAlign w:val="center"/>
            <w:hideMark/>
          </w:tcPr>
          <w:p w:rsidR="004001CC" w:rsidRPr="00497CEF" w:rsidRDefault="004001CC" w:rsidP="006816CF">
            <w:pPr>
              <w:keepNext/>
              <w:keepLines/>
              <w:spacing w:after="0"/>
              <w:jc w:val="center"/>
              <w:rPr>
                <w:rFonts w:ascii="Arial" w:hAnsi="Arial" w:cs="Arial"/>
                <w:sz w:val="18"/>
                <w:szCs w:val="18"/>
              </w:rPr>
            </w:pPr>
            <w:r w:rsidRPr="00497CEF">
              <w:rPr>
                <w:rFonts w:ascii="Arial" w:hAnsi="Arial" w:cs="Arial"/>
                <w:sz w:val="18"/>
                <w:szCs w:val="18"/>
              </w:rPr>
              <w:t>890</w:t>
            </w:r>
          </w:p>
        </w:tc>
      </w:tr>
    </w:tbl>
    <w:p w:rsidR="004672B7" w:rsidRDefault="004672B7" w:rsidP="00073277"/>
    <w:p w:rsidR="004001CC" w:rsidRPr="00166976" w:rsidRDefault="00832C7A" w:rsidP="00073277">
      <w:r>
        <w:fldChar w:fldCharType="begin"/>
      </w:r>
      <w:r w:rsidR="00367A16">
        <w:instrText xml:space="preserve"> REF _Ref262122705 \h </w:instrText>
      </w:r>
      <w:r>
        <w:fldChar w:fldCharType="separate"/>
      </w:r>
      <w:r w:rsidR="00E5699E">
        <w:t xml:space="preserve">Table </w:t>
      </w:r>
      <w:r w:rsidR="00E5699E">
        <w:rPr>
          <w:noProof/>
        </w:rPr>
        <w:t>8</w:t>
      </w:r>
      <w:r w:rsidR="00E5699E">
        <w:noBreakHyphen/>
      </w:r>
      <w:r w:rsidR="00E5699E">
        <w:rPr>
          <w:noProof/>
        </w:rPr>
        <w:t>3</w:t>
      </w:r>
      <w:r>
        <w:fldChar w:fldCharType="end"/>
      </w:r>
      <w:r w:rsidR="004001CC" w:rsidRPr="00166976">
        <w:t xml:space="preserve"> shows the annual historical marginal emissions for the three types of emissions since 1993. </w:t>
      </w:r>
      <w:r w:rsidR="004001CC">
        <w:t>In this analysis, annual marginal rates are calculated by the total emissions of intermediate and peaking generation in New England divided by the annual energy in megawatt-hours for the same generation. In 2008, t</w:t>
      </w:r>
      <w:r w:rsidR="004001CC" w:rsidRPr="00166976">
        <w:t xml:space="preserve">he </w:t>
      </w:r>
      <w:r w:rsidR="004001CC">
        <w:t xml:space="preserve">New England system </w:t>
      </w:r>
      <w:r w:rsidR="004001CC" w:rsidRPr="00166976">
        <w:t>SO</w:t>
      </w:r>
      <w:r w:rsidR="004001CC" w:rsidRPr="00166976">
        <w:rPr>
          <w:vertAlign w:val="subscript"/>
        </w:rPr>
        <w:t>2</w:t>
      </w:r>
      <w:r w:rsidR="004001CC" w:rsidRPr="00166976">
        <w:t xml:space="preserve"> </w:t>
      </w:r>
      <w:r w:rsidR="004001CC">
        <w:t>and NO</w:t>
      </w:r>
      <w:r w:rsidR="004001CC" w:rsidRPr="00D3526C">
        <w:rPr>
          <w:vertAlign w:val="subscript"/>
        </w:rPr>
        <w:t>X</w:t>
      </w:r>
      <w:r w:rsidR="004001CC">
        <w:t xml:space="preserve"> </w:t>
      </w:r>
      <w:r w:rsidR="004001CC" w:rsidRPr="00166976">
        <w:t xml:space="preserve">marginal </w:t>
      </w:r>
      <w:r w:rsidR="004001CC" w:rsidRPr="00B82E96">
        <w:t>rates each had</w:t>
      </w:r>
      <w:r w:rsidR="004001CC">
        <w:t xml:space="preserve"> declined by</w:t>
      </w:r>
      <w:r w:rsidR="004001CC" w:rsidRPr="00166976">
        <w:t xml:space="preserve"> over 95%</w:t>
      </w:r>
      <w:r w:rsidR="004001CC">
        <w:t xml:space="preserve">, </w:t>
      </w:r>
      <w:r w:rsidR="004001CC" w:rsidRPr="00166976">
        <w:t>and the CO</w:t>
      </w:r>
      <w:r w:rsidR="004001CC" w:rsidRPr="00166976">
        <w:rPr>
          <w:vertAlign w:val="subscript"/>
        </w:rPr>
        <w:t>2</w:t>
      </w:r>
      <w:r w:rsidR="004001CC" w:rsidRPr="00166976">
        <w:t xml:space="preserve"> marginal rate declined over 40%</w:t>
      </w:r>
      <w:r w:rsidR="004001CC">
        <w:t xml:space="preserve"> from 1993 marginal rates</w:t>
      </w:r>
      <w:r w:rsidR="004001CC" w:rsidRPr="00166976">
        <w:t>.</w:t>
      </w:r>
    </w:p>
    <w:p w:rsidR="00C65487" w:rsidRDefault="00367A16">
      <w:pPr>
        <w:pStyle w:val="Caption"/>
        <w:spacing w:after="60"/>
      </w:pPr>
      <w:bookmarkStart w:id="601" w:name="_Ref262122705"/>
      <w:bookmarkStart w:id="602" w:name="_Toc271552423"/>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3</w:t>
      </w:r>
      <w:r w:rsidR="00832C7A">
        <w:fldChar w:fldCharType="end"/>
      </w:r>
      <w:bookmarkEnd w:id="601"/>
      <w:r w:rsidR="004001CC">
        <w:br/>
      </w:r>
      <w:r w:rsidR="004001CC" w:rsidRPr="00C70D89">
        <w:t xml:space="preserve">New England </w:t>
      </w:r>
      <w:r w:rsidR="004001CC">
        <w:t>G</w:t>
      </w:r>
      <w:r w:rsidR="004001CC" w:rsidRPr="00C70D89">
        <w:t xml:space="preserve">eneration </w:t>
      </w:r>
      <w:r w:rsidR="004001CC">
        <w:t>A</w:t>
      </w:r>
      <w:r w:rsidR="004001CC" w:rsidRPr="00C70D89">
        <w:t xml:space="preserve">nnual </w:t>
      </w:r>
      <w:r w:rsidR="004001CC">
        <w:t>M</w:t>
      </w:r>
      <w:r w:rsidR="004001CC" w:rsidRPr="00C70D89">
        <w:t xml:space="preserve">arginal </w:t>
      </w:r>
      <w:r w:rsidR="004001CC">
        <w:t>E</w:t>
      </w:r>
      <w:r w:rsidR="004001CC" w:rsidRPr="00C70D89">
        <w:t xml:space="preserve">mission </w:t>
      </w:r>
      <w:r w:rsidR="004001CC">
        <w:t>R</w:t>
      </w:r>
      <w:r w:rsidR="004001CC" w:rsidRPr="00C70D89">
        <w:t>ates</w:t>
      </w:r>
      <w:r w:rsidR="008C2821">
        <w:t xml:space="preserve"> (</w:t>
      </w:r>
      <w:r w:rsidR="004001CC" w:rsidRPr="00C70D89">
        <w:t>lbs/MWh</w:t>
      </w:r>
      <w:r w:rsidR="008C2821">
        <w:t>)</w:t>
      </w:r>
      <w:bookmarkEnd w:id="602"/>
    </w:p>
    <w:tbl>
      <w:tblPr>
        <w:tblStyle w:val="TableGrid"/>
        <w:tblW w:w="38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960"/>
        <w:gridCol w:w="960"/>
        <w:gridCol w:w="960"/>
        <w:gridCol w:w="960"/>
      </w:tblGrid>
      <w:tr w:rsidR="004001CC" w:rsidRPr="00497CEF" w:rsidTr="00497CEF">
        <w:trPr>
          <w:cantSplit/>
          <w:trHeight w:val="269"/>
          <w:jc w:val="center"/>
        </w:trPr>
        <w:tc>
          <w:tcPr>
            <w:tcW w:w="960" w:type="dxa"/>
            <w:shd w:val="clear" w:color="auto" w:fill="FBCE76" w:themeFill="background2" w:themeFillTint="99"/>
            <w:vAlign w:val="center"/>
            <w:hideMark/>
          </w:tcPr>
          <w:p w:rsidR="00825060" w:rsidRDefault="004001CC">
            <w:pPr>
              <w:keepNext/>
              <w:keepLines/>
              <w:spacing w:after="0"/>
              <w:jc w:val="center"/>
              <w:rPr>
                <w:rFonts w:ascii="Arial" w:hAnsi="Arial" w:cs="Arial"/>
                <w:b/>
                <w:bCs/>
                <w:iCs/>
                <w:sz w:val="18"/>
                <w:szCs w:val="18"/>
              </w:rPr>
            </w:pPr>
            <w:r w:rsidRPr="00497CEF">
              <w:rPr>
                <w:rFonts w:ascii="Arial" w:hAnsi="Arial" w:cs="Arial"/>
                <w:b/>
                <w:sz w:val="18"/>
                <w:szCs w:val="18"/>
              </w:rPr>
              <w:t>Year</w:t>
            </w:r>
          </w:p>
        </w:tc>
        <w:tc>
          <w:tcPr>
            <w:tcW w:w="960" w:type="dxa"/>
            <w:shd w:val="clear" w:color="auto" w:fill="FBCE76" w:themeFill="background2" w:themeFillTint="99"/>
            <w:vAlign w:val="center"/>
            <w:hideMark/>
          </w:tcPr>
          <w:p w:rsidR="00825060" w:rsidRDefault="004001CC">
            <w:pPr>
              <w:keepNext/>
              <w:keepLines/>
              <w:spacing w:after="0"/>
              <w:jc w:val="center"/>
              <w:rPr>
                <w:rFonts w:ascii="Arial" w:hAnsi="Arial" w:cs="Arial"/>
                <w:b/>
                <w:bCs/>
                <w:iCs/>
                <w:sz w:val="18"/>
                <w:szCs w:val="18"/>
              </w:rPr>
            </w:pPr>
            <w:r w:rsidRPr="00497CEF">
              <w:rPr>
                <w:rFonts w:ascii="Arial" w:hAnsi="Arial" w:cs="Arial"/>
                <w:b/>
                <w:sz w:val="18"/>
                <w:szCs w:val="18"/>
              </w:rPr>
              <w:t>SO</w:t>
            </w:r>
            <w:r w:rsidRPr="00497CEF">
              <w:rPr>
                <w:rFonts w:ascii="Arial" w:hAnsi="Arial" w:cs="Arial"/>
                <w:b/>
                <w:sz w:val="18"/>
                <w:szCs w:val="18"/>
                <w:vertAlign w:val="subscript"/>
              </w:rPr>
              <w:t>2</w:t>
            </w:r>
          </w:p>
        </w:tc>
        <w:tc>
          <w:tcPr>
            <w:tcW w:w="960" w:type="dxa"/>
            <w:shd w:val="clear" w:color="auto" w:fill="FBCE76" w:themeFill="background2" w:themeFillTint="99"/>
            <w:vAlign w:val="center"/>
            <w:hideMark/>
          </w:tcPr>
          <w:p w:rsidR="00825060" w:rsidRDefault="004001CC">
            <w:pPr>
              <w:keepNext/>
              <w:keepLines/>
              <w:spacing w:after="0"/>
              <w:jc w:val="center"/>
              <w:rPr>
                <w:rFonts w:ascii="Arial" w:hAnsi="Arial" w:cs="Arial"/>
                <w:b/>
                <w:bCs/>
                <w:iCs/>
                <w:sz w:val="18"/>
                <w:szCs w:val="18"/>
              </w:rPr>
            </w:pPr>
            <w:r w:rsidRPr="00497CEF">
              <w:rPr>
                <w:rFonts w:ascii="Arial" w:hAnsi="Arial" w:cs="Arial"/>
                <w:b/>
                <w:sz w:val="18"/>
                <w:szCs w:val="18"/>
              </w:rPr>
              <w:t>NO</w:t>
            </w:r>
            <w:r w:rsidR="00151715" w:rsidRPr="00497CEF">
              <w:rPr>
                <w:rFonts w:ascii="Arial" w:hAnsi="Arial" w:cs="Arial"/>
                <w:b/>
                <w:sz w:val="18"/>
                <w:szCs w:val="18"/>
                <w:vertAlign w:val="subscript"/>
              </w:rPr>
              <w:t>X</w:t>
            </w:r>
          </w:p>
        </w:tc>
        <w:tc>
          <w:tcPr>
            <w:tcW w:w="960" w:type="dxa"/>
            <w:shd w:val="clear" w:color="auto" w:fill="FBCE76" w:themeFill="background2" w:themeFillTint="99"/>
            <w:vAlign w:val="center"/>
            <w:hideMark/>
          </w:tcPr>
          <w:p w:rsidR="00825060" w:rsidRDefault="004001CC">
            <w:pPr>
              <w:keepNext/>
              <w:keepLines/>
              <w:spacing w:after="0"/>
              <w:jc w:val="center"/>
              <w:rPr>
                <w:rFonts w:ascii="Arial" w:hAnsi="Arial" w:cs="Arial"/>
                <w:b/>
                <w:bCs/>
                <w:iCs/>
                <w:sz w:val="18"/>
                <w:szCs w:val="18"/>
              </w:rPr>
            </w:pPr>
            <w:r w:rsidRPr="00497CEF">
              <w:rPr>
                <w:rFonts w:ascii="Arial" w:hAnsi="Arial" w:cs="Arial"/>
                <w:b/>
                <w:sz w:val="18"/>
                <w:szCs w:val="18"/>
              </w:rPr>
              <w:t>CO</w:t>
            </w:r>
            <w:r w:rsidR="00890D42" w:rsidRPr="00890D42">
              <w:rPr>
                <w:rFonts w:ascii="Arial" w:hAnsi="Arial" w:cs="Arial"/>
                <w:b/>
                <w:sz w:val="18"/>
                <w:szCs w:val="18"/>
                <w:vertAlign w:val="subscript"/>
              </w:rPr>
              <w:t>2</w:t>
            </w:r>
          </w:p>
        </w:tc>
      </w:tr>
      <w:tr w:rsidR="004001CC" w:rsidRPr="00497CEF" w:rsidTr="00DE1235">
        <w:trPr>
          <w:cantSplit/>
          <w:trHeight w:val="288"/>
          <w:jc w:val="center"/>
        </w:trPr>
        <w:tc>
          <w:tcPr>
            <w:tcW w:w="960" w:type="dxa"/>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1993</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12.60</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4.40</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1,643</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1994</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9.80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4.20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1,573</w:t>
            </w:r>
          </w:p>
        </w:tc>
      </w:tr>
      <w:tr w:rsidR="004001CC" w:rsidRPr="00497CEF" w:rsidTr="00DE1235">
        <w:trPr>
          <w:cantSplit/>
          <w:trHeight w:val="288"/>
          <w:jc w:val="center"/>
        </w:trPr>
        <w:tc>
          <w:tcPr>
            <w:tcW w:w="960" w:type="dxa"/>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1995</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7.00 </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3.20</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1,584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1996</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9.60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2.60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1,653 </w:t>
            </w:r>
          </w:p>
        </w:tc>
      </w:tr>
      <w:tr w:rsidR="004001CC" w:rsidRPr="00497CEF" w:rsidTr="00DE1235">
        <w:trPr>
          <w:cantSplit/>
          <w:trHeight w:val="288"/>
          <w:jc w:val="center"/>
        </w:trPr>
        <w:tc>
          <w:tcPr>
            <w:tcW w:w="960" w:type="dxa"/>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1997</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9.40 </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2.60</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1,484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1998</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6.20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2.10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1,520 </w:t>
            </w:r>
          </w:p>
        </w:tc>
      </w:tr>
      <w:tr w:rsidR="004001CC" w:rsidRPr="00497CEF" w:rsidTr="00DE1235">
        <w:trPr>
          <w:cantSplit/>
          <w:trHeight w:val="288"/>
          <w:jc w:val="center"/>
        </w:trPr>
        <w:tc>
          <w:tcPr>
            <w:tcW w:w="960" w:type="dxa"/>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1999</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7.20 </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2.00</w:t>
            </w:r>
          </w:p>
        </w:tc>
        <w:tc>
          <w:tcPr>
            <w:tcW w:w="960" w:type="dxa"/>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1,578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6.20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1.90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1,488 </w:t>
            </w:r>
          </w:p>
        </w:tc>
      </w:tr>
      <w:tr w:rsidR="004001CC" w:rsidRPr="00497CEF" w:rsidTr="00DE1235">
        <w:trPr>
          <w:cantSplit/>
          <w:trHeight w:val="288"/>
          <w:jc w:val="center"/>
        </w:trPr>
        <w:tc>
          <w:tcPr>
            <w:tcW w:w="960" w:type="dxa"/>
            <w:shd w:val="clear" w:color="auto" w:fill="auto"/>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2001</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4.90 </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1.70</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1,394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2002</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3.30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1.10</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1,338 </w:t>
            </w:r>
          </w:p>
        </w:tc>
      </w:tr>
      <w:tr w:rsidR="004001CC" w:rsidRPr="00497CEF" w:rsidTr="00DE1235">
        <w:trPr>
          <w:cantSplit/>
          <w:trHeight w:val="288"/>
          <w:jc w:val="center"/>
        </w:trPr>
        <w:tc>
          <w:tcPr>
            <w:tcW w:w="960" w:type="dxa"/>
            <w:shd w:val="clear" w:color="auto" w:fill="auto"/>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2003</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2.00 </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0.70</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1,179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2004</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2.03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0.54</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1,102 </w:t>
            </w:r>
          </w:p>
        </w:tc>
      </w:tr>
      <w:tr w:rsidR="004001CC" w:rsidRPr="00497CEF" w:rsidTr="00DE1235">
        <w:trPr>
          <w:cantSplit/>
          <w:trHeight w:val="288"/>
          <w:jc w:val="center"/>
        </w:trPr>
        <w:tc>
          <w:tcPr>
            <w:tcW w:w="960" w:type="dxa"/>
            <w:shd w:val="clear" w:color="auto" w:fill="auto"/>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2005</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1.75 </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0.54</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1,107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2006</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0.53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0.29</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993 </w:t>
            </w:r>
          </w:p>
        </w:tc>
      </w:tr>
      <w:tr w:rsidR="004001CC" w:rsidRPr="00497CEF" w:rsidTr="00DE1235">
        <w:trPr>
          <w:cantSplit/>
          <w:trHeight w:val="288"/>
          <w:jc w:val="center"/>
        </w:trPr>
        <w:tc>
          <w:tcPr>
            <w:tcW w:w="960" w:type="dxa"/>
            <w:shd w:val="clear" w:color="auto" w:fill="auto"/>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2007</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0.57 </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0.28</w:t>
            </w:r>
          </w:p>
        </w:tc>
        <w:tc>
          <w:tcPr>
            <w:tcW w:w="960" w:type="dxa"/>
            <w:shd w:val="clear" w:color="auto" w:fill="auto"/>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1,004 </w:t>
            </w:r>
          </w:p>
        </w:tc>
      </w:tr>
      <w:tr w:rsidR="004001CC" w:rsidRPr="00497CEF" w:rsidTr="00DE1235">
        <w:trPr>
          <w:cantSplit/>
          <w:trHeight w:val="288"/>
          <w:jc w:val="center"/>
        </w:trPr>
        <w:tc>
          <w:tcPr>
            <w:tcW w:w="960" w:type="dxa"/>
            <w:shd w:val="clear" w:color="auto" w:fill="FDEED1" w:themeFill="background2" w:themeFillTint="33"/>
            <w:vAlign w:val="center"/>
            <w:hideMark/>
          </w:tcPr>
          <w:p w:rsidR="00825060" w:rsidRDefault="004001CC">
            <w:pPr>
              <w:keepNext/>
              <w:keepLines/>
              <w:spacing w:after="0"/>
              <w:rPr>
                <w:rFonts w:ascii="Arial" w:hAnsi="Arial" w:cs="Arial"/>
                <w:b/>
                <w:bCs/>
                <w:iCs/>
                <w:sz w:val="18"/>
                <w:szCs w:val="18"/>
              </w:rPr>
            </w:pPr>
            <w:r w:rsidRPr="00497CEF">
              <w:rPr>
                <w:rFonts w:ascii="Arial" w:hAnsi="Arial" w:cs="Arial"/>
                <w:b/>
                <w:sz w:val="18"/>
                <w:szCs w:val="18"/>
              </w:rPr>
              <w:t>2008</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0.33 </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0.21</w:t>
            </w:r>
          </w:p>
        </w:tc>
        <w:tc>
          <w:tcPr>
            <w:tcW w:w="960" w:type="dxa"/>
            <w:shd w:val="clear" w:color="auto" w:fill="FDEED1" w:themeFill="background2" w:themeFillTint="33"/>
            <w:tcMar>
              <w:right w:w="216" w:type="dxa"/>
            </w:tcMar>
            <w:vAlign w:val="center"/>
            <w:hideMark/>
          </w:tcPr>
          <w:p w:rsidR="00825060" w:rsidRDefault="004001CC">
            <w:pPr>
              <w:keepNext/>
              <w:keepLines/>
              <w:spacing w:after="0"/>
              <w:jc w:val="right"/>
              <w:rPr>
                <w:rFonts w:ascii="Arial" w:hAnsi="Arial" w:cs="Arial"/>
                <w:b/>
                <w:bCs/>
                <w:iCs/>
                <w:sz w:val="18"/>
                <w:szCs w:val="18"/>
              </w:rPr>
            </w:pPr>
            <w:r w:rsidRPr="00497CEF">
              <w:rPr>
                <w:rFonts w:ascii="Arial" w:hAnsi="Arial" w:cs="Arial"/>
                <w:sz w:val="18"/>
                <w:szCs w:val="18"/>
              </w:rPr>
              <w:t xml:space="preserve">964 </w:t>
            </w:r>
          </w:p>
        </w:tc>
      </w:tr>
    </w:tbl>
    <w:p w:rsidR="004001CC" w:rsidRDefault="004001CC" w:rsidP="004672B7">
      <w:pPr>
        <w:spacing w:after="120" w:line="240" w:lineRule="auto"/>
      </w:pPr>
    </w:p>
    <w:p w:rsidR="004001CC" w:rsidRPr="00B2189D" w:rsidRDefault="00832C7A" w:rsidP="008809BD">
      <w:pPr>
        <w:spacing w:after="120"/>
      </w:pPr>
      <w:r>
        <w:fldChar w:fldCharType="begin"/>
      </w:r>
      <w:r w:rsidR="00367A16">
        <w:instrText xml:space="preserve"> REF _Ref262122786 \h </w:instrText>
      </w:r>
      <w:r>
        <w:fldChar w:fldCharType="separate"/>
      </w:r>
      <w:r w:rsidR="00E5699E">
        <w:t xml:space="preserve">Table </w:t>
      </w:r>
      <w:r w:rsidR="00E5699E">
        <w:rPr>
          <w:noProof/>
        </w:rPr>
        <w:t>8</w:t>
      </w:r>
      <w:r w:rsidR="00E5699E">
        <w:noBreakHyphen/>
      </w:r>
      <w:r w:rsidR="00E5699E">
        <w:rPr>
          <w:noProof/>
        </w:rPr>
        <w:t>4</w:t>
      </w:r>
      <w:r>
        <w:fldChar w:fldCharType="end"/>
      </w:r>
      <w:r w:rsidR="004001CC" w:rsidRPr="00D3526C">
        <w:t xml:space="preserve"> shows that in 2008</w:t>
      </w:r>
      <w:r w:rsidR="00A94D83">
        <w:t>,</w:t>
      </w:r>
      <w:r w:rsidR="004001CC" w:rsidRPr="00D3526C">
        <w:t xml:space="preserve"> New England generators had lower CO</w:t>
      </w:r>
      <w:r w:rsidR="004001CC" w:rsidRPr="00D3526C">
        <w:rPr>
          <w:vertAlign w:val="subscript"/>
        </w:rPr>
        <w:t>2</w:t>
      </w:r>
      <w:r w:rsidR="004001CC" w:rsidRPr="00D3526C">
        <w:t xml:space="preserve"> </w:t>
      </w:r>
      <w:r w:rsidR="008C2821">
        <w:t xml:space="preserve">and </w:t>
      </w:r>
      <w:r w:rsidR="008C2821" w:rsidRPr="00D3526C">
        <w:t>NO</w:t>
      </w:r>
      <w:r w:rsidR="008C2821" w:rsidRPr="00D3526C">
        <w:rPr>
          <w:vertAlign w:val="subscript"/>
        </w:rPr>
        <w:t>X</w:t>
      </w:r>
      <w:r w:rsidR="008C2821" w:rsidRPr="00D3526C">
        <w:t xml:space="preserve"> </w:t>
      </w:r>
      <w:r w:rsidR="004001CC" w:rsidRPr="00D3526C">
        <w:t>emission rates than PJM</w:t>
      </w:r>
      <w:r w:rsidR="00E84B2C">
        <w:t xml:space="preserve">. </w:t>
      </w:r>
    </w:p>
    <w:p w:rsidR="00E27C5C" w:rsidRPr="008809BD" w:rsidRDefault="00367A16" w:rsidP="008809BD">
      <w:pPr>
        <w:pStyle w:val="Caption"/>
        <w:spacing w:after="60"/>
      </w:pPr>
      <w:bookmarkStart w:id="603" w:name="_Ref262122786"/>
      <w:bookmarkStart w:id="604" w:name="_Toc271552424"/>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4</w:t>
      </w:r>
      <w:r w:rsidR="00832C7A">
        <w:fldChar w:fldCharType="end"/>
      </w:r>
      <w:bookmarkEnd w:id="603"/>
      <w:r w:rsidR="004001CC" w:rsidRPr="00C70D89">
        <w:br/>
      </w:r>
      <w:r w:rsidR="004001CC" w:rsidRPr="008809BD">
        <w:t>Comparison of Emission Rates of Three RTO/ISOs</w:t>
      </w:r>
      <w:r w:rsidR="008C2821" w:rsidRPr="008809BD">
        <w:t xml:space="preserve"> (</w:t>
      </w:r>
      <w:r w:rsidR="004001CC" w:rsidRPr="008809BD">
        <w:t>lbs/MWh</w:t>
      </w:r>
      <w:r w:rsidR="008C2821" w:rsidRPr="008809BD">
        <w:t>)</w:t>
      </w:r>
      <w:bookmarkEnd w:id="604"/>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1842"/>
        <w:gridCol w:w="900"/>
        <w:gridCol w:w="900"/>
        <w:gridCol w:w="905"/>
        <w:gridCol w:w="1826"/>
      </w:tblGrid>
      <w:tr w:rsidR="002E686E" w:rsidRPr="008809BD" w:rsidTr="00C020B4">
        <w:trPr>
          <w:cantSplit/>
          <w:jc w:val="center"/>
        </w:trPr>
        <w:tc>
          <w:tcPr>
            <w:tcW w:w="1842" w:type="dxa"/>
            <w:vMerge w:val="restart"/>
            <w:shd w:val="clear" w:color="auto" w:fill="FBCE76" w:themeFill="background2" w:themeFillTint="99"/>
            <w:tcMar>
              <w:top w:w="43" w:type="dxa"/>
              <w:left w:w="115" w:type="dxa"/>
              <w:bottom w:w="43" w:type="dxa"/>
              <w:right w:w="115" w:type="dxa"/>
            </w:tcMar>
            <w:vAlign w:val="center"/>
          </w:tcPr>
          <w:p w:rsidR="00E27C5C" w:rsidRPr="008809BD" w:rsidRDefault="00E27C5C">
            <w:pPr>
              <w:keepNext/>
              <w:keepLines/>
              <w:spacing w:after="0"/>
              <w:jc w:val="center"/>
              <w:rPr>
                <w:rFonts w:ascii="Arial" w:hAnsi="Arial" w:cs="Arial"/>
                <w:b/>
                <w:bCs/>
                <w:iCs/>
                <w:sz w:val="18"/>
                <w:szCs w:val="18"/>
              </w:rPr>
            </w:pPr>
          </w:p>
        </w:tc>
        <w:tc>
          <w:tcPr>
            <w:tcW w:w="2705" w:type="dxa"/>
            <w:gridSpan w:val="3"/>
            <w:shd w:val="clear" w:color="auto" w:fill="FBCE76" w:themeFill="background2" w:themeFillTint="99"/>
            <w:tcMar>
              <w:top w:w="43" w:type="dxa"/>
              <w:left w:w="115" w:type="dxa"/>
              <w:bottom w:w="43" w:type="dxa"/>
              <w:right w:w="115" w:type="dxa"/>
            </w:tcMar>
            <w:vAlign w:val="center"/>
          </w:tcPr>
          <w:p w:rsidR="001B3090" w:rsidRPr="008809BD" w:rsidRDefault="004001CC">
            <w:pPr>
              <w:keepNext/>
              <w:keepLines/>
              <w:spacing w:after="0"/>
              <w:jc w:val="center"/>
              <w:rPr>
                <w:rFonts w:ascii="Arial" w:hAnsi="Arial" w:cs="Arial"/>
                <w:b/>
                <w:bCs/>
                <w:iCs/>
                <w:sz w:val="18"/>
                <w:szCs w:val="18"/>
              </w:rPr>
            </w:pPr>
            <w:r w:rsidRPr="008809BD">
              <w:rPr>
                <w:rFonts w:ascii="Arial" w:hAnsi="Arial" w:cs="Arial"/>
                <w:b/>
                <w:sz w:val="18"/>
                <w:szCs w:val="18"/>
              </w:rPr>
              <w:t>Annual Emission Rates</w:t>
            </w:r>
          </w:p>
        </w:tc>
        <w:tc>
          <w:tcPr>
            <w:tcW w:w="1826" w:type="dxa"/>
            <w:shd w:val="clear" w:color="auto" w:fill="FBCE76" w:themeFill="background2" w:themeFillTint="99"/>
            <w:tcMar>
              <w:top w:w="43" w:type="dxa"/>
              <w:left w:w="115" w:type="dxa"/>
              <w:bottom w:w="43" w:type="dxa"/>
              <w:right w:w="115" w:type="dxa"/>
            </w:tcMar>
            <w:vAlign w:val="center"/>
          </w:tcPr>
          <w:p w:rsidR="001B3090" w:rsidRPr="008809BD" w:rsidRDefault="006339A4">
            <w:pPr>
              <w:keepNext/>
              <w:keepLines/>
              <w:spacing w:after="0"/>
              <w:jc w:val="center"/>
              <w:rPr>
                <w:rFonts w:ascii="Arial" w:hAnsi="Arial" w:cs="Arial"/>
                <w:b/>
                <w:bCs/>
                <w:iCs/>
                <w:sz w:val="18"/>
                <w:szCs w:val="18"/>
              </w:rPr>
            </w:pPr>
            <w:r w:rsidRPr="008809BD">
              <w:rPr>
                <w:rFonts w:ascii="Arial" w:hAnsi="Arial" w:cs="Arial"/>
                <w:b/>
                <w:sz w:val="18"/>
                <w:szCs w:val="18"/>
              </w:rPr>
              <w:t xml:space="preserve">On-Peak </w:t>
            </w:r>
            <w:r w:rsidR="004001CC" w:rsidRPr="008809BD">
              <w:rPr>
                <w:rFonts w:ascii="Arial" w:hAnsi="Arial" w:cs="Arial"/>
                <w:b/>
                <w:sz w:val="18"/>
                <w:szCs w:val="18"/>
              </w:rPr>
              <w:t>Marginal Emission Rates</w:t>
            </w:r>
            <w:r w:rsidR="00504AC1" w:rsidRPr="008809BD">
              <w:rPr>
                <w:rFonts w:ascii="Arial" w:hAnsi="Arial" w:cs="Arial"/>
                <w:b/>
                <w:sz w:val="18"/>
                <w:szCs w:val="18"/>
                <w:vertAlign w:val="superscript"/>
              </w:rPr>
              <w:t>(a)</w:t>
            </w:r>
          </w:p>
        </w:tc>
      </w:tr>
      <w:tr w:rsidR="002E686E" w:rsidRPr="008809BD" w:rsidTr="00C020B4">
        <w:trPr>
          <w:cantSplit/>
          <w:jc w:val="center"/>
        </w:trPr>
        <w:tc>
          <w:tcPr>
            <w:tcW w:w="1842" w:type="dxa"/>
            <w:vMerge/>
            <w:shd w:val="clear" w:color="auto" w:fill="FBCE76" w:themeFill="background2" w:themeFillTint="99"/>
            <w:tcMar>
              <w:top w:w="43" w:type="dxa"/>
              <w:left w:w="115" w:type="dxa"/>
              <w:bottom w:w="43" w:type="dxa"/>
              <w:right w:w="115" w:type="dxa"/>
            </w:tcMar>
            <w:vAlign w:val="center"/>
          </w:tcPr>
          <w:p w:rsidR="001B3090" w:rsidRPr="008809BD" w:rsidRDefault="001B3090">
            <w:pPr>
              <w:keepNext/>
              <w:keepLines/>
              <w:spacing w:after="0"/>
              <w:jc w:val="center"/>
              <w:rPr>
                <w:rFonts w:ascii="Arial" w:hAnsi="Arial" w:cs="Arial"/>
                <w:b/>
                <w:bCs/>
                <w:sz w:val="18"/>
                <w:szCs w:val="18"/>
              </w:rPr>
            </w:pPr>
          </w:p>
        </w:tc>
        <w:tc>
          <w:tcPr>
            <w:tcW w:w="900" w:type="dxa"/>
            <w:shd w:val="clear" w:color="auto" w:fill="FBCE76" w:themeFill="background2" w:themeFillTint="99"/>
            <w:tcMar>
              <w:top w:w="43" w:type="dxa"/>
              <w:left w:w="115" w:type="dxa"/>
              <w:bottom w:w="43" w:type="dxa"/>
              <w:right w:w="115" w:type="dxa"/>
            </w:tcMar>
            <w:vAlign w:val="center"/>
          </w:tcPr>
          <w:p w:rsidR="001B3090" w:rsidRPr="008809BD" w:rsidRDefault="004001CC">
            <w:pPr>
              <w:keepNext/>
              <w:keepLines/>
              <w:spacing w:after="0"/>
              <w:jc w:val="center"/>
              <w:rPr>
                <w:rFonts w:ascii="Arial" w:hAnsi="Arial" w:cs="Arial"/>
                <w:b/>
                <w:sz w:val="18"/>
                <w:szCs w:val="18"/>
              </w:rPr>
            </w:pPr>
            <w:r w:rsidRPr="008809BD">
              <w:rPr>
                <w:rFonts w:ascii="Arial" w:hAnsi="Arial" w:cs="Arial"/>
                <w:b/>
                <w:sz w:val="18"/>
                <w:szCs w:val="18"/>
              </w:rPr>
              <w:t>CO</w:t>
            </w:r>
            <w:r w:rsidRPr="008809BD">
              <w:rPr>
                <w:rFonts w:ascii="Arial" w:hAnsi="Arial" w:cs="Arial"/>
                <w:b/>
                <w:sz w:val="18"/>
                <w:szCs w:val="18"/>
                <w:vertAlign w:val="subscript"/>
              </w:rPr>
              <w:t>2</w:t>
            </w:r>
          </w:p>
        </w:tc>
        <w:tc>
          <w:tcPr>
            <w:tcW w:w="900" w:type="dxa"/>
            <w:shd w:val="clear" w:color="auto" w:fill="FBCE76" w:themeFill="background2" w:themeFillTint="99"/>
            <w:tcMar>
              <w:top w:w="43" w:type="dxa"/>
              <w:left w:w="115" w:type="dxa"/>
              <w:bottom w:w="43" w:type="dxa"/>
              <w:right w:w="115" w:type="dxa"/>
            </w:tcMar>
            <w:vAlign w:val="center"/>
          </w:tcPr>
          <w:p w:rsidR="001B3090" w:rsidRPr="008809BD" w:rsidRDefault="004001CC">
            <w:pPr>
              <w:keepNext/>
              <w:keepLines/>
              <w:spacing w:after="0"/>
              <w:jc w:val="center"/>
              <w:rPr>
                <w:rFonts w:ascii="Arial" w:hAnsi="Arial" w:cs="Arial"/>
                <w:b/>
                <w:sz w:val="18"/>
                <w:szCs w:val="18"/>
              </w:rPr>
            </w:pPr>
            <w:r w:rsidRPr="008809BD">
              <w:rPr>
                <w:rFonts w:ascii="Arial" w:hAnsi="Arial" w:cs="Arial"/>
                <w:b/>
                <w:sz w:val="18"/>
                <w:szCs w:val="18"/>
              </w:rPr>
              <w:t>SO</w:t>
            </w:r>
            <w:r w:rsidRPr="008809BD">
              <w:rPr>
                <w:rFonts w:ascii="Arial" w:hAnsi="Arial" w:cs="Arial"/>
                <w:b/>
                <w:sz w:val="18"/>
                <w:szCs w:val="18"/>
                <w:vertAlign w:val="subscript"/>
              </w:rPr>
              <w:t>2</w:t>
            </w:r>
          </w:p>
        </w:tc>
        <w:tc>
          <w:tcPr>
            <w:tcW w:w="905" w:type="dxa"/>
            <w:shd w:val="clear" w:color="auto" w:fill="FBCE76" w:themeFill="background2" w:themeFillTint="99"/>
            <w:tcMar>
              <w:top w:w="43" w:type="dxa"/>
              <w:left w:w="115" w:type="dxa"/>
              <w:bottom w:w="43" w:type="dxa"/>
              <w:right w:w="115" w:type="dxa"/>
            </w:tcMar>
            <w:vAlign w:val="center"/>
          </w:tcPr>
          <w:p w:rsidR="001B3090" w:rsidRPr="008809BD" w:rsidRDefault="004001CC">
            <w:pPr>
              <w:keepNext/>
              <w:keepLines/>
              <w:spacing w:after="0"/>
              <w:jc w:val="center"/>
              <w:rPr>
                <w:rFonts w:ascii="Arial" w:hAnsi="Arial" w:cs="Arial"/>
                <w:b/>
                <w:sz w:val="18"/>
                <w:szCs w:val="18"/>
              </w:rPr>
            </w:pPr>
            <w:r w:rsidRPr="008809BD">
              <w:rPr>
                <w:rFonts w:ascii="Arial" w:hAnsi="Arial" w:cs="Arial"/>
                <w:b/>
                <w:sz w:val="18"/>
                <w:szCs w:val="18"/>
              </w:rPr>
              <w:t>NO</w:t>
            </w:r>
            <w:r w:rsidRPr="008809BD">
              <w:rPr>
                <w:rFonts w:ascii="Arial" w:hAnsi="Arial" w:cs="Arial"/>
                <w:b/>
                <w:sz w:val="18"/>
                <w:szCs w:val="18"/>
                <w:vertAlign w:val="subscript"/>
              </w:rPr>
              <w:t>X</w:t>
            </w:r>
          </w:p>
        </w:tc>
        <w:tc>
          <w:tcPr>
            <w:tcW w:w="1826" w:type="dxa"/>
            <w:shd w:val="clear" w:color="auto" w:fill="FBCE76" w:themeFill="background2" w:themeFillTint="99"/>
            <w:tcMar>
              <w:top w:w="43" w:type="dxa"/>
              <w:left w:w="115" w:type="dxa"/>
              <w:bottom w:w="43" w:type="dxa"/>
              <w:right w:w="115" w:type="dxa"/>
            </w:tcMar>
            <w:vAlign w:val="center"/>
          </w:tcPr>
          <w:p w:rsidR="001B3090" w:rsidRPr="008809BD" w:rsidRDefault="004001CC">
            <w:pPr>
              <w:keepNext/>
              <w:keepLines/>
              <w:spacing w:after="0"/>
              <w:jc w:val="center"/>
              <w:rPr>
                <w:rFonts w:ascii="Arial" w:hAnsi="Arial" w:cs="Arial"/>
                <w:b/>
                <w:sz w:val="18"/>
                <w:szCs w:val="18"/>
              </w:rPr>
            </w:pPr>
            <w:r w:rsidRPr="008809BD">
              <w:rPr>
                <w:rFonts w:ascii="Arial" w:hAnsi="Arial" w:cs="Arial"/>
                <w:b/>
                <w:sz w:val="18"/>
                <w:szCs w:val="18"/>
              </w:rPr>
              <w:t>CO</w:t>
            </w:r>
            <w:r w:rsidRPr="008809BD">
              <w:rPr>
                <w:rFonts w:ascii="Arial" w:hAnsi="Arial" w:cs="Arial"/>
                <w:b/>
                <w:sz w:val="18"/>
                <w:szCs w:val="18"/>
                <w:vertAlign w:val="subscript"/>
              </w:rPr>
              <w:t>2</w:t>
            </w:r>
          </w:p>
        </w:tc>
      </w:tr>
      <w:tr w:rsidR="002E686E" w:rsidRPr="008809BD" w:rsidTr="002C12C3">
        <w:trPr>
          <w:cantSplit/>
          <w:jc w:val="center"/>
        </w:trPr>
        <w:tc>
          <w:tcPr>
            <w:tcW w:w="1842" w:type="dxa"/>
            <w:tcMar>
              <w:top w:w="43" w:type="dxa"/>
              <w:left w:w="115" w:type="dxa"/>
              <w:bottom w:w="43" w:type="dxa"/>
              <w:right w:w="115" w:type="dxa"/>
            </w:tcMar>
            <w:vAlign w:val="center"/>
          </w:tcPr>
          <w:p w:rsidR="001B3090" w:rsidRPr="008809BD" w:rsidRDefault="004001CC">
            <w:pPr>
              <w:keepNext/>
              <w:keepLines/>
              <w:spacing w:after="0"/>
              <w:rPr>
                <w:rFonts w:ascii="Arial" w:hAnsi="Arial" w:cs="Arial"/>
                <w:b/>
                <w:sz w:val="18"/>
                <w:szCs w:val="18"/>
              </w:rPr>
            </w:pPr>
            <w:r w:rsidRPr="008809BD">
              <w:rPr>
                <w:rFonts w:ascii="Arial" w:hAnsi="Arial" w:cs="Arial"/>
                <w:b/>
                <w:sz w:val="18"/>
                <w:szCs w:val="18"/>
              </w:rPr>
              <w:t>ISO</w:t>
            </w:r>
            <w:r w:rsidR="002E686E" w:rsidRPr="008809BD">
              <w:rPr>
                <w:rFonts w:ascii="Arial" w:hAnsi="Arial" w:cs="Arial"/>
                <w:b/>
                <w:sz w:val="18"/>
                <w:szCs w:val="18"/>
              </w:rPr>
              <w:t>-</w:t>
            </w:r>
            <w:r w:rsidRPr="008809BD">
              <w:rPr>
                <w:rFonts w:ascii="Arial" w:hAnsi="Arial" w:cs="Arial"/>
                <w:b/>
                <w:sz w:val="18"/>
                <w:szCs w:val="18"/>
              </w:rPr>
              <w:t>NE (2008)</w:t>
            </w:r>
            <w:r w:rsidR="003542D8" w:rsidRPr="008809BD">
              <w:rPr>
                <w:rFonts w:ascii="Arial" w:hAnsi="Arial" w:cs="Arial"/>
                <w:b/>
                <w:sz w:val="18"/>
                <w:szCs w:val="18"/>
                <w:vertAlign w:val="superscript"/>
              </w:rPr>
              <w:t>(b)</w:t>
            </w:r>
          </w:p>
        </w:tc>
        <w:tc>
          <w:tcPr>
            <w:tcW w:w="900"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890</w:t>
            </w:r>
          </w:p>
        </w:tc>
        <w:tc>
          <w:tcPr>
            <w:tcW w:w="900"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1.51</w:t>
            </w:r>
          </w:p>
        </w:tc>
        <w:tc>
          <w:tcPr>
            <w:tcW w:w="905"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0.52</w:t>
            </w:r>
          </w:p>
        </w:tc>
        <w:tc>
          <w:tcPr>
            <w:tcW w:w="1826" w:type="dxa"/>
            <w:tcMar>
              <w:top w:w="43" w:type="dxa"/>
              <w:left w:w="115" w:type="dxa"/>
              <w:bottom w:w="43" w:type="dxa"/>
              <w:right w:w="720"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952</w:t>
            </w:r>
          </w:p>
        </w:tc>
      </w:tr>
      <w:tr w:rsidR="002E686E" w:rsidRPr="008809BD" w:rsidTr="002C12C3">
        <w:trPr>
          <w:cantSplit/>
          <w:jc w:val="center"/>
        </w:trPr>
        <w:tc>
          <w:tcPr>
            <w:tcW w:w="1842" w:type="dxa"/>
            <w:shd w:val="clear" w:color="auto" w:fill="FDEED1" w:themeFill="background2" w:themeFillTint="33"/>
            <w:tcMar>
              <w:top w:w="43" w:type="dxa"/>
              <w:left w:w="115" w:type="dxa"/>
              <w:bottom w:w="43" w:type="dxa"/>
              <w:right w:w="115" w:type="dxa"/>
            </w:tcMar>
            <w:vAlign w:val="center"/>
          </w:tcPr>
          <w:p w:rsidR="001B3090" w:rsidRPr="008809BD" w:rsidRDefault="004001CC">
            <w:pPr>
              <w:keepNext/>
              <w:keepLines/>
              <w:spacing w:after="0"/>
              <w:rPr>
                <w:rFonts w:ascii="Arial" w:hAnsi="Arial" w:cs="Arial"/>
                <w:b/>
                <w:sz w:val="18"/>
                <w:szCs w:val="18"/>
              </w:rPr>
            </w:pPr>
            <w:r w:rsidRPr="008809BD">
              <w:rPr>
                <w:rFonts w:ascii="Arial" w:hAnsi="Arial" w:cs="Arial"/>
                <w:b/>
                <w:sz w:val="18"/>
                <w:szCs w:val="18"/>
              </w:rPr>
              <w:t>NYISO (2009)</w:t>
            </w:r>
            <w:r w:rsidR="003542D8" w:rsidRPr="008809BD">
              <w:rPr>
                <w:rFonts w:ascii="Arial" w:hAnsi="Arial" w:cs="Arial"/>
                <w:b/>
                <w:sz w:val="18"/>
                <w:szCs w:val="18"/>
                <w:vertAlign w:val="superscript"/>
              </w:rPr>
              <w:t>(c)</w:t>
            </w:r>
          </w:p>
        </w:tc>
        <w:tc>
          <w:tcPr>
            <w:tcW w:w="900" w:type="dxa"/>
            <w:shd w:val="clear" w:color="auto" w:fill="FDEED1" w:themeFill="background2" w:themeFillTint="33"/>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552</w:t>
            </w:r>
          </w:p>
        </w:tc>
        <w:tc>
          <w:tcPr>
            <w:tcW w:w="900" w:type="dxa"/>
            <w:shd w:val="clear" w:color="auto" w:fill="FDEED1" w:themeFill="background2" w:themeFillTint="33"/>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0.68</w:t>
            </w:r>
          </w:p>
        </w:tc>
        <w:tc>
          <w:tcPr>
            <w:tcW w:w="905" w:type="dxa"/>
            <w:shd w:val="clear" w:color="auto" w:fill="FDEED1" w:themeFill="background2" w:themeFillTint="33"/>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0.52</w:t>
            </w:r>
          </w:p>
        </w:tc>
        <w:tc>
          <w:tcPr>
            <w:tcW w:w="1826" w:type="dxa"/>
            <w:shd w:val="clear" w:color="auto" w:fill="FDEED1" w:themeFill="background2" w:themeFillTint="33"/>
            <w:tcMar>
              <w:top w:w="43" w:type="dxa"/>
              <w:left w:w="115" w:type="dxa"/>
              <w:bottom w:w="43" w:type="dxa"/>
              <w:right w:w="720"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N/A</w:t>
            </w:r>
          </w:p>
        </w:tc>
      </w:tr>
      <w:tr w:rsidR="002E686E" w:rsidRPr="008809BD" w:rsidTr="002C12C3">
        <w:trPr>
          <w:cantSplit/>
          <w:jc w:val="center"/>
        </w:trPr>
        <w:tc>
          <w:tcPr>
            <w:tcW w:w="1842" w:type="dxa"/>
            <w:tcMar>
              <w:top w:w="43" w:type="dxa"/>
              <w:left w:w="115" w:type="dxa"/>
              <w:bottom w:w="43" w:type="dxa"/>
              <w:right w:w="115" w:type="dxa"/>
            </w:tcMar>
            <w:vAlign w:val="center"/>
          </w:tcPr>
          <w:p w:rsidR="001B3090" w:rsidRPr="008809BD" w:rsidRDefault="004001CC">
            <w:pPr>
              <w:keepNext/>
              <w:keepLines/>
              <w:spacing w:after="0"/>
              <w:rPr>
                <w:rFonts w:ascii="Arial" w:hAnsi="Arial" w:cs="Arial"/>
                <w:b/>
                <w:sz w:val="18"/>
                <w:szCs w:val="18"/>
              </w:rPr>
            </w:pPr>
            <w:r w:rsidRPr="008809BD">
              <w:rPr>
                <w:rFonts w:ascii="Arial" w:hAnsi="Arial" w:cs="Arial"/>
                <w:b/>
                <w:sz w:val="18"/>
                <w:szCs w:val="18"/>
              </w:rPr>
              <w:t>PJM (2009)</w:t>
            </w:r>
            <w:r w:rsidR="00B131CC" w:rsidRPr="008809BD">
              <w:rPr>
                <w:rFonts w:ascii="Arial" w:hAnsi="Arial" w:cs="Arial"/>
                <w:b/>
                <w:sz w:val="18"/>
                <w:szCs w:val="18"/>
                <w:vertAlign w:val="superscript"/>
              </w:rPr>
              <w:t>(d)</w:t>
            </w:r>
          </w:p>
        </w:tc>
        <w:tc>
          <w:tcPr>
            <w:tcW w:w="900"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1,137</w:t>
            </w:r>
          </w:p>
        </w:tc>
        <w:tc>
          <w:tcPr>
            <w:tcW w:w="900"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5.78</w:t>
            </w:r>
          </w:p>
        </w:tc>
        <w:tc>
          <w:tcPr>
            <w:tcW w:w="905" w:type="dxa"/>
            <w:tcMar>
              <w:top w:w="43" w:type="dxa"/>
              <w:left w:w="115" w:type="dxa"/>
              <w:bottom w:w="43" w:type="dxa"/>
              <w:right w:w="216"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1.68</w:t>
            </w:r>
          </w:p>
        </w:tc>
        <w:tc>
          <w:tcPr>
            <w:tcW w:w="1826" w:type="dxa"/>
            <w:tcMar>
              <w:top w:w="43" w:type="dxa"/>
              <w:left w:w="115" w:type="dxa"/>
              <w:bottom w:w="43" w:type="dxa"/>
              <w:right w:w="720" w:type="dxa"/>
            </w:tcMar>
            <w:vAlign w:val="center"/>
          </w:tcPr>
          <w:p w:rsidR="001B3090" w:rsidRPr="008809BD" w:rsidRDefault="004001CC" w:rsidP="00C020B4">
            <w:pPr>
              <w:keepNext/>
              <w:keepLines/>
              <w:spacing w:after="0"/>
              <w:jc w:val="right"/>
              <w:rPr>
                <w:rFonts w:ascii="Arial" w:hAnsi="Arial" w:cs="Arial"/>
                <w:sz w:val="18"/>
                <w:szCs w:val="18"/>
              </w:rPr>
            </w:pPr>
            <w:r w:rsidRPr="008809BD">
              <w:rPr>
                <w:rFonts w:ascii="Arial" w:hAnsi="Arial" w:cs="Arial"/>
                <w:sz w:val="18"/>
                <w:szCs w:val="18"/>
              </w:rPr>
              <w:t>1,823</w:t>
            </w:r>
          </w:p>
        </w:tc>
      </w:tr>
    </w:tbl>
    <w:p w:rsidR="001B3090" w:rsidRPr="008809BD" w:rsidRDefault="00987991" w:rsidP="00D70F17">
      <w:pPr>
        <w:pStyle w:val="Default"/>
        <w:keepNext/>
        <w:keepLines/>
        <w:spacing w:before="80" w:after="80"/>
        <w:ind w:left="1800" w:right="1440" w:hanging="270"/>
        <w:rPr>
          <w:rFonts w:ascii="Arial" w:hAnsi="Arial" w:cs="Arial"/>
          <w:b/>
          <w:sz w:val="16"/>
          <w:szCs w:val="16"/>
        </w:rPr>
      </w:pPr>
      <w:r w:rsidRPr="008809BD">
        <w:rPr>
          <w:rFonts w:ascii="Arial" w:hAnsi="Arial" w:cs="Arial"/>
          <w:sz w:val="16"/>
          <w:szCs w:val="16"/>
        </w:rPr>
        <w:t>(a)</w:t>
      </w:r>
      <w:r w:rsidRPr="008809BD">
        <w:rPr>
          <w:rFonts w:ascii="Arial" w:hAnsi="Arial" w:cs="Arial"/>
          <w:b/>
          <w:sz w:val="16"/>
          <w:szCs w:val="16"/>
        </w:rPr>
        <w:t xml:space="preserve"> </w:t>
      </w:r>
      <w:r w:rsidR="00D70F17">
        <w:rPr>
          <w:rFonts w:ascii="Arial" w:hAnsi="Arial" w:cs="Arial"/>
          <w:b/>
          <w:sz w:val="16"/>
          <w:szCs w:val="16"/>
        </w:rPr>
        <w:tab/>
      </w:r>
      <w:r w:rsidRPr="008809BD">
        <w:rPr>
          <w:rFonts w:ascii="Arial" w:hAnsi="Arial" w:cs="Arial"/>
          <w:sz w:val="16"/>
          <w:szCs w:val="16"/>
        </w:rPr>
        <w:t>The calculation methods for the ISO and PJM were different for these on-peak marginal CO</w:t>
      </w:r>
      <w:r w:rsidRPr="008809BD">
        <w:rPr>
          <w:rFonts w:ascii="Arial" w:hAnsi="Arial" w:cs="Arial"/>
          <w:sz w:val="16"/>
          <w:szCs w:val="16"/>
          <w:vertAlign w:val="subscript"/>
        </w:rPr>
        <w:t>2</w:t>
      </w:r>
      <w:r w:rsidRPr="008809BD">
        <w:rPr>
          <w:rFonts w:ascii="Arial" w:hAnsi="Arial" w:cs="Arial"/>
          <w:sz w:val="16"/>
          <w:szCs w:val="16"/>
        </w:rPr>
        <w:t xml:space="preserve"> costs. The ISO method was based on all the oil and gas generation marginal units for the on-peak period. PJM’s method </w:t>
      </w:r>
      <w:r w:rsidR="001E36AC" w:rsidRPr="008809BD">
        <w:rPr>
          <w:rFonts w:ascii="Arial" w:hAnsi="Arial" w:cs="Arial"/>
          <w:sz w:val="16"/>
          <w:szCs w:val="16"/>
        </w:rPr>
        <w:t>wa</w:t>
      </w:r>
      <w:r w:rsidRPr="008809BD">
        <w:rPr>
          <w:rFonts w:ascii="Arial" w:hAnsi="Arial" w:cs="Arial"/>
          <w:sz w:val="16"/>
          <w:szCs w:val="16"/>
        </w:rPr>
        <w:t>s based on the marginal unit or units that set the five-minute LMP over PJM’s on-peak period.</w:t>
      </w:r>
    </w:p>
    <w:p w:rsidR="001B3090" w:rsidRPr="008809BD" w:rsidRDefault="00987991" w:rsidP="00D70F17">
      <w:pPr>
        <w:pStyle w:val="Default"/>
        <w:keepNext/>
        <w:keepLines/>
        <w:spacing w:after="80"/>
        <w:ind w:left="1800" w:right="1440" w:hanging="270"/>
        <w:rPr>
          <w:sz w:val="18"/>
        </w:rPr>
      </w:pPr>
      <w:r w:rsidRPr="008809BD">
        <w:rPr>
          <w:rFonts w:ascii="Arial" w:hAnsi="Arial" w:cs="Arial"/>
          <w:sz w:val="16"/>
          <w:szCs w:val="16"/>
        </w:rPr>
        <w:t>(b)</w:t>
      </w:r>
      <w:r w:rsidR="00B55D4E" w:rsidRPr="008809BD">
        <w:rPr>
          <w:rFonts w:ascii="Arial" w:hAnsi="Arial" w:cs="Arial"/>
          <w:sz w:val="16"/>
          <w:szCs w:val="16"/>
        </w:rPr>
        <w:t xml:space="preserve"> </w:t>
      </w:r>
      <w:r w:rsidR="00D70F17">
        <w:rPr>
          <w:rFonts w:ascii="Arial" w:hAnsi="Arial" w:cs="Arial"/>
          <w:sz w:val="16"/>
          <w:szCs w:val="16"/>
        </w:rPr>
        <w:tab/>
      </w:r>
      <w:r w:rsidRPr="008809BD">
        <w:rPr>
          <w:rFonts w:ascii="Arial" w:hAnsi="Arial" w:cs="Arial"/>
          <w:i/>
          <w:sz w:val="16"/>
          <w:szCs w:val="16"/>
        </w:rPr>
        <w:t>2008</w:t>
      </w:r>
      <w:r w:rsidRPr="008809BD">
        <w:rPr>
          <w:rFonts w:ascii="Arial" w:hAnsi="Arial" w:cs="Arial"/>
          <w:sz w:val="16"/>
          <w:szCs w:val="16"/>
        </w:rPr>
        <w:t xml:space="preserve"> </w:t>
      </w:r>
      <w:r w:rsidRPr="008809BD">
        <w:rPr>
          <w:rFonts w:ascii="Arial" w:hAnsi="Arial" w:cs="Arial"/>
          <w:i/>
          <w:sz w:val="16"/>
          <w:szCs w:val="16"/>
        </w:rPr>
        <w:t xml:space="preserve">New England Electric Generator Air Emissions Report </w:t>
      </w:r>
      <w:r w:rsidRPr="008809BD">
        <w:rPr>
          <w:rFonts w:ascii="Arial" w:hAnsi="Arial" w:cs="Arial"/>
          <w:sz w:val="16"/>
          <w:szCs w:val="16"/>
        </w:rPr>
        <w:t xml:space="preserve">(August 18, 2010); </w:t>
      </w:r>
      <w:hyperlink r:id="rId46" w:history="1">
        <w:r w:rsidR="003542D8" w:rsidRPr="008809BD">
          <w:rPr>
            <w:rStyle w:val="Hyperlink"/>
            <w:rFonts w:ascii="Arial" w:hAnsi="Arial" w:cs="Arial"/>
            <w:color w:val="000000" w:themeColor="text1"/>
            <w:sz w:val="16"/>
            <w:szCs w:val="16"/>
            <w:u w:val="none"/>
          </w:rPr>
          <w:t>http://www.iso-ne.com/genrtion_resrcs/reports/emission/index.html</w:t>
        </w:r>
      </w:hyperlink>
      <w:r w:rsidRPr="008809BD">
        <w:rPr>
          <w:rFonts w:ascii="Arial" w:hAnsi="Arial" w:cs="Arial"/>
          <w:sz w:val="16"/>
          <w:szCs w:val="16"/>
        </w:rPr>
        <w:t>.</w:t>
      </w:r>
    </w:p>
    <w:p w:rsidR="001B3090" w:rsidRPr="008809BD" w:rsidRDefault="00987991" w:rsidP="00D70F17">
      <w:pPr>
        <w:pStyle w:val="Default"/>
        <w:keepNext/>
        <w:keepLines/>
        <w:spacing w:after="80"/>
        <w:ind w:left="1800" w:right="1440" w:hanging="270"/>
        <w:rPr>
          <w:rFonts w:ascii="Arial" w:hAnsi="Arial" w:cs="Arial"/>
          <w:sz w:val="16"/>
          <w:szCs w:val="16"/>
        </w:rPr>
      </w:pPr>
      <w:r w:rsidRPr="008809BD">
        <w:rPr>
          <w:rFonts w:ascii="Arial" w:hAnsi="Arial" w:cs="Arial"/>
          <w:sz w:val="16"/>
          <w:szCs w:val="16"/>
        </w:rPr>
        <w:t xml:space="preserve">(c) </w:t>
      </w:r>
      <w:r w:rsidR="00D70F17">
        <w:rPr>
          <w:rFonts w:ascii="Arial" w:hAnsi="Arial" w:cs="Arial"/>
          <w:sz w:val="16"/>
          <w:szCs w:val="16"/>
        </w:rPr>
        <w:tab/>
      </w:r>
      <w:r w:rsidRPr="008809BD">
        <w:rPr>
          <w:rFonts w:ascii="Arial" w:hAnsi="Arial" w:cs="Arial"/>
          <w:sz w:val="16"/>
          <w:szCs w:val="16"/>
        </w:rPr>
        <w:t xml:space="preserve">P. Carney </w:t>
      </w:r>
      <w:r w:rsidR="00D8163E">
        <w:rPr>
          <w:rFonts w:ascii="Arial" w:hAnsi="Arial" w:cs="Arial"/>
          <w:sz w:val="16"/>
          <w:szCs w:val="16"/>
        </w:rPr>
        <w:t>(</w:t>
      </w:r>
      <w:r w:rsidR="00B131CC" w:rsidRPr="008809BD">
        <w:rPr>
          <w:rFonts w:ascii="Arial" w:hAnsi="Arial" w:cs="Arial"/>
          <w:sz w:val="16"/>
          <w:szCs w:val="16"/>
        </w:rPr>
        <w:t>NYISO</w:t>
      </w:r>
      <w:r w:rsidR="00D8163E">
        <w:rPr>
          <w:rFonts w:ascii="Arial" w:hAnsi="Arial" w:cs="Arial"/>
          <w:sz w:val="16"/>
          <w:szCs w:val="16"/>
        </w:rPr>
        <w:t>)</w:t>
      </w:r>
      <w:r w:rsidR="00B131CC" w:rsidRPr="008809BD">
        <w:rPr>
          <w:rFonts w:ascii="Arial" w:hAnsi="Arial" w:cs="Arial"/>
          <w:sz w:val="16"/>
          <w:szCs w:val="16"/>
        </w:rPr>
        <w:t xml:space="preserve"> </w:t>
      </w:r>
      <w:r w:rsidR="00D8163E">
        <w:rPr>
          <w:rFonts w:ascii="Arial" w:hAnsi="Arial" w:cs="Arial"/>
          <w:sz w:val="16"/>
          <w:szCs w:val="16"/>
        </w:rPr>
        <w:t>e</w:t>
      </w:r>
      <w:r w:rsidR="00374E9F">
        <w:rPr>
          <w:rFonts w:ascii="Arial" w:hAnsi="Arial" w:cs="Arial"/>
          <w:sz w:val="16"/>
          <w:szCs w:val="16"/>
        </w:rPr>
        <w:t>-</w:t>
      </w:r>
      <w:r w:rsidR="00D8163E">
        <w:rPr>
          <w:rFonts w:ascii="Arial" w:hAnsi="Arial" w:cs="Arial"/>
          <w:sz w:val="16"/>
          <w:szCs w:val="16"/>
        </w:rPr>
        <w:t xml:space="preserve">mail </w:t>
      </w:r>
      <w:r w:rsidRPr="008809BD">
        <w:rPr>
          <w:rFonts w:ascii="Arial" w:hAnsi="Arial" w:cs="Arial"/>
          <w:sz w:val="16"/>
          <w:szCs w:val="16"/>
        </w:rPr>
        <w:t xml:space="preserve">to M. Henderson </w:t>
      </w:r>
      <w:r w:rsidR="00D8163E">
        <w:rPr>
          <w:rFonts w:ascii="Arial" w:hAnsi="Arial" w:cs="Arial"/>
          <w:sz w:val="16"/>
          <w:szCs w:val="16"/>
        </w:rPr>
        <w:t xml:space="preserve">(ISO) </w:t>
      </w:r>
      <w:r w:rsidRPr="008809BD">
        <w:rPr>
          <w:rFonts w:ascii="Arial" w:hAnsi="Arial" w:cs="Arial"/>
          <w:sz w:val="16"/>
          <w:szCs w:val="16"/>
        </w:rPr>
        <w:t xml:space="preserve">(April 28 2010). </w:t>
      </w:r>
    </w:p>
    <w:p w:rsidR="001B3090" w:rsidRDefault="00987991" w:rsidP="00D70F17">
      <w:pPr>
        <w:pStyle w:val="Default"/>
        <w:spacing w:after="240"/>
        <w:ind w:left="1800" w:right="1440" w:hanging="270"/>
        <w:rPr>
          <w:rFonts w:ascii="Arial" w:hAnsi="Arial" w:cs="Arial"/>
          <w:sz w:val="16"/>
          <w:szCs w:val="16"/>
        </w:rPr>
      </w:pPr>
      <w:r w:rsidRPr="008809BD">
        <w:rPr>
          <w:rFonts w:ascii="Arial" w:hAnsi="Arial" w:cs="Arial"/>
          <w:sz w:val="16"/>
          <w:szCs w:val="16"/>
        </w:rPr>
        <w:t>(d)</w:t>
      </w:r>
      <w:r w:rsidR="00B131CC" w:rsidRPr="008809BD">
        <w:rPr>
          <w:rFonts w:ascii="Arial" w:hAnsi="Arial" w:cs="Arial"/>
          <w:sz w:val="16"/>
          <w:szCs w:val="16"/>
        </w:rPr>
        <w:t xml:space="preserve"> </w:t>
      </w:r>
      <w:r w:rsidR="00D70F17">
        <w:rPr>
          <w:rFonts w:ascii="Arial" w:hAnsi="Arial" w:cs="Arial"/>
          <w:sz w:val="16"/>
          <w:szCs w:val="16"/>
        </w:rPr>
        <w:tab/>
      </w:r>
      <w:r w:rsidR="00B131CC" w:rsidRPr="008809BD">
        <w:rPr>
          <w:rFonts w:ascii="Arial" w:hAnsi="Arial" w:cs="Arial"/>
          <w:sz w:val="16"/>
          <w:szCs w:val="16"/>
        </w:rPr>
        <w:t xml:space="preserve">C, Liebold </w:t>
      </w:r>
      <w:r w:rsidR="00D8163E">
        <w:rPr>
          <w:rFonts w:ascii="Arial" w:hAnsi="Arial" w:cs="Arial"/>
          <w:sz w:val="16"/>
          <w:szCs w:val="16"/>
        </w:rPr>
        <w:t>(PJM) e</w:t>
      </w:r>
      <w:r w:rsidR="00374E9F">
        <w:rPr>
          <w:rFonts w:ascii="Arial" w:hAnsi="Arial" w:cs="Arial"/>
          <w:sz w:val="16"/>
          <w:szCs w:val="16"/>
        </w:rPr>
        <w:t>-</w:t>
      </w:r>
      <w:r w:rsidR="00D8163E">
        <w:rPr>
          <w:rFonts w:ascii="Arial" w:hAnsi="Arial" w:cs="Arial"/>
          <w:sz w:val="16"/>
          <w:szCs w:val="16"/>
        </w:rPr>
        <w:t xml:space="preserve">mail </w:t>
      </w:r>
      <w:r w:rsidR="00B131CC" w:rsidRPr="008809BD">
        <w:rPr>
          <w:rFonts w:ascii="Arial" w:hAnsi="Arial" w:cs="Arial"/>
          <w:sz w:val="16"/>
          <w:szCs w:val="16"/>
        </w:rPr>
        <w:t>to the</w:t>
      </w:r>
      <w:r w:rsidR="00AA5ED4" w:rsidRPr="008809BD">
        <w:t xml:space="preserve"> </w:t>
      </w:r>
      <w:r w:rsidR="00AA5ED4" w:rsidRPr="008809BD">
        <w:rPr>
          <w:rFonts w:ascii="Arial" w:hAnsi="Arial" w:cs="Arial"/>
          <w:sz w:val="16"/>
          <w:szCs w:val="16"/>
        </w:rPr>
        <w:t xml:space="preserve">Joint Independent System Operator/Regional Transmission Organization </w:t>
      </w:r>
      <w:r w:rsidR="008809BD" w:rsidRPr="008809BD">
        <w:rPr>
          <w:rFonts w:ascii="Arial" w:hAnsi="Arial" w:cs="Arial"/>
          <w:sz w:val="16"/>
          <w:szCs w:val="16"/>
        </w:rPr>
        <w:t>(</w:t>
      </w:r>
      <w:r w:rsidR="00AA5ED4" w:rsidRPr="008809BD">
        <w:rPr>
          <w:rFonts w:ascii="Arial" w:hAnsi="Arial" w:cs="Arial"/>
          <w:sz w:val="16"/>
          <w:szCs w:val="16"/>
        </w:rPr>
        <w:t>ISO/RTO</w:t>
      </w:r>
      <w:r w:rsidR="008809BD" w:rsidRPr="008809BD">
        <w:rPr>
          <w:rFonts w:ascii="Arial" w:hAnsi="Arial" w:cs="Arial"/>
          <w:sz w:val="16"/>
          <w:szCs w:val="16"/>
        </w:rPr>
        <w:t>)</w:t>
      </w:r>
      <w:r w:rsidR="00AA5ED4" w:rsidRPr="008809BD">
        <w:rPr>
          <w:rFonts w:ascii="Arial" w:hAnsi="Arial" w:cs="Arial"/>
          <w:sz w:val="16"/>
          <w:szCs w:val="16"/>
        </w:rPr>
        <w:t xml:space="preserve"> Planning Committee</w:t>
      </w:r>
      <w:r w:rsidR="00B131CC" w:rsidRPr="008809BD">
        <w:rPr>
          <w:rFonts w:ascii="Arial" w:hAnsi="Arial" w:cs="Arial"/>
          <w:sz w:val="16"/>
          <w:szCs w:val="16"/>
        </w:rPr>
        <w:t xml:space="preserve"> </w:t>
      </w:r>
      <w:r w:rsidR="00AA5ED4" w:rsidRPr="008809BD">
        <w:rPr>
          <w:rFonts w:ascii="Arial" w:hAnsi="Arial" w:cs="Arial"/>
          <w:sz w:val="16"/>
          <w:szCs w:val="16"/>
        </w:rPr>
        <w:t>(</w:t>
      </w:r>
      <w:r w:rsidR="00B131CC" w:rsidRPr="008809BD">
        <w:rPr>
          <w:rFonts w:ascii="Arial" w:hAnsi="Arial" w:cs="Arial"/>
          <w:sz w:val="16"/>
          <w:szCs w:val="16"/>
        </w:rPr>
        <w:t>JIPC</w:t>
      </w:r>
      <w:r w:rsidR="00AA5ED4" w:rsidRPr="008809BD">
        <w:rPr>
          <w:rFonts w:ascii="Arial" w:hAnsi="Arial" w:cs="Arial"/>
          <w:sz w:val="16"/>
          <w:szCs w:val="16"/>
        </w:rPr>
        <w:t>)</w:t>
      </w:r>
      <w:r w:rsidR="00B131CC" w:rsidRPr="008809BD">
        <w:rPr>
          <w:rFonts w:ascii="Arial" w:hAnsi="Arial" w:cs="Arial"/>
          <w:sz w:val="16"/>
          <w:szCs w:val="16"/>
        </w:rPr>
        <w:t xml:space="preserve"> (April 28, 2010).</w:t>
      </w:r>
      <w:r w:rsidR="00D8163E">
        <w:rPr>
          <w:rFonts w:ascii="Arial" w:hAnsi="Arial" w:cs="Arial"/>
          <w:sz w:val="16"/>
          <w:szCs w:val="16"/>
        </w:rPr>
        <w:t xml:space="preserve"> PJM, </w:t>
      </w:r>
      <w:r w:rsidR="004001CC" w:rsidRPr="008809BD">
        <w:rPr>
          <w:rFonts w:ascii="Arial" w:hAnsi="Arial" w:cs="Arial"/>
          <w:sz w:val="16"/>
          <w:szCs w:val="16"/>
        </w:rPr>
        <w:t xml:space="preserve">“PJM </w:t>
      </w:r>
      <w:r w:rsidRPr="008809BD">
        <w:rPr>
          <w:rFonts w:ascii="Arial" w:hAnsi="Arial" w:cs="Arial"/>
          <w:sz w:val="16"/>
          <w:szCs w:val="16"/>
        </w:rPr>
        <w:t xml:space="preserve">Reports New Carbon Dioxide Emissions Data,” </w:t>
      </w:r>
      <w:r w:rsidR="00D8163E">
        <w:rPr>
          <w:rFonts w:ascii="Arial" w:hAnsi="Arial" w:cs="Arial"/>
          <w:sz w:val="16"/>
          <w:szCs w:val="16"/>
        </w:rPr>
        <w:t>n</w:t>
      </w:r>
      <w:r w:rsidRPr="008809BD">
        <w:rPr>
          <w:rFonts w:ascii="Arial" w:hAnsi="Arial" w:cs="Arial"/>
          <w:sz w:val="16"/>
          <w:szCs w:val="16"/>
        </w:rPr>
        <w:t xml:space="preserve">ews </w:t>
      </w:r>
      <w:r w:rsidR="00D8163E">
        <w:rPr>
          <w:rFonts w:ascii="Arial" w:hAnsi="Arial" w:cs="Arial"/>
          <w:sz w:val="16"/>
          <w:szCs w:val="16"/>
        </w:rPr>
        <w:t>r</w:t>
      </w:r>
      <w:r w:rsidRPr="008809BD">
        <w:rPr>
          <w:rFonts w:ascii="Arial" w:hAnsi="Arial" w:cs="Arial"/>
          <w:sz w:val="16"/>
          <w:szCs w:val="16"/>
        </w:rPr>
        <w:t xml:space="preserve">elease (March 25, 2010); </w:t>
      </w:r>
      <w:hyperlink r:id="rId47" w:history="1">
        <w:r w:rsidR="003542D8" w:rsidRPr="008809BD">
          <w:rPr>
            <w:rStyle w:val="Hyperlink"/>
            <w:rFonts w:ascii="Arial" w:hAnsi="Arial" w:cs="Arial"/>
            <w:color w:val="000000" w:themeColor="text1"/>
            <w:sz w:val="16"/>
            <w:szCs w:val="16"/>
            <w:u w:val="none"/>
          </w:rPr>
          <w:t>http://www.pjm.com/~/media/about-pjm/newsroom/2010-releases/20100325-pjm-reports-new-carbon-dioxide-emissions-data.ashx</w:t>
        </w:r>
      </w:hyperlink>
      <w:r w:rsidRPr="008809BD">
        <w:rPr>
          <w:rFonts w:ascii="Arial" w:hAnsi="Arial" w:cs="Arial"/>
          <w:color w:val="000000" w:themeColor="text1"/>
          <w:sz w:val="16"/>
          <w:szCs w:val="16"/>
        </w:rPr>
        <w:t>.</w:t>
      </w:r>
      <w:r w:rsidRPr="00987991">
        <w:rPr>
          <w:rFonts w:ascii="Arial" w:hAnsi="Arial" w:cs="Arial"/>
          <w:sz w:val="16"/>
          <w:szCs w:val="16"/>
        </w:rPr>
        <w:t xml:space="preserve"> </w:t>
      </w:r>
    </w:p>
    <w:p w:rsidR="001B3090" w:rsidRDefault="004001CC" w:rsidP="00B43460">
      <w:pPr>
        <w:pStyle w:val="Heading2"/>
        <w:keepNext w:val="0"/>
        <w:keepLines w:val="0"/>
      </w:pPr>
      <w:bookmarkStart w:id="605" w:name="_Toc271632287"/>
      <w:r w:rsidRPr="00166976">
        <w:t>Peak-Day NO</w:t>
      </w:r>
      <w:r w:rsidRPr="00166976">
        <w:rPr>
          <w:vertAlign w:val="subscript"/>
        </w:rPr>
        <w:t>x</w:t>
      </w:r>
      <w:r w:rsidRPr="00166976">
        <w:t xml:space="preserve"> Analysis</w:t>
      </w:r>
      <w:bookmarkEnd w:id="605"/>
    </w:p>
    <w:p w:rsidR="0071128F" w:rsidRDefault="004001CC" w:rsidP="00E63C1F">
      <w:r w:rsidRPr="00166976">
        <w:t xml:space="preserve">At the request of stakeholders, </w:t>
      </w:r>
      <w:r>
        <w:t xml:space="preserve">the </w:t>
      </w:r>
      <w:r w:rsidRPr="00166976">
        <w:t xml:space="preserve">ISO </w:t>
      </w:r>
      <w:r w:rsidR="0071128F">
        <w:t>ha</w:t>
      </w:r>
      <w:r w:rsidR="001E36AC">
        <w:t>s</w:t>
      </w:r>
      <w:r w:rsidR="0071128F">
        <w:t xml:space="preserve"> been </w:t>
      </w:r>
      <w:r w:rsidRPr="00166976">
        <w:t>conduct</w:t>
      </w:r>
      <w:r w:rsidR="0071128F">
        <w:t>ing</w:t>
      </w:r>
      <w:r w:rsidRPr="00166976">
        <w:t xml:space="preserve"> a NO</w:t>
      </w:r>
      <w:r w:rsidRPr="00166976">
        <w:rPr>
          <w:vertAlign w:val="subscript"/>
        </w:rPr>
        <w:t>X</w:t>
      </w:r>
      <w:r w:rsidRPr="00166976">
        <w:t xml:space="preserve"> emissions analysis of the five</w:t>
      </w:r>
      <w:r>
        <w:t>-</w:t>
      </w:r>
      <w:r w:rsidRPr="00166976">
        <w:t xml:space="preserve">highest peak-load days for </w:t>
      </w:r>
      <w:r w:rsidR="00987991" w:rsidRPr="00987991">
        <w:t xml:space="preserve">2005 to 2008. </w:t>
      </w:r>
      <w:r w:rsidR="001E36AC">
        <w:t xml:space="preserve">While the ISO is in the process of </w:t>
      </w:r>
      <w:r w:rsidR="008809BD">
        <w:t xml:space="preserve">refining the results for </w:t>
      </w:r>
      <w:r w:rsidR="00987991" w:rsidRPr="00987991">
        <w:t xml:space="preserve">the five-highest peak-load days </w:t>
      </w:r>
      <w:r w:rsidR="001E36AC">
        <w:t xml:space="preserve">for 2009, some </w:t>
      </w:r>
      <w:r w:rsidR="00987991" w:rsidRPr="00987991">
        <w:t>interim results are reported here.</w:t>
      </w:r>
      <w:r w:rsidR="0071128F">
        <w:t xml:space="preserve"> </w:t>
      </w:r>
    </w:p>
    <w:p w:rsidR="004001CC" w:rsidRDefault="004001CC" w:rsidP="00073277">
      <w:r w:rsidRPr="00166976">
        <w:t xml:space="preserve">Using mostly </w:t>
      </w:r>
      <w:r w:rsidR="0071128F">
        <w:t xml:space="preserve">generator </w:t>
      </w:r>
      <w:r w:rsidR="00853908">
        <w:t xml:space="preserve">emissions from </w:t>
      </w:r>
      <w:r w:rsidRPr="00550C10">
        <w:t xml:space="preserve">EPA </w:t>
      </w:r>
      <w:r w:rsidR="00853908">
        <w:t>m</w:t>
      </w:r>
      <w:r w:rsidRPr="00D3526C">
        <w:t xml:space="preserve">arket </w:t>
      </w:r>
      <w:r w:rsidR="00853908">
        <w:t>d</w:t>
      </w:r>
      <w:r w:rsidRPr="00D3526C">
        <w:t xml:space="preserve">ata and </w:t>
      </w:r>
      <w:r w:rsidR="00853908">
        <w:t>m</w:t>
      </w:r>
      <w:r w:rsidRPr="00D3526C">
        <w:t>aps</w:t>
      </w:r>
      <w:r>
        <w:t>,</w:t>
      </w:r>
      <w:r w:rsidRPr="00166976">
        <w:t xml:space="preserve"> </w:t>
      </w:r>
      <w:r>
        <w:t xml:space="preserve">with </w:t>
      </w:r>
      <w:r w:rsidRPr="00166976">
        <w:t>supplement</w:t>
      </w:r>
      <w:r>
        <w:t xml:space="preserve">al </w:t>
      </w:r>
      <w:r w:rsidRPr="00166976">
        <w:t xml:space="preserve">ISO calculations for smaller units, </w:t>
      </w:r>
      <w:r>
        <w:t xml:space="preserve">the ISO developed </w:t>
      </w:r>
      <w:r w:rsidRPr="00166976">
        <w:t>hourly NO</w:t>
      </w:r>
      <w:r w:rsidRPr="00166976">
        <w:rPr>
          <w:vertAlign w:val="subscript"/>
        </w:rPr>
        <w:t>X</w:t>
      </w:r>
      <w:r w:rsidRPr="00166976">
        <w:t xml:space="preserve"> profiles</w:t>
      </w:r>
      <w:r w:rsidR="00022DBF">
        <w:t xml:space="preserve"> for the five-highest peak-load days for 2005 to 2008</w:t>
      </w:r>
      <w:r>
        <w:t>,</w:t>
      </w:r>
      <w:r w:rsidRPr="00166976">
        <w:t xml:space="preserve"> as s</w:t>
      </w:r>
      <w:r>
        <w:t>hown</w:t>
      </w:r>
      <w:r w:rsidRPr="00166976">
        <w:t xml:space="preserve"> in </w:t>
      </w:r>
      <w:r w:rsidR="00832C7A">
        <w:fldChar w:fldCharType="begin"/>
      </w:r>
      <w:r w:rsidR="009E0B7B">
        <w:instrText xml:space="preserve"> REF _Ref262122916 \h </w:instrText>
      </w:r>
      <w:r w:rsidR="00832C7A">
        <w:fldChar w:fldCharType="separate"/>
      </w:r>
      <w:r w:rsidR="00E5699E">
        <w:t xml:space="preserve">Figure </w:t>
      </w:r>
      <w:r w:rsidR="00E5699E">
        <w:rPr>
          <w:noProof/>
        </w:rPr>
        <w:t>8</w:t>
      </w:r>
      <w:r w:rsidR="00E5699E">
        <w:noBreakHyphen/>
      </w:r>
      <w:r w:rsidR="00E5699E">
        <w:rPr>
          <w:noProof/>
        </w:rPr>
        <w:t>2</w:t>
      </w:r>
      <w:r w:rsidR="00832C7A">
        <w:fldChar w:fldCharType="end"/>
      </w:r>
      <w:r w:rsidRPr="00166976">
        <w:t>.</w:t>
      </w:r>
      <w:r w:rsidRPr="008809BD">
        <w:rPr>
          <w:rStyle w:val="FootnoteReference"/>
          <w:sz w:val="22"/>
        </w:rPr>
        <w:footnoteReference w:id="218"/>
      </w:r>
      <w:r w:rsidRPr="008809BD">
        <w:t xml:space="preserve"> </w:t>
      </w:r>
      <w:r w:rsidR="00495CF6">
        <w:t xml:space="preserve">The figure </w:t>
      </w:r>
      <w:r w:rsidR="00495CF6" w:rsidRPr="006A7038">
        <w:t xml:space="preserve">shows that </w:t>
      </w:r>
      <w:r w:rsidR="00495CF6" w:rsidRPr="00D36DDD">
        <w:t>over the 20 peak</w:t>
      </w:r>
      <w:r w:rsidR="00495CF6" w:rsidRPr="006A7038">
        <w:t xml:space="preserve">-load days, the </w:t>
      </w:r>
      <w:r w:rsidR="00495CF6">
        <w:t xml:space="preserve">generator system </w:t>
      </w:r>
      <w:r w:rsidR="00495CF6" w:rsidRPr="006A7038">
        <w:t>NO</w:t>
      </w:r>
      <w:r w:rsidR="00495CF6" w:rsidRPr="006A7038">
        <w:rPr>
          <w:vertAlign w:val="subscript"/>
        </w:rPr>
        <w:t>X</w:t>
      </w:r>
      <w:r w:rsidR="00495CF6" w:rsidRPr="006A7038">
        <w:t xml:space="preserve"> emissions </w:t>
      </w:r>
      <w:r w:rsidR="00495CF6">
        <w:t xml:space="preserve">during peak hours </w:t>
      </w:r>
      <w:r w:rsidR="00495CF6" w:rsidRPr="006A7038">
        <w:t>varied from a</w:t>
      </w:r>
      <w:r w:rsidR="00495CF6">
        <w:t>bout</w:t>
      </w:r>
      <w:r w:rsidR="00495CF6" w:rsidRPr="006A7038">
        <w:t xml:space="preserve"> 6 to 13 tons/h</w:t>
      </w:r>
      <w:r w:rsidR="00495CF6">
        <w:t>ou</w:t>
      </w:r>
      <w:r w:rsidR="00495CF6" w:rsidRPr="006A7038">
        <w:t>r</w:t>
      </w:r>
      <w:r w:rsidR="00495CF6">
        <w:t xml:space="preserve"> total</w:t>
      </w:r>
      <w:r w:rsidR="00495CF6" w:rsidRPr="006A7038">
        <w:t>. Cumulative 24-hour data show that the</w:t>
      </w:r>
      <w:r w:rsidR="00495CF6" w:rsidRPr="00F227A0">
        <w:t xml:space="preserve"> total </w:t>
      </w:r>
      <w:r w:rsidR="00495CF6" w:rsidRPr="004116BF">
        <w:t>daily NO</w:t>
      </w:r>
      <w:r w:rsidR="00495CF6" w:rsidRPr="004116BF">
        <w:rPr>
          <w:vertAlign w:val="subscript"/>
        </w:rPr>
        <w:t>X</w:t>
      </w:r>
      <w:r w:rsidR="00495CF6" w:rsidRPr="004116BF">
        <w:t xml:space="preserve"> emissions</w:t>
      </w:r>
      <w:r w:rsidR="00495CF6">
        <w:t xml:space="preserve"> </w:t>
      </w:r>
      <w:r w:rsidR="00495CF6" w:rsidRPr="00F227A0">
        <w:t>varied from 122 to 225</w:t>
      </w:r>
      <w:r w:rsidR="00495CF6">
        <w:t> </w:t>
      </w:r>
      <w:r w:rsidR="00495CF6" w:rsidRPr="00F227A0">
        <w:t>tons</w:t>
      </w:r>
      <w:r w:rsidR="00495CF6">
        <w:t>/</w:t>
      </w:r>
      <w:r w:rsidR="00495CF6" w:rsidRPr="00F227A0">
        <w:t>day over the 20 days.</w:t>
      </w:r>
    </w:p>
    <w:p w:rsidR="004001CC" w:rsidRDefault="00CF4761" w:rsidP="0073464F">
      <w:pPr>
        <w:keepNext/>
        <w:keepLines/>
        <w:spacing w:after="0" w:line="240" w:lineRule="auto"/>
        <w:jc w:val="center"/>
        <w:rPr>
          <w:rFonts w:cs="Times New Roman"/>
        </w:rPr>
      </w:pPr>
      <w:r w:rsidRPr="00CF4761">
        <w:rPr>
          <w:noProof/>
        </w:rPr>
        <w:drawing>
          <wp:inline distT="0" distB="0" distL="0" distR="0">
            <wp:extent cx="4861866" cy="3110927"/>
            <wp:effectExtent l="19050" t="19050" r="14934" b="13273"/>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4850865" cy="3103888"/>
                    </a:xfrm>
                    <a:prstGeom prst="rect">
                      <a:avLst/>
                    </a:prstGeom>
                    <a:noFill/>
                    <a:ln w="3175">
                      <a:solidFill>
                        <a:schemeClr val="tx1"/>
                      </a:solidFill>
                      <a:miter lim="800000"/>
                      <a:headEnd/>
                      <a:tailEnd/>
                    </a:ln>
                  </pic:spPr>
                </pic:pic>
              </a:graphicData>
            </a:graphic>
          </wp:inline>
        </w:drawing>
      </w:r>
    </w:p>
    <w:p w:rsidR="004001CC" w:rsidRDefault="00367A16" w:rsidP="0073464F">
      <w:pPr>
        <w:pStyle w:val="Caption-Figure"/>
        <w:tabs>
          <w:tab w:val="left" w:pos="9180"/>
        </w:tabs>
        <w:spacing w:after="80"/>
        <w:ind w:left="900" w:right="810"/>
      </w:pPr>
      <w:bookmarkStart w:id="606" w:name="_Ref262122916"/>
      <w:bookmarkStart w:id="607" w:name="_Toc271552382"/>
      <w:r>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606"/>
      <w:r w:rsidR="004001CC" w:rsidRPr="00166976">
        <w:t xml:space="preserve">: New England </w:t>
      </w:r>
      <w:r w:rsidR="004001CC">
        <w:t xml:space="preserve">system </w:t>
      </w:r>
      <w:r w:rsidR="004001CC" w:rsidRPr="00022DBF">
        <w:t>generation hourly NO</w:t>
      </w:r>
      <w:r w:rsidR="004001CC" w:rsidRPr="00022DBF">
        <w:rPr>
          <w:vertAlign w:val="subscript"/>
        </w:rPr>
        <w:t>X</w:t>
      </w:r>
      <w:r w:rsidR="004001CC" w:rsidRPr="00022DBF">
        <w:t xml:space="preserve"> emissions on the five highest peak-load days, </w:t>
      </w:r>
      <w:r w:rsidR="00987991" w:rsidRPr="00022DBF">
        <w:t>2005 to 2</w:t>
      </w:r>
      <w:r w:rsidR="00987991" w:rsidRPr="00987991">
        <w:t>008.</w:t>
      </w:r>
      <w:bookmarkEnd w:id="607"/>
    </w:p>
    <w:p w:rsidR="004001CC" w:rsidRDefault="004001CC" w:rsidP="009E779D">
      <w:pPr>
        <w:pStyle w:val="Caption-Figure"/>
        <w:keepNext w:val="0"/>
        <w:keepLines w:val="0"/>
        <w:tabs>
          <w:tab w:val="left" w:pos="9180"/>
        </w:tabs>
        <w:spacing w:before="0" w:after="360"/>
        <w:ind w:left="907" w:right="806"/>
        <w:rPr>
          <w:rFonts w:cs="Arial"/>
          <w:sz w:val="16"/>
          <w:szCs w:val="16"/>
        </w:rPr>
      </w:pPr>
      <w:r w:rsidRPr="00F227A0">
        <w:rPr>
          <w:rFonts w:cs="Arial"/>
          <w:sz w:val="16"/>
          <w:szCs w:val="16"/>
        </w:rPr>
        <w:t>Source</w:t>
      </w:r>
      <w:r w:rsidR="00367A16" w:rsidRPr="00F227A0">
        <w:rPr>
          <w:rFonts w:cs="Arial"/>
          <w:sz w:val="16"/>
          <w:szCs w:val="16"/>
        </w:rPr>
        <w:t>s</w:t>
      </w:r>
      <w:r w:rsidRPr="00F227A0">
        <w:rPr>
          <w:rFonts w:cs="Arial"/>
          <w:sz w:val="16"/>
          <w:szCs w:val="16"/>
        </w:rPr>
        <w:t xml:space="preserve">: </w:t>
      </w:r>
      <w:r w:rsidRPr="0051440A">
        <w:rPr>
          <w:rFonts w:cs="Arial"/>
          <w:b w:val="0"/>
          <w:sz w:val="16"/>
          <w:szCs w:val="16"/>
        </w:rPr>
        <w:t>EPA and ISO New England</w:t>
      </w:r>
      <w:r w:rsidR="00367A16" w:rsidRPr="0051440A">
        <w:rPr>
          <w:rFonts w:cs="Arial"/>
          <w:b w:val="0"/>
          <w:sz w:val="16"/>
          <w:szCs w:val="16"/>
        </w:rPr>
        <w:t>.</w:t>
      </w:r>
    </w:p>
    <w:p w:rsidR="004001CC" w:rsidRDefault="004001CC" w:rsidP="00073277">
      <w:r w:rsidRPr="00166976">
        <w:t xml:space="preserve">The hourly generation bid blocks were also analyzed on </w:t>
      </w:r>
      <w:r w:rsidR="00987991" w:rsidRPr="00987991">
        <w:t>these 20 peak</w:t>
      </w:r>
      <w:r w:rsidRPr="00166976">
        <w:t xml:space="preserve"> days for the last 500 MW increment of </w:t>
      </w:r>
      <w:r>
        <w:t xml:space="preserve">fossil </w:t>
      </w:r>
      <w:r w:rsidRPr="00166976">
        <w:t>units dispatched on the system</w:t>
      </w:r>
      <w:r w:rsidRPr="00367A16">
        <w:t>.</w:t>
      </w:r>
      <w:r w:rsidRPr="00367A16">
        <w:rPr>
          <w:rStyle w:val="FootnoteReference"/>
          <w:sz w:val="22"/>
        </w:rPr>
        <w:footnoteReference w:id="219"/>
      </w:r>
      <w:r w:rsidRPr="00367A16">
        <w:t xml:space="preserve"> </w:t>
      </w:r>
      <w:fldSimple w:instr=" REF _Ref262123056 \h  \* MERGEFORMAT ">
        <w:r w:rsidR="00E5699E" w:rsidRPr="00367A16">
          <w:t xml:space="preserve">Figure </w:t>
        </w:r>
        <w:r w:rsidR="00E5699E">
          <w:rPr>
            <w:noProof/>
          </w:rPr>
          <w:t>8</w:t>
        </w:r>
        <w:r w:rsidR="00E5699E">
          <w:rPr>
            <w:noProof/>
          </w:rPr>
          <w:noBreakHyphen/>
          <w:t>3</w:t>
        </w:r>
      </w:fldSimple>
      <w:r w:rsidRPr="00166976">
        <w:t xml:space="preserve"> shows the hourly NO</w:t>
      </w:r>
      <w:r w:rsidR="00853908" w:rsidRPr="00166976">
        <w:rPr>
          <w:vertAlign w:val="subscript"/>
        </w:rPr>
        <w:t>X</w:t>
      </w:r>
      <w:r w:rsidRPr="00166976">
        <w:t xml:space="preserve"> contributions by fuel type on the all-time New England peak-load day of August 2, 2006</w:t>
      </w:r>
      <w:r w:rsidR="00853908">
        <w:t>,</w:t>
      </w:r>
      <w:r>
        <w:t xml:space="preserve"> for the last </w:t>
      </w:r>
      <w:r w:rsidR="00495CF6">
        <w:t>500 </w:t>
      </w:r>
      <w:r>
        <w:t>MW of generation dispatched each hour</w:t>
      </w:r>
      <w:r w:rsidRPr="00166976">
        <w:t>. At the peak hours</w:t>
      </w:r>
      <w:r>
        <w:t>,</w:t>
      </w:r>
      <w:r w:rsidRPr="00166976">
        <w:t xml:space="preserve"> the NO</w:t>
      </w:r>
      <w:r w:rsidRPr="00166976">
        <w:rPr>
          <w:vertAlign w:val="subscript"/>
        </w:rPr>
        <w:t>X</w:t>
      </w:r>
      <w:r w:rsidRPr="00166976">
        <w:t xml:space="preserve"> </w:t>
      </w:r>
      <w:r w:rsidRPr="009034BB">
        <w:t>emission rate for</w:t>
      </w:r>
      <w:r>
        <w:t xml:space="preserve"> the last </w:t>
      </w:r>
      <w:r w:rsidR="00495CF6">
        <w:t>500 </w:t>
      </w:r>
      <w:r>
        <w:t>MW of generation</w:t>
      </w:r>
      <w:r w:rsidRPr="00166976">
        <w:t xml:space="preserve"> </w:t>
      </w:r>
      <w:r>
        <w:t>was 2.5 tons</w:t>
      </w:r>
      <w:r w:rsidR="00853908">
        <w:t>/</w:t>
      </w:r>
      <w:r>
        <w:t>hour (10</w:t>
      </w:r>
      <w:r w:rsidR="00CC577D">
        <w:t xml:space="preserve"> </w:t>
      </w:r>
      <w:r w:rsidRPr="00166976">
        <w:t>lbs/MWh</w:t>
      </w:r>
      <w:r>
        <w:t>)</w:t>
      </w:r>
      <w:r w:rsidRPr="00166976">
        <w:t>.</w:t>
      </w:r>
      <w:r w:rsidR="006A7038" w:rsidRPr="00217334">
        <w:rPr>
          <w:rStyle w:val="FootnoteReference"/>
          <w:sz w:val="22"/>
        </w:rPr>
        <w:footnoteReference w:id="220"/>
      </w:r>
      <w:r w:rsidRPr="00217334">
        <w:t xml:space="preserve"> </w:t>
      </w:r>
      <w:r w:rsidRPr="00166976">
        <w:t xml:space="preserve">As seen </w:t>
      </w:r>
      <w:r>
        <w:t xml:space="preserve">in </w:t>
      </w:r>
      <w:r w:rsidRPr="00166976">
        <w:t>the figure</w:t>
      </w:r>
      <w:r>
        <w:t>,</w:t>
      </w:r>
      <w:r w:rsidRPr="00166976">
        <w:t xml:space="preserve"> </w:t>
      </w:r>
      <w:r>
        <w:t>most o</w:t>
      </w:r>
      <w:r w:rsidRPr="00166976">
        <w:t xml:space="preserve">f the </w:t>
      </w:r>
      <w:r>
        <w:t xml:space="preserve">additional </w:t>
      </w:r>
      <w:r w:rsidRPr="00166976">
        <w:t>emissions were from oil</w:t>
      </w:r>
      <w:r>
        <w:t>-</w:t>
      </w:r>
      <w:r w:rsidRPr="00166976">
        <w:t>fueled steam plants and combustion turbines.</w:t>
      </w:r>
      <w:r w:rsidR="00070E50" w:rsidRPr="00070E50">
        <w:t xml:space="preserve"> </w:t>
      </w:r>
      <w:r w:rsidR="00070E50" w:rsidRPr="0011672E">
        <w:t xml:space="preserve">The analysis </w:t>
      </w:r>
      <w:r w:rsidR="00061340">
        <w:t xml:space="preserve">will be </w:t>
      </w:r>
      <w:r w:rsidR="00070E50" w:rsidRPr="0011672E">
        <w:t>described in more detail in a peak-load day NO</w:t>
      </w:r>
      <w:r w:rsidR="00070E50" w:rsidRPr="0011672E">
        <w:rPr>
          <w:vertAlign w:val="subscript"/>
        </w:rPr>
        <w:t>X</w:t>
      </w:r>
      <w:r w:rsidR="00070E50" w:rsidRPr="0011672E">
        <w:t xml:space="preserve"> report</w:t>
      </w:r>
      <w:r w:rsidR="00061340">
        <w:t xml:space="preserve"> scheduled for completion in the fourth quarter 2010</w:t>
      </w:r>
      <w:r w:rsidR="00070E50" w:rsidRPr="0011672E">
        <w:t>.</w:t>
      </w:r>
    </w:p>
    <w:p w:rsidR="009F2527" w:rsidRDefault="009F2527" w:rsidP="009F2527">
      <w:pPr>
        <w:spacing w:after="0" w:line="240" w:lineRule="auto"/>
        <w:jc w:val="center"/>
      </w:pPr>
      <w:r w:rsidRPr="009F2527">
        <w:rPr>
          <w:noProof/>
        </w:rPr>
        <w:drawing>
          <wp:inline distT="0" distB="0" distL="0" distR="0">
            <wp:extent cx="5451112" cy="2914650"/>
            <wp:effectExtent l="19050" t="19050" r="16238" b="1905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451112" cy="2914650"/>
                    </a:xfrm>
                    <a:prstGeom prst="rect">
                      <a:avLst/>
                    </a:prstGeom>
                    <a:noFill/>
                    <a:ln w="3175">
                      <a:solidFill>
                        <a:schemeClr val="tx1"/>
                      </a:solidFill>
                      <a:miter lim="800000"/>
                      <a:headEnd/>
                      <a:tailEnd/>
                    </a:ln>
                  </pic:spPr>
                </pic:pic>
              </a:graphicData>
            </a:graphic>
          </wp:inline>
        </w:drawing>
      </w:r>
    </w:p>
    <w:p w:rsidR="00F227A0" w:rsidRDefault="00367A16" w:rsidP="0073464F">
      <w:pPr>
        <w:pStyle w:val="Caption-Figure"/>
        <w:ind w:left="450" w:right="450"/>
      </w:pPr>
      <w:bookmarkStart w:id="608" w:name="_Ref262123056"/>
      <w:bookmarkStart w:id="609" w:name="_Toc271552383"/>
      <w:r w:rsidRPr="00367A16">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3</w:t>
      </w:r>
      <w:r w:rsidR="00832C7A">
        <w:fldChar w:fldCharType="end"/>
      </w:r>
      <w:bookmarkEnd w:id="608"/>
      <w:r w:rsidR="004001CC" w:rsidRPr="00367A16">
        <w:rPr>
          <w:rStyle w:val="Caption-Figure-Text"/>
          <w:b/>
          <w:sz w:val="20"/>
          <w:szCs w:val="20"/>
        </w:rPr>
        <w:t>: Hourly NO</w:t>
      </w:r>
      <w:r w:rsidR="00987991" w:rsidRPr="00987991">
        <w:rPr>
          <w:rStyle w:val="Caption-Figure-Text"/>
          <w:b/>
          <w:sz w:val="20"/>
          <w:szCs w:val="20"/>
          <w:vertAlign w:val="subscript"/>
        </w:rPr>
        <w:t>X</w:t>
      </w:r>
      <w:r w:rsidR="004001CC" w:rsidRPr="00367A16">
        <w:rPr>
          <w:rStyle w:val="Caption-Figure-Text"/>
          <w:b/>
          <w:sz w:val="20"/>
          <w:szCs w:val="20"/>
        </w:rPr>
        <w:t xml:space="preserve"> emissions for the last</w:t>
      </w:r>
      <w:r w:rsidR="00E64ACE">
        <w:rPr>
          <w:rStyle w:val="Caption-Figure-Text"/>
          <w:b/>
          <w:sz w:val="20"/>
          <w:szCs w:val="20"/>
        </w:rPr>
        <w:t>-</w:t>
      </w:r>
      <w:r w:rsidR="0097174D">
        <w:rPr>
          <w:rStyle w:val="Caption-Figure-Text"/>
          <w:b/>
          <w:sz w:val="20"/>
          <w:szCs w:val="20"/>
        </w:rPr>
        <w:t>dispatched</w:t>
      </w:r>
      <w:r w:rsidR="004001CC" w:rsidRPr="00367A16">
        <w:rPr>
          <w:rStyle w:val="Caption-Figure-Text"/>
          <w:b/>
          <w:sz w:val="20"/>
          <w:szCs w:val="20"/>
        </w:rPr>
        <w:t xml:space="preserve"> 500 MW of thermal generation </w:t>
      </w:r>
      <w:r w:rsidR="005D620A">
        <w:rPr>
          <w:rStyle w:val="Caption-Figure-Text"/>
          <w:b/>
          <w:sz w:val="20"/>
          <w:szCs w:val="20"/>
        </w:rPr>
        <w:t>on</w:t>
      </w:r>
      <w:r w:rsidR="004001CC" w:rsidRPr="00367A16">
        <w:rPr>
          <w:rStyle w:val="Caption-Figure-Text"/>
          <w:b/>
          <w:sz w:val="20"/>
          <w:szCs w:val="20"/>
        </w:rPr>
        <w:t xml:space="preserve"> the peak</w:t>
      </w:r>
      <w:r w:rsidR="005D620A">
        <w:rPr>
          <w:rStyle w:val="Caption-Figure-Text"/>
          <w:b/>
          <w:sz w:val="20"/>
          <w:szCs w:val="20"/>
        </w:rPr>
        <w:t>-</w:t>
      </w:r>
      <w:r w:rsidR="004001CC" w:rsidRPr="00367A16">
        <w:rPr>
          <w:rStyle w:val="Caption-Figure-Text"/>
          <w:b/>
          <w:sz w:val="20"/>
          <w:szCs w:val="20"/>
        </w:rPr>
        <w:t>load</w:t>
      </w:r>
      <w:r w:rsidR="005D620A">
        <w:rPr>
          <w:rStyle w:val="Caption-Figure-Text"/>
          <w:b/>
          <w:sz w:val="20"/>
          <w:szCs w:val="20"/>
        </w:rPr>
        <w:t xml:space="preserve"> day</w:t>
      </w:r>
      <w:r w:rsidR="004001CC" w:rsidRPr="00367A16">
        <w:rPr>
          <w:rStyle w:val="Caption-Figure-Text"/>
          <w:b/>
          <w:sz w:val="20"/>
          <w:szCs w:val="20"/>
        </w:rPr>
        <w:t>, August 2, 2006</w:t>
      </w:r>
      <w:r w:rsidR="004001CC">
        <w:rPr>
          <w:rStyle w:val="Caption-Figure-Text"/>
          <w:b/>
        </w:rPr>
        <w:t>.</w:t>
      </w:r>
      <w:bookmarkEnd w:id="609"/>
      <w:r w:rsidR="004001CC">
        <w:rPr>
          <w:rStyle w:val="Caption-Figure-Text"/>
          <w:b/>
        </w:rPr>
        <w:t xml:space="preserve"> </w:t>
      </w:r>
    </w:p>
    <w:p w:rsidR="00F55F8E" w:rsidRDefault="00F55F8E" w:rsidP="00073277"/>
    <w:p w:rsidR="001B3090" w:rsidRDefault="004001CC">
      <w:pPr>
        <w:pStyle w:val="Heading2"/>
      </w:pPr>
      <w:bookmarkStart w:id="610" w:name="_Toc239157169"/>
      <w:bookmarkStart w:id="611" w:name="_Ref266120214"/>
      <w:bookmarkStart w:id="612" w:name="_Ref266532183"/>
      <w:bookmarkStart w:id="613" w:name="_Ref266634269"/>
      <w:bookmarkStart w:id="614" w:name="_Toc271632288"/>
      <w:r w:rsidRPr="0011672E">
        <w:t xml:space="preserve">Energy Efficiency </w:t>
      </w:r>
      <w:bookmarkEnd w:id="610"/>
      <w:r w:rsidRPr="0011672E">
        <w:t>in New England</w:t>
      </w:r>
      <w:bookmarkEnd w:id="611"/>
      <w:bookmarkEnd w:id="612"/>
      <w:bookmarkEnd w:id="613"/>
      <w:bookmarkEnd w:id="614"/>
    </w:p>
    <w:p w:rsidR="00C827CE" w:rsidRDefault="00A73FE0" w:rsidP="0073143A">
      <w:pPr>
        <w:pStyle w:val="Default"/>
        <w:rPr>
          <w:sz w:val="22"/>
          <w:szCs w:val="22"/>
        </w:rPr>
      </w:pPr>
      <w:r w:rsidRPr="00A73FE0">
        <w:rPr>
          <w:sz w:val="22"/>
          <w:szCs w:val="22"/>
        </w:rPr>
        <w:t>Energy efficiency continues to be a significant factor in New England</w:t>
      </w:r>
      <w:r w:rsidR="001C7A40">
        <w:rPr>
          <w:sz w:val="22"/>
          <w:szCs w:val="22"/>
        </w:rPr>
        <w:t xml:space="preserve">. </w:t>
      </w:r>
      <w:r w:rsidRPr="00A73FE0">
        <w:rPr>
          <w:sz w:val="22"/>
          <w:szCs w:val="22"/>
        </w:rPr>
        <w:t>New England states have been recognized nationally for their EE programs</w:t>
      </w:r>
      <w:r w:rsidR="001C7A40">
        <w:rPr>
          <w:sz w:val="22"/>
          <w:szCs w:val="22"/>
        </w:rPr>
        <w:t xml:space="preserve">, which </w:t>
      </w:r>
      <w:r w:rsidRPr="00A73FE0">
        <w:rPr>
          <w:sz w:val="22"/>
          <w:szCs w:val="22"/>
        </w:rPr>
        <w:t>range from consumer incentives, such as rebates for purchasing efficient equipment, to energy audits.</w:t>
      </w:r>
      <w:r w:rsidR="001C7A40" w:rsidRPr="001C7A40">
        <w:rPr>
          <w:rStyle w:val="FootnoteReference"/>
          <w:sz w:val="22"/>
          <w:szCs w:val="22"/>
        </w:rPr>
        <w:t xml:space="preserve"> </w:t>
      </w:r>
      <w:r w:rsidR="001C7A40" w:rsidRPr="00BC7F25">
        <w:rPr>
          <w:rStyle w:val="FootnoteReference"/>
          <w:sz w:val="22"/>
          <w:szCs w:val="22"/>
        </w:rPr>
        <w:footnoteReference w:id="221"/>
      </w:r>
      <w:r w:rsidR="001C7A40" w:rsidRPr="00F328B2">
        <w:rPr>
          <w:sz w:val="22"/>
          <w:szCs w:val="22"/>
        </w:rPr>
        <w:t xml:space="preserve"> </w:t>
      </w:r>
      <w:r w:rsidRPr="00A73FE0">
        <w:rPr>
          <w:sz w:val="22"/>
          <w:szCs w:val="22"/>
        </w:rPr>
        <w:t>Some states also have long-term energy-efficiency quantitative or qualitative goals.</w:t>
      </w:r>
      <w:r w:rsidR="001C7A40" w:rsidRPr="001C7A40">
        <w:rPr>
          <w:rStyle w:val="FootnoteReference"/>
          <w:sz w:val="22"/>
          <w:szCs w:val="22"/>
        </w:rPr>
        <w:t xml:space="preserve"> </w:t>
      </w:r>
      <w:r w:rsidR="001C7A40">
        <w:rPr>
          <w:rStyle w:val="FootnoteReference"/>
          <w:sz w:val="22"/>
          <w:szCs w:val="22"/>
          <w:vertAlign w:val="baseline"/>
        </w:rPr>
        <w:t>Additionally in New England, s</w:t>
      </w:r>
      <w:r w:rsidR="001C7A40">
        <w:rPr>
          <w:sz w:val="22"/>
          <w:szCs w:val="22"/>
        </w:rPr>
        <w:t xml:space="preserve">ome EE resources choose to participate in the FCM. </w:t>
      </w:r>
      <w:r w:rsidR="00F328B2" w:rsidRPr="00BD5091">
        <w:rPr>
          <w:sz w:val="22"/>
          <w:szCs w:val="22"/>
        </w:rPr>
        <w:t xml:space="preserve">This section summarizes the status of EE in </w:t>
      </w:r>
      <w:r w:rsidR="00F328B2" w:rsidRPr="00D63053">
        <w:rPr>
          <w:sz w:val="22"/>
          <w:szCs w:val="22"/>
        </w:rPr>
        <w:t>New England.</w:t>
      </w:r>
    </w:p>
    <w:p w:rsidR="00B462A6" w:rsidRDefault="001C7A40">
      <w:pPr>
        <w:pStyle w:val="Heading3"/>
      </w:pPr>
      <w:bookmarkStart w:id="615" w:name="_Toc271632289"/>
      <w:r>
        <w:t>Energy Efficiency Resources in the FCM</w:t>
      </w:r>
      <w:bookmarkEnd w:id="615"/>
    </w:p>
    <w:p w:rsidR="0073143A" w:rsidRDefault="001C7A40" w:rsidP="0073143A">
      <w:pPr>
        <w:pStyle w:val="Default"/>
        <w:rPr>
          <w:sz w:val="22"/>
          <w:szCs w:val="22"/>
        </w:rPr>
      </w:pPr>
      <w:r>
        <w:rPr>
          <w:sz w:val="22"/>
          <w:szCs w:val="22"/>
        </w:rPr>
        <w:t xml:space="preserve">The </w:t>
      </w:r>
      <w:r w:rsidR="00A73FE0" w:rsidRPr="00A73FE0">
        <w:rPr>
          <w:sz w:val="22"/>
          <w:szCs w:val="22"/>
        </w:rPr>
        <w:t xml:space="preserve">EE resources </w:t>
      </w:r>
      <w:r>
        <w:rPr>
          <w:sz w:val="22"/>
          <w:szCs w:val="22"/>
        </w:rPr>
        <w:t xml:space="preserve">that </w:t>
      </w:r>
      <w:r w:rsidR="00A73FE0" w:rsidRPr="00A73FE0">
        <w:rPr>
          <w:sz w:val="22"/>
          <w:szCs w:val="22"/>
        </w:rPr>
        <w:t>participate in the FCM</w:t>
      </w:r>
      <w:r>
        <w:rPr>
          <w:sz w:val="22"/>
          <w:szCs w:val="22"/>
        </w:rPr>
        <w:t xml:space="preserve"> are </w:t>
      </w:r>
      <w:r w:rsidR="00BD5091" w:rsidRPr="00BD5091">
        <w:rPr>
          <w:sz w:val="22"/>
          <w:szCs w:val="22"/>
        </w:rPr>
        <w:t>a specific subset of demand resources</w:t>
      </w:r>
      <w:r w:rsidR="0098334E">
        <w:rPr>
          <w:sz w:val="22"/>
          <w:szCs w:val="22"/>
        </w:rPr>
        <w:t xml:space="preserve"> (see Section </w:t>
      </w:r>
      <w:r w:rsidR="00832C7A">
        <w:rPr>
          <w:sz w:val="22"/>
          <w:szCs w:val="22"/>
        </w:rPr>
        <w:fldChar w:fldCharType="begin"/>
      </w:r>
      <w:r w:rsidR="0098334E">
        <w:rPr>
          <w:sz w:val="22"/>
          <w:szCs w:val="22"/>
        </w:rPr>
        <w:instrText xml:space="preserve"> REF _Ref266120247 \r \h </w:instrText>
      </w:r>
      <w:r w:rsidR="00832C7A">
        <w:rPr>
          <w:sz w:val="22"/>
          <w:szCs w:val="22"/>
        </w:rPr>
      </w:r>
      <w:r w:rsidR="00832C7A">
        <w:rPr>
          <w:sz w:val="22"/>
          <w:szCs w:val="22"/>
        </w:rPr>
        <w:fldChar w:fldCharType="separate"/>
      </w:r>
      <w:r w:rsidR="00E5699E">
        <w:rPr>
          <w:sz w:val="22"/>
          <w:szCs w:val="22"/>
        </w:rPr>
        <w:t>4.2.1.1</w:t>
      </w:r>
      <w:r w:rsidR="00832C7A">
        <w:rPr>
          <w:sz w:val="22"/>
          <w:szCs w:val="22"/>
        </w:rPr>
        <w:fldChar w:fldCharType="end"/>
      </w:r>
      <w:r w:rsidR="0098334E">
        <w:rPr>
          <w:sz w:val="22"/>
          <w:szCs w:val="22"/>
        </w:rPr>
        <w:t>)</w:t>
      </w:r>
      <w:r w:rsidR="00BD5091" w:rsidRPr="00BD5091">
        <w:rPr>
          <w:sz w:val="22"/>
          <w:szCs w:val="22"/>
        </w:rPr>
        <w:t xml:space="preserve">. </w:t>
      </w:r>
      <w:fldSimple w:instr=" REF _Ref262123124 \h  \* MERGEFORMAT ">
        <w:r w:rsidR="00E5699E" w:rsidRPr="00E5699E">
          <w:rPr>
            <w:sz w:val="22"/>
            <w:szCs w:val="22"/>
          </w:rPr>
          <w:t xml:space="preserve">Table </w:t>
        </w:r>
        <w:r w:rsidR="00E5699E" w:rsidRPr="00E5699E">
          <w:rPr>
            <w:noProof/>
            <w:sz w:val="22"/>
            <w:szCs w:val="22"/>
          </w:rPr>
          <w:t>8</w:t>
        </w:r>
        <w:r w:rsidR="00E5699E" w:rsidRPr="00E5699E">
          <w:rPr>
            <w:noProof/>
            <w:sz w:val="22"/>
            <w:szCs w:val="22"/>
          </w:rPr>
          <w:noBreakHyphen/>
          <w:t>5</w:t>
        </w:r>
      </w:fldSimple>
      <w:r w:rsidR="00BD5091" w:rsidRPr="00BD5091">
        <w:rPr>
          <w:sz w:val="22"/>
          <w:szCs w:val="22"/>
        </w:rPr>
        <w:t xml:space="preserve"> shows that energy-efficiency resources are a growing part of the FCM. </w:t>
      </w:r>
      <w:r w:rsidR="0098334E">
        <w:rPr>
          <w:sz w:val="22"/>
          <w:szCs w:val="22"/>
        </w:rPr>
        <w:t xml:space="preserve">Because </w:t>
      </w:r>
      <w:r w:rsidR="0098334E" w:rsidRPr="0098334E">
        <w:rPr>
          <w:sz w:val="22"/>
          <w:szCs w:val="22"/>
        </w:rPr>
        <w:t>t</w:t>
      </w:r>
      <w:r w:rsidR="00BD5091" w:rsidRPr="0098334E">
        <w:rPr>
          <w:sz w:val="22"/>
          <w:szCs w:val="22"/>
        </w:rPr>
        <w:t>he FCM considers passive resources, such as EE, to always be “</w:t>
      </w:r>
      <w:r w:rsidR="00A73FE0" w:rsidRPr="0098334E">
        <w:rPr>
          <w:iCs/>
          <w:sz w:val="22"/>
          <w:szCs w:val="22"/>
        </w:rPr>
        <w:t>in</w:t>
      </w:r>
      <w:r w:rsidR="00A73FE0" w:rsidRPr="0098334E">
        <w:rPr>
          <w:sz w:val="22"/>
          <w:szCs w:val="22"/>
        </w:rPr>
        <w:t xml:space="preserve"> </w:t>
      </w:r>
      <w:r w:rsidR="00A73FE0" w:rsidRPr="0098334E">
        <w:rPr>
          <w:iCs/>
          <w:sz w:val="22"/>
          <w:szCs w:val="22"/>
        </w:rPr>
        <w:t>service</w:t>
      </w:r>
      <w:r w:rsidRPr="0098334E">
        <w:rPr>
          <w:iCs/>
          <w:sz w:val="22"/>
          <w:szCs w:val="22"/>
        </w:rPr>
        <w:t>,</w:t>
      </w:r>
      <w:r w:rsidR="00BD5091" w:rsidRPr="0098334E">
        <w:rPr>
          <w:sz w:val="22"/>
          <w:szCs w:val="22"/>
        </w:rPr>
        <w:t xml:space="preserve">” </w:t>
      </w:r>
      <w:r w:rsidR="00A94D83">
        <w:rPr>
          <w:sz w:val="22"/>
          <w:szCs w:val="22"/>
        </w:rPr>
        <w:t xml:space="preserve">they </w:t>
      </w:r>
      <w:r w:rsidR="00BD5091" w:rsidRPr="00BD5091">
        <w:rPr>
          <w:sz w:val="22"/>
          <w:szCs w:val="22"/>
        </w:rPr>
        <w:t>are assumed to be 100% available.</w:t>
      </w:r>
      <w:r w:rsidR="00BD5091" w:rsidRPr="00BD5091">
        <w:rPr>
          <w:rStyle w:val="FootnoteReference"/>
          <w:sz w:val="22"/>
          <w:szCs w:val="22"/>
        </w:rPr>
        <w:footnoteReference w:id="222"/>
      </w:r>
      <w:r w:rsidR="00BD5091" w:rsidRPr="00BD5091">
        <w:rPr>
          <w:sz w:val="22"/>
          <w:szCs w:val="22"/>
        </w:rPr>
        <w:t xml:space="preserve"> </w:t>
      </w:r>
    </w:p>
    <w:p w:rsidR="00F328B2" w:rsidRPr="00C323B0" w:rsidRDefault="00F328B2" w:rsidP="0073143A">
      <w:pPr>
        <w:pStyle w:val="Default"/>
        <w:rPr>
          <w:sz w:val="22"/>
          <w:szCs w:val="22"/>
        </w:rPr>
      </w:pPr>
    </w:p>
    <w:p w:rsidR="004001CC" w:rsidRPr="009973EA" w:rsidRDefault="00367A16" w:rsidP="0011672E">
      <w:pPr>
        <w:pStyle w:val="Caption"/>
      </w:pPr>
      <w:bookmarkStart w:id="616" w:name="_Ref262123124"/>
      <w:bookmarkStart w:id="617" w:name="_Toc271552425"/>
      <w:r w:rsidRPr="009973EA">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5</w:t>
      </w:r>
      <w:r w:rsidR="00832C7A">
        <w:fldChar w:fldCharType="end"/>
      </w:r>
      <w:bookmarkEnd w:id="616"/>
      <w:r w:rsidR="004001CC" w:rsidRPr="009973EA">
        <w:rPr>
          <w:rFonts w:asciiTheme="minorHAnsi" w:hAnsiTheme="minorHAnsi"/>
        </w:rPr>
        <w:br/>
      </w:r>
      <w:r w:rsidR="004001CC" w:rsidRPr="009973EA">
        <w:rPr>
          <w:rFonts w:cs="Arial"/>
        </w:rPr>
        <w:t>Energy</w:t>
      </w:r>
      <w:r w:rsidR="005366E8" w:rsidRPr="009973EA">
        <w:rPr>
          <w:rFonts w:cs="Arial"/>
        </w:rPr>
        <w:t>-</w:t>
      </w:r>
      <w:r w:rsidR="004001CC" w:rsidRPr="009973EA">
        <w:rPr>
          <w:rFonts w:cs="Arial"/>
        </w:rPr>
        <w:t>Efficiency Resources Clearing the Primary FCM Auctions</w:t>
      </w:r>
      <w:bookmarkEnd w:id="617"/>
    </w:p>
    <w:tbl>
      <w:tblPr>
        <w:tblW w:w="54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144" w:type="dxa"/>
          <w:bottom w:w="29" w:type="dxa"/>
          <w:right w:w="144" w:type="dxa"/>
        </w:tblCellMar>
        <w:tblLook w:val="04A0"/>
      </w:tblPr>
      <w:tblGrid>
        <w:gridCol w:w="1999"/>
        <w:gridCol w:w="1107"/>
        <w:gridCol w:w="1112"/>
        <w:gridCol w:w="1219"/>
      </w:tblGrid>
      <w:tr w:rsidR="004001CC" w:rsidRPr="00F227A0" w:rsidTr="00A673F2">
        <w:trPr>
          <w:cantSplit/>
          <w:trHeight w:val="375"/>
          <w:jc w:val="center"/>
        </w:trPr>
        <w:tc>
          <w:tcPr>
            <w:tcW w:w="1999" w:type="dxa"/>
            <w:vMerge w:val="restart"/>
            <w:shd w:val="clear" w:color="auto" w:fill="FBCE76" w:themeFill="background2" w:themeFillTint="99"/>
            <w:tcMar>
              <w:top w:w="29" w:type="dxa"/>
              <w:left w:w="144" w:type="dxa"/>
              <w:bottom w:w="29" w:type="dxa"/>
              <w:right w:w="144" w:type="dxa"/>
            </w:tcMar>
            <w:vAlign w:val="center"/>
            <w:hideMark/>
          </w:tcPr>
          <w:p w:rsidR="009E2433" w:rsidRDefault="004001CC" w:rsidP="00A673F2">
            <w:pPr>
              <w:keepNext/>
              <w:keepLines/>
              <w:spacing w:after="0" w:line="240" w:lineRule="auto"/>
              <w:jc w:val="center"/>
              <w:rPr>
                <w:rFonts w:ascii="Arial" w:eastAsia="Times New Roman" w:hAnsi="Arial" w:cs="Arial"/>
                <w:b/>
                <w:bCs/>
                <w:iCs/>
                <w:sz w:val="18"/>
                <w:szCs w:val="18"/>
              </w:rPr>
            </w:pPr>
            <w:r w:rsidRPr="00F77228">
              <w:rPr>
                <w:rFonts w:ascii="Arial" w:hAnsi="Arial" w:cs="Arial"/>
                <w:b/>
                <w:sz w:val="18"/>
                <w:szCs w:val="18"/>
              </w:rPr>
              <w:t>Load Zone State</w:t>
            </w:r>
          </w:p>
        </w:tc>
        <w:tc>
          <w:tcPr>
            <w:tcW w:w="3438" w:type="dxa"/>
            <w:gridSpan w:val="3"/>
            <w:shd w:val="clear" w:color="auto" w:fill="FBCE76" w:themeFill="background2" w:themeFillTint="99"/>
            <w:tcMar>
              <w:top w:w="29" w:type="dxa"/>
              <w:left w:w="144" w:type="dxa"/>
              <w:bottom w:w="29" w:type="dxa"/>
              <w:right w:w="144" w:type="dxa"/>
            </w:tcMar>
            <w:vAlign w:val="center"/>
            <w:hideMark/>
          </w:tcPr>
          <w:p w:rsidR="009E2433" w:rsidRDefault="004001CC" w:rsidP="00A673F2">
            <w:pPr>
              <w:keepNext/>
              <w:keepLines/>
              <w:spacing w:after="0" w:line="240" w:lineRule="auto"/>
              <w:jc w:val="center"/>
              <w:rPr>
                <w:rFonts w:ascii="Arial" w:eastAsia="Times New Roman" w:hAnsi="Arial" w:cs="Arial"/>
                <w:b/>
                <w:bCs/>
                <w:iCs/>
                <w:sz w:val="18"/>
                <w:szCs w:val="18"/>
              </w:rPr>
            </w:pPr>
            <w:r w:rsidRPr="00F77228">
              <w:rPr>
                <w:rFonts w:ascii="Arial" w:hAnsi="Arial" w:cs="Arial"/>
                <w:b/>
                <w:sz w:val="18"/>
                <w:szCs w:val="18"/>
              </w:rPr>
              <w:t>Cleared MW</w:t>
            </w:r>
            <w:r w:rsidRPr="00F77228">
              <w:rPr>
                <w:rFonts w:ascii="Arial" w:hAnsi="Arial" w:cs="Arial"/>
                <w:b/>
                <w:sz w:val="18"/>
                <w:szCs w:val="18"/>
              </w:rPr>
              <w:br/>
              <w:t>Energy Efficiency</w:t>
            </w:r>
            <w:r w:rsidR="00A73FE0" w:rsidRPr="00A73FE0">
              <w:rPr>
                <w:rFonts w:ascii="Arial" w:hAnsi="Arial" w:cs="Arial"/>
                <w:b/>
                <w:sz w:val="18"/>
                <w:szCs w:val="18"/>
                <w:vertAlign w:val="superscript"/>
              </w:rPr>
              <w:t>(a)</w:t>
            </w:r>
          </w:p>
        </w:tc>
      </w:tr>
      <w:tr w:rsidR="004001CC" w:rsidRPr="00F227A0" w:rsidTr="00A673F2">
        <w:trPr>
          <w:cantSplit/>
          <w:trHeight w:val="353"/>
          <w:jc w:val="center"/>
        </w:trPr>
        <w:tc>
          <w:tcPr>
            <w:tcW w:w="1999" w:type="dxa"/>
            <w:vMerge/>
            <w:shd w:val="clear" w:color="auto" w:fill="FBCE76" w:themeFill="background2" w:themeFillTint="99"/>
            <w:tcMar>
              <w:top w:w="29" w:type="dxa"/>
              <w:left w:w="144" w:type="dxa"/>
              <w:bottom w:w="29" w:type="dxa"/>
              <w:right w:w="144" w:type="dxa"/>
            </w:tcMar>
            <w:vAlign w:val="center"/>
            <w:hideMark/>
          </w:tcPr>
          <w:p w:rsidR="00164A74" w:rsidRDefault="00164A74" w:rsidP="00A673F2">
            <w:pPr>
              <w:keepNext/>
              <w:keepLines/>
              <w:spacing w:after="0" w:line="240" w:lineRule="auto"/>
              <w:jc w:val="center"/>
              <w:rPr>
                <w:rFonts w:ascii="Arial" w:eastAsia="Times New Roman" w:hAnsi="Arial" w:cs="Arial"/>
                <w:b/>
                <w:bCs/>
                <w:sz w:val="18"/>
                <w:szCs w:val="18"/>
              </w:rPr>
            </w:pPr>
          </w:p>
        </w:tc>
        <w:tc>
          <w:tcPr>
            <w:tcW w:w="1107" w:type="dxa"/>
            <w:shd w:val="clear" w:color="auto" w:fill="FBCE76" w:themeFill="background2" w:themeFillTint="99"/>
            <w:tcMar>
              <w:top w:w="29" w:type="dxa"/>
              <w:left w:w="144" w:type="dxa"/>
              <w:bottom w:w="29" w:type="dxa"/>
              <w:right w:w="144" w:type="dxa"/>
            </w:tcMar>
            <w:vAlign w:val="center"/>
            <w:hideMark/>
          </w:tcPr>
          <w:p w:rsidR="00164A74" w:rsidRDefault="004001CC" w:rsidP="00A673F2">
            <w:pPr>
              <w:keepNext/>
              <w:keepLines/>
              <w:spacing w:after="0" w:line="240" w:lineRule="auto"/>
              <w:jc w:val="center"/>
              <w:rPr>
                <w:rFonts w:ascii="Arial" w:hAnsi="Arial" w:cs="Arial"/>
                <w:b/>
                <w:sz w:val="18"/>
                <w:szCs w:val="18"/>
              </w:rPr>
            </w:pPr>
            <w:r w:rsidRPr="00F77228">
              <w:rPr>
                <w:rFonts w:ascii="Arial" w:hAnsi="Arial" w:cs="Arial"/>
                <w:b/>
                <w:sz w:val="18"/>
                <w:szCs w:val="18"/>
              </w:rPr>
              <w:t>FCA #1</w:t>
            </w:r>
            <w:r w:rsidR="00F328B2" w:rsidRPr="00F328B2">
              <w:rPr>
                <w:rFonts w:ascii="Arial" w:hAnsi="Arial" w:cs="Arial"/>
                <w:b/>
                <w:sz w:val="18"/>
                <w:szCs w:val="18"/>
                <w:vertAlign w:val="superscript"/>
              </w:rPr>
              <w:t>(</w:t>
            </w:r>
            <w:r w:rsidR="00F328B2">
              <w:rPr>
                <w:rFonts w:ascii="Arial" w:hAnsi="Arial" w:cs="Arial"/>
                <w:b/>
                <w:sz w:val="18"/>
                <w:szCs w:val="18"/>
                <w:vertAlign w:val="superscript"/>
              </w:rPr>
              <w:t>b</w:t>
            </w:r>
            <w:r w:rsidR="00F328B2" w:rsidRPr="00F328B2">
              <w:rPr>
                <w:rFonts w:ascii="Arial" w:hAnsi="Arial" w:cs="Arial"/>
                <w:b/>
                <w:sz w:val="18"/>
                <w:szCs w:val="18"/>
                <w:vertAlign w:val="superscript"/>
              </w:rPr>
              <w:t>)</w:t>
            </w:r>
          </w:p>
        </w:tc>
        <w:tc>
          <w:tcPr>
            <w:tcW w:w="1112" w:type="dxa"/>
            <w:shd w:val="clear" w:color="auto" w:fill="FBCE76" w:themeFill="background2" w:themeFillTint="99"/>
            <w:tcMar>
              <w:top w:w="29" w:type="dxa"/>
              <w:left w:w="144" w:type="dxa"/>
              <w:bottom w:w="29" w:type="dxa"/>
              <w:right w:w="144" w:type="dxa"/>
            </w:tcMar>
            <w:vAlign w:val="center"/>
            <w:hideMark/>
          </w:tcPr>
          <w:p w:rsidR="00164A74" w:rsidRDefault="004001CC" w:rsidP="00A673F2">
            <w:pPr>
              <w:keepNext/>
              <w:keepLines/>
              <w:spacing w:after="0" w:line="240" w:lineRule="auto"/>
              <w:jc w:val="center"/>
              <w:rPr>
                <w:rFonts w:ascii="Arial" w:hAnsi="Arial" w:cs="Arial"/>
                <w:b/>
                <w:sz w:val="18"/>
                <w:szCs w:val="18"/>
              </w:rPr>
            </w:pPr>
            <w:r w:rsidRPr="00F77228">
              <w:rPr>
                <w:rFonts w:ascii="Arial" w:hAnsi="Arial" w:cs="Arial"/>
                <w:b/>
                <w:sz w:val="18"/>
                <w:szCs w:val="18"/>
              </w:rPr>
              <w:t>FCA #2</w:t>
            </w:r>
            <w:r w:rsidR="00F328B2">
              <w:rPr>
                <w:rFonts w:ascii="Arial" w:hAnsi="Arial" w:cs="Arial"/>
                <w:b/>
                <w:sz w:val="18"/>
                <w:szCs w:val="18"/>
                <w:vertAlign w:val="superscript"/>
              </w:rPr>
              <w:t>(c</w:t>
            </w:r>
            <w:r w:rsidR="00F328B2" w:rsidRPr="00F328B2">
              <w:rPr>
                <w:rFonts w:ascii="Arial" w:hAnsi="Arial" w:cs="Arial"/>
                <w:b/>
                <w:sz w:val="18"/>
                <w:szCs w:val="18"/>
                <w:vertAlign w:val="superscript"/>
              </w:rPr>
              <w:t>)</w:t>
            </w:r>
          </w:p>
        </w:tc>
        <w:tc>
          <w:tcPr>
            <w:tcW w:w="1219" w:type="dxa"/>
            <w:shd w:val="clear" w:color="auto" w:fill="FBCE76" w:themeFill="background2" w:themeFillTint="99"/>
            <w:tcMar>
              <w:top w:w="29" w:type="dxa"/>
              <w:left w:w="144" w:type="dxa"/>
              <w:bottom w:w="29" w:type="dxa"/>
              <w:right w:w="144" w:type="dxa"/>
            </w:tcMar>
            <w:vAlign w:val="center"/>
            <w:hideMark/>
          </w:tcPr>
          <w:p w:rsidR="00164A74" w:rsidRDefault="004001CC" w:rsidP="00A673F2">
            <w:pPr>
              <w:keepNext/>
              <w:keepLines/>
              <w:spacing w:after="0" w:line="240" w:lineRule="auto"/>
              <w:jc w:val="center"/>
              <w:rPr>
                <w:rFonts w:ascii="Arial" w:hAnsi="Arial" w:cs="Arial"/>
                <w:b/>
                <w:sz w:val="18"/>
                <w:szCs w:val="18"/>
              </w:rPr>
            </w:pPr>
            <w:r w:rsidRPr="00F77228">
              <w:rPr>
                <w:rFonts w:ascii="Arial" w:hAnsi="Arial" w:cs="Arial"/>
                <w:b/>
                <w:sz w:val="18"/>
                <w:szCs w:val="18"/>
              </w:rPr>
              <w:t>FCA #3</w:t>
            </w:r>
            <w:r w:rsidR="00F328B2">
              <w:rPr>
                <w:rFonts w:ascii="Arial" w:hAnsi="Arial" w:cs="Arial"/>
                <w:b/>
                <w:sz w:val="18"/>
                <w:szCs w:val="18"/>
                <w:vertAlign w:val="superscript"/>
              </w:rPr>
              <w:t>(d</w:t>
            </w:r>
            <w:r w:rsidR="00F328B2" w:rsidRPr="00F328B2">
              <w:rPr>
                <w:rFonts w:ascii="Arial" w:hAnsi="Arial" w:cs="Arial"/>
                <w:b/>
                <w:sz w:val="18"/>
                <w:szCs w:val="18"/>
                <w:vertAlign w:val="superscript"/>
              </w:rPr>
              <w:t>)</w:t>
            </w:r>
          </w:p>
        </w:tc>
      </w:tr>
      <w:tr w:rsidR="00E43C40" w:rsidRPr="00F227A0" w:rsidTr="003233E2">
        <w:trPr>
          <w:cantSplit/>
          <w:trHeight w:val="290"/>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Connecticut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183</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287</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365</w:t>
            </w:r>
          </w:p>
        </w:tc>
      </w:tr>
      <w:tr w:rsidR="00E43C40" w:rsidRPr="00F227A0" w:rsidTr="003233E2">
        <w:trPr>
          <w:cantSplit/>
          <w:trHeight w:val="299"/>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Massachusetts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247</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318</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439</w:t>
            </w:r>
          </w:p>
        </w:tc>
      </w:tr>
      <w:tr w:rsidR="00E43C40" w:rsidRPr="00F227A0" w:rsidTr="003233E2">
        <w:trPr>
          <w:cantSplit/>
          <w:trHeight w:val="299"/>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Maine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23</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23</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60</w:t>
            </w:r>
          </w:p>
        </w:tc>
      </w:tr>
      <w:tr w:rsidR="00E43C40" w:rsidRPr="00F227A0" w:rsidTr="003233E2">
        <w:trPr>
          <w:cantSplit/>
          <w:trHeight w:val="299"/>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New Hampshire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36</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48</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63</w:t>
            </w:r>
          </w:p>
        </w:tc>
      </w:tr>
      <w:tr w:rsidR="00E43C40" w:rsidRPr="00F227A0" w:rsidTr="003233E2">
        <w:trPr>
          <w:cantSplit/>
          <w:trHeight w:val="290"/>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Rhode Island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38</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51</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70</w:t>
            </w:r>
          </w:p>
        </w:tc>
      </w:tr>
      <w:tr w:rsidR="00E43C40" w:rsidRPr="00F227A0" w:rsidTr="003233E2">
        <w:trPr>
          <w:cantSplit/>
          <w:trHeight w:val="299"/>
          <w:jc w:val="center"/>
        </w:trPr>
        <w:tc>
          <w:tcPr>
            <w:tcW w:w="1999" w:type="dxa"/>
            <w:shd w:val="clear" w:color="auto" w:fill="auto"/>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 xml:space="preserve">Vermont </w:t>
            </w:r>
          </w:p>
        </w:tc>
        <w:tc>
          <w:tcPr>
            <w:tcW w:w="1107"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46</w:t>
            </w:r>
          </w:p>
        </w:tc>
        <w:tc>
          <w:tcPr>
            <w:tcW w:w="1112" w:type="dxa"/>
            <w:shd w:val="clear" w:color="auto" w:fill="auto"/>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57</w:t>
            </w:r>
          </w:p>
        </w:tc>
        <w:tc>
          <w:tcPr>
            <w:tcW w:w="1219" w:type="dxa"/>
            <w:shd w:val="clear" w:color="auto" w:fill="FDEED1" w:themeFill="background2" w:themeFillTint="33"/>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sz w:val="18"/>
                <w:szCs w:val="18"/>
              </w:rPr>
            </w:pPr>
            <w:r w:rsidRPr="00F01301">
              <w:rPr>
                <w:rFonts w:ascii="Arial" w:hAnsi="Arial" w:cs="Arial"/>
                <w:color w:val="080808"/>
                <w:kern w:val="24"/>
                <w:sz w:val="18"/>
                <w:szCs w:val="18"/>
              </w:rPr>
              <w:t>75</w:t>
            </w:r>
          </w:p>
        </w:tc>
      </w:tr>
      <w:tr w:rsidR="00E43C40" w:rsidRPr="00F227A0" w:rsidTr="003233E2">
        <w:trPr>
          <w:cantSplit/>
          <w:trHeight w:val="389"/>
          <w:jc w:val="center"/>
        </w:trPr>
        <w:tc>
          <w:tcPr>
            <w:tcW w:w="1999" w:type="dxa"/>
            <w:shd w:val="clear" w:color="auto" w:fill="FBCE76" w:themeFill="background2" w:themeFillTint="99"/>
            <w:tcMar>
              <w:top w:w="29" w:type="dxa"/>
              <w:left w:w="144" w:type="dxa"/>
              <w:bottom w:w="29" w:type="dxa"/>
              <w:right w:w="144" w:type="dxa"/>
            </w:tcMar>
            <w:vAlign w:val="center"/>
            <w:hideMark/>
          </w:tcPr>
          <w:p w:rsidR="00164A74" w:rsidRDefault="00E43C40" w:rsidP="00A673F2">
            <w:pPr>
              <w:keepNext/>
              <w:keepLines/>
              <w:spacing w:after="0" w:line="240" w:lineRule="auto"/>
              <w:rPr>
                <w:rFonts w:ascii="Arial" w:hAnsi="Arial" w:cs="Arial"/>
                <w:b/>
                <w:sz w:val="18"/>
                <w:szCs w:val="18"/>
              </w:rPr>
            </w:pPr>
            <w:r w:rsidRPr="00F77228">
              <w:rPr>
                <w:rFonts w:ascii="Arial" w:hAnsi="Arial" w:cs="Arial"/>
                <w:b/>
                <w:sz w:val="18"/>
                <w:szCs w:val="18"/>
              </w:rPr>
              <w:t>Grand total</w:t>
            </w:r>
            <w:r w:rsidR="006A7038" w:rsidRPr="006A7038">
              <w:rPr>
                <w:rFonts w:ascii="Arial" w:hAnsi="Arial" w:cs="Arial"/>
                <w:b/>
                <w:sz w:val="18"/>
                <w:szCs w:val="18"/>
                <w:vertAlign w:val="superscript"/>
              </w:rPr>
              <w:t>(</w:t>
            </w:r>
            <w:r w:rsidR="00F328B2">
              <w:rPr>
                <w:rFonts w:ascii="Arial" w:hAnsi="Arial" w:cs="Arial"/>
                <w:b/>
                <w:sz w:val="18"/>
                <w:szCs w:val="18"/>
                <w:vertAlign w:val="superscript"/>
              </w:rPr>
              <w:t>e</w:t>
            </w:r>
            <w:r w:rsidR="006A7038" w:rsidRPr="006A7038">
              <w:rPr>
                <w:rFonts w:ascii="Arial" w:hAnsi="Arial" w:cs="Arial"/>
                <w:b/>
                <w:sz w:val="18"/>
                <w:szCs w:val="18"/>
                <w:vertAlign w:val="superscript"/>
              </w:rPr>
              <w:t>)</w:t>
            </w:r>
          </w:p>
        </w:tc>
        <w:tc>
          <w:tcPr>
            <w:tcW w:w="1107" w:type="dxa"/>
            <w:shd w:val="clear" w:color="auto" w:fill="FBCE76" w:themeFill="background2" w:themeFillTint="99"/>
            <w:tcMar>
              <w:top w:w="29" w:type="dxa"/>
              <w:left w:w="144" w:type="dxa"/>
              <w:bottom w:w="29" w:type="dxa"/>
              <w:right w:w="288" w:type="dxa"/>
            </w:tcMar>
            <w:vAlign w:val="center"/>
            <w:hideMark/>
          </w:tcPr>
          <w:p w:rsidR="00164A74" w:rsidRDefault="00E43C40" w:rsidP="004D04D2">
            <w:pPr>
              <w:keepNext/>
              <w:keepLines/>
              <w:spacing w:after="0" w:line="240" w:lineRule="auto"/>
              <w:jc w:val="right"/>
              <w:rPr>
                <w:rFonts w:ascii="Arial" w:hAnsi="Arial" w:cs="Arial"/>
                <w:b/>
                <w:sz w:val="18"/>
                <w:szCs w:val="18"/>
              </w:rPr>
            </w:pPr>
            <w:r w:rsidRPr="00F01301">
              <w:rPr>
                <w:rFonts w:ascii="Arial" w:hAnsi="Arial" w:cs="Arial"/>
                <w:b/>
                <w:bCs/>
                <w:color w:val="080808"/>
                <w:kern w:val="24"/>
                <w:sz w:val="18"/>
                <w:szCs w:val="18"/>
              </w:rPr>
              <w:t>57</w:t>
            </w:r>
            <w:r w:rsidR="004D04D2">
              <w:rPr>
                <w:rFonts w:ascii="Arial" w:hAnsi="Arial" w:cs="Arial"/>
                <w:b/>
                <w:bCs/>
                <w:color w:val="080808"/>
                <w:kern w:val="24"/>
                <w:sz w:val="18"/>
                <w:szCs w:val="18"/>
              </w:rPr>
              <w:t>2</w:t>
            </w:r>
          </w:p>
        </w:tc>
        <w:tc>
          <w:tcPr>
            <w:tcW w:w="1112" w:type="dxa"/>
            <w:shd w:val="clear" w:color="auto" w:fill="FBCE76" w:themeFill="background2" w:themeFillTint="99"/>
            <w:tcMar>
              <w:top w:w="29" w:type="dxa"/>
              <w:left w:w="144" w:type="dxa"/>
              <w:bottom w:w="29" w:type="dxa"/>
              <w:right w:w="288" w:type="dxa"/>
            </w:tcMar>
            <w:vAlign w:val="center"/>
            <w:hideMark/>
          </w:tcPr>
          <w:p w:rsidR="00164A74" w:rsidRDefault="00E43C40" w:rsidP="00A673F2">
            <w:pPr>
              <w:keepNext/>
              <w:keepLines/>
              <w:spacing w:after="0" w:line="240" w:lineRule="auto"/>
              <w:jc w:val="right"/>
              <w:rPr>
                <w:rFonts w:ascii="Arial" w:hAnsi="Arial" w:cs="Arial"/>
                <w:b/>
                <w:sz w:val="18"/>
                <w:szCs w:val="18"/>
              </w:rPr>
            </w:pPr>
            <w:r w:rsidRPr="00F01301">
              <w:rPr>
                <w:rFonts w:ascii="Arial" w:hAnsi="Arial" w:cs="Arial"/>
                <w:b/>
                <w:bCs/>
                <w:color w:val="080808"/>
                <w:kern w:val="24"/>
                <w:sz w:val="18"/>
                <w:szCs w:val="18"/>
              </w:rPr>
              <w:t>784</w:t>
            </w:r>
          </w:p>
        </w:tc>
        <w:tc>
          <w:tcPr>
            <w:tcW w:w="1219" w:type="dxa"/>
            <w:shd w:val="clear" w:color="auto" w:fill="FBCE76" w:themeFill="background2" w:themeFillTint="99"/>
            <w:tcMar>
              <w:top w:w="29" w:type="dxa"/>
              <w:left w:w="144" w:type="dxa"/>
              <w:bottom w:w="29" w:type="dxa"/>
              <w:right w:w="288" w:type="dxa"/>
            </w:tcMar>
            <w:vAlign w:val="center"/>
            <w:hideMark/>
          </w:tcPr>
          <w:p w:rsidR="00164A74" w:rsidRDefault="004116BF" w:rsidP="00A673F2">
            <w:pPr>
              <w:keepNext/>
              <w:keepLines/>
              <w:spacing w:after="0" w:line="240" w:lineRule="auto"/>
              <w:jc w:val="right"/>
              <w:rPr>
                <w:rFonts w:ascii="Arial" w:hAnsi="Arial" w:cs="Arial"/>
                <w:b/>
                <w:sz w:val="18"/>
                <w:szCs w:val="18"/>
              </w:rPr>
            </w:pPr>
            <w:r w:rsidRPr="00DD1A71">
              <w:rPr>
                <w:rFonts w:ascii="Arial" w:hAnsi="Arial" w:cs="Arial"/>
                <w:b/>
                <w:bCs/>
                <w:color w:val="080808"/>
                <w:kern w:val="24"/>
                <w:sz w:val="18"/>
                <w:szCs w:val="18"/>
              </w:rPr>
              <w:t>1,07</w:t>
            </w:r>
            <w:r w:rsidR="005366E8" w:rsidRPr="00DD1A71">
              <w:rPr>
                <w:rFonts w:ascii="Arial" w:hAnsi="Arial" w:cs="Arial"/>
                <w:b/>
                <w:bCs/>
                <w:color w:val="080808"/>
                <w:kern w:val="24"/>
                <w:sz w:val="18"/>
                <w:szCs w:val="18"/>
              </w:rPr>
              <w:t>3</w:t>
            </w:r>
          </w:p>
        </w:tc>
      </w:tr>
    </w:tbl>
    <w:p w:rsidR="00C83A59" w:rsidRPr="00631B4B" w:rsidRDefault="003F0B3F" w:rsidP="00492AC1">
      <w:pPr>
        <w:pStyle w:val="BodyText1"/>
        <w:keepNext/>
        <w:keepLines/>
        <w:spacing w:before="120" w:after="80" w:line="240" w:lineRule="auto"/>
        <w:ind w:left="2250" w:right="1890" w:hanging="281"/>
        <w:rPr>
          <w:rFonts w:cs="Arial"/>
          <w:szCs w:val="16"/>
        </w:rPr>
      </w:pPr>
      <w:r w:rsidRPr="00631B4B">
        <w:rPr>
          <w:rFonts w:cs="Arial"/>
          <w:szCs w:val="16"/>
        </w:rPr>
        <w:t xml:space="preserve">(a) </w:t>
      </w:r>
      <w:r w:rsidR="00A73FE0" w:rsidRPr="00631B4B">
        <w:rPr>
          <w:rFonts w:cs="Arial"/>
          <w:szCs w:val="16"/>
        </w:rPr>
        <w:t>Source:</w:t>
      </w:r>
      <w:r w:rsidR="0076739E">
        <w:rPr>
          <w:rFonts w:cs="Arial"/>
          <w:szCs w:val="16"/>
        </w:rPr>
        <w:t xml:space="preserve"> </w:t>
      </w:r>
      <w:r w:rsidR="00A73FE0" w:rsidRPr="00631B4B">
        <w:rPr>
          <w:rFonts w:cs="Arial"/>
          <w:szCs w:val="16"/>
        </w:rPr>
        <w:t xml:space="preserve">2010 CELT Report, Section 1.1; </w:t>
      </w:r>
      <w:hyperlink r:id="rId50" w:history="1">
        <w:r w:rsidR="00A73FE0" w:rsidRPr="00631B4B">
          <w:rPr>
            <w:rStyle w:val="Hyperlink"/>
            <w:rFonts w:cs="Arial"/>
            <w:color w:val="auto"/>
            <w:szCs w:val="16"/>
            <w:u w:val="none"/>
          </w:rPr>
          <w:t>http://www.iso-ne.com/trans/celt/report/index.html</w:t>
        </w:r>
      </w:hyperlink>
      <w:r w:rsidR="00A73FE0" w:rsidRPr="00631B4B">
        <w:rPr>
          <w:rFonts w:cs="Arial"/>
          <w:szCs w:val="16"/>
        </w:rPr>
        <w:t xml:space="preserve">. </w:t>
      </w:r>
      <w:r w:rsidR="00F328B2" w:rsidRPr="00631B4B">
        <w:rPr>
          <w:rFonts w:cs="Arial"/>
          <w:szCs w:val="16"/>
        </w:rPr>
        <w:t xml:space="preserve">The values </w:t>
      </w:r>
      <w:r w:rsidRPr="00631B4B">
        <w:rPr>
          <w:rFonts w:cs="Arial"/>
          <w:szCs w:val="16"/>
        </w:rPr>
        <w:t xml:space="preserve">do not </w:t>
      </w:r>
      <w:r w:rsidR="00AA75C7" w:rsidRPr="00631B4B">
        <w:rPr>
          <w:rFonts w:cs="Arial"/>
          <w:szCs w:val="16"/>
        </w:rPr>
        <w:t>reflect reserve-margin mark</w:t>
      </w:r>
      <w:r w:rsidR="00631B4B" w:rsidRPr="00631B4B">
        <w:rPr>
          <w:rFonts w:cs="Arial"/>
          <w:szCs w:val="16"/>
        </w:rPr>
        <w:t xml:space="preserve"> </w:t>
      </w:r>
      <w:r w:rsidR="00AA75C7" w:rsidRPr="00631B4B">
        <w:rPr>
          <w:rFonts w:cs="Arial"/>
          <w:szCs w:val="16"/>
        </w:rPr>
        <w:t>ups</w:t>
      </w:r>
      <w:r w:rsidRPr="00631B4B">
        <w:rPr>
          <w:rFonts w:cs="Arial"/>
          <w:szCs w:val="16"/>
        </w:rPr>
        <w:t xml:space="preserve">. </w:t>
      </w:r>
    </w:p>
    <w:p w:rsidR="007063CB" w:rsidRPr="00631B4B" w:rsidRDefault="00F328B2" w:rsidP="00492AC1">
      <w:pPr>
        <w:pStyle w:val="BodyText1"/>
        <w:keepNext/>
        <w:keepLines/>
        <w:spacing w:before="120" w:after="80" w:line="240" w:lineRule="auto"/>
        <w:ind w:left="2250" w:right="1890" w:hanging="281"/>
        <w:rPr>
          <w:rFonts w:cs="Arial"/>
          <w:szCs w:val="16"/>
        </w:rPr>
      </w:pPr>
      <w:r w:rsidRPr="00631B4B">
        <w:rPr>
          <w:rFonts w:cs="Arial"/>
          <w:szCs w:val="16"/>
        </w:rPr>
        <w:t xml:space="preserve">(b) </w:t>
      </w:r>
      <w:r w:rsidR="00631B4B" w:rsidRPr="00631B4B">
        <w:rPr>
          <w:rFonts w:cs="Arial"/>
          <w:szCs w:val="16"/>
        </w:rPr>
        <w:tab/>
      </w:r>
      <w:r w:rsidRPr="00631B4B">
        <w:rPr>
          <w:rFonts w:cs="Arial"/>
          <w:szCs w:val="16"/>
        </w:rPr>
        <w:t xml:space="preserve">For </w:t>
      </w:r>
      <w:r w:rsidR="003D4333" w:rsidRPr="00631B4B">
        <w:rPr>
          <w:rFonts w:cs="Arial"/>
          <w:szCs w:val="16"/>
        </w:rPr>
        <w:t xml:space="preserve">the </w:t>
      </w:r>
      <w:r w:rsidRPr="00631B4B">
        <w:rPr>
          <w:rFonts w:cs="Arial"/>
          <w:szCs w:val="16"/>
        </w:rPr>
        <w:t>2010/2011</w:t>
      </w:r>
      <w:r w:rsidR="003D4333" w:rsidRPr="00631B4B">
        <w:rPr>
          <w:rFonts w:cs="Arial"/>
          <w:szCs w:val="16"/>
        </w:rPr>
        <w:t xml:space="preserve"> capacity commitment period, t</w:t>
      </w:r>
      <w:r w:rsidRPr="00631B4B">
        <w:rPr>
          <w:rFonts w:cs="Arial"/>
          <w:szCs w:val="16"/>
        </w:rPr>
        <w:t xml:space="preserve">he </w:t>
      </w:r>
      <w:r w:rsidR="003D4333" w:rsidRPr="00631B4B">
        <w:rPr>
          <w:rFonts w:cs="Arial"/>
          <w:szCs w:val="16"/>
        </w:rPr>
        <w:t xml:space="preserve">capacity supply obligations for the </w:t>
      </w:r>
      <w:r w:rsidR="006A7038" w:rsidRPr="00631B4B">
        <w:rPr>
          <w:rFonts w:cs="Arial"/>
          <w:szCs w:val="16"/>
        </w:rPr>
        <w:t>passive</w:t>
      </w:r>
      <w:r w:rsidR="003D4333" w:rsidRPr="00631B4B">
        <w:rPr>
          <w:rFonts w:cs="Arial"/>
          <w:szCs w:val="16"/>
        </w:rPr>
        <w:t xml:space="preserve"> </w:t>
      </w:r>
      <w:r w:rsidR="006A7038" w:rsidRPr="00631B4B">
        <w:rPr>
          <w:rFonts w:cs="Arial"/>
          <w:szCs w:val="16"/>
        </w:rPr>
        <w:t>demand resources</w:t>
      </w:r>
      <w:r w:rsidR="003D4333" w:rsidRPr="00631B4B">
        <w:rPr>
          <w:rFonts w:cs="Arial"/>
          <w:szCs w:val="16"/>
        </w:rPr>
        <w:t xml:space="preserve"> </w:t>
      </w:r>
      <w:r w:rsidR="00BC7F25" w:rsidRPr="00631B4B">
        <w:rPr>
          <w:rFonts w:cs="Arial"/>
          <w:szCs w:val="16"/>
        </w:rPr>
        <w:t xml:space="preserve">are current as of the posted results for the </w:t>
      </w:r>
      <w:r w:rsidR="00631B4B" w:rsidRPr="00631B4B">
        <w:rPr>
          <w:rFonts w:cs="Arial"/>
          <w:szCs w:val="16"/>
        </w:rPr>
        <w:t xml:space="preserve">period </w:t>
      </w:r>
      <w:r w:rsidR="000C0535">
        <w:rPr>
          <w:rFonts w:cs="Arial"/>
          <w:szCs w:val="16"/>
        </w:rPr>
        <w:t xml:space="preserve">of the third ARA </w:t>
      </w:r>
      <w:r w:rsidR="00631B4B" w:rsidRPr="00631B4B">
        <w:rPr>
          <w:rFonts w:cs="Arial"/>
          <w:szCs w:val="16"/>
        </w:rPr>
        <w:t>during which b</w:t>
      </w:r>
      <w:r w:rsidR="00BC7F25" w:rsidRPr="00631B4B">
        <w:rPr>
          <w:rFonts w:cs="Arial"/>
          <w:szCs w:val="16"/>
        </w:rPr>
        <w:t xml:space="preserve">ilateral </w:t>
      </w:r>
      <w:r w:rsidR="00631B4B" w:rsidRPr="00631B4B">
        <w:rPr>
          <w:rFonts w:cs="Arial"/>
          <w:szCs w:val="16"/>
        </w:rPr>
        <w:t>trading was allowed</w:t>
      </w:r>
      <w:r w:rsidRPr="00631B4B">
        <w:rPr>
          <w:rFonts w:cs="Arial"/>
          <w:szCs w:val="16"/>
        </w:rPr>
        <w:t>.</w:t>
      </w:r>
    </w:p>
    <w:p w:rsidR="007063CB" w:rsidRPr="00631B4B" w:rsidRDefault="00A73FE0" w:rsidP="00492AC1">
      <w:pPr>
        <w:pStyle w:val="BodyText1"/>
        <w:keepNext/>
        <w:keepLines/>
        <w:spacing w:after="80" w:line="240" w:lineRule="auto"/>
        <w:ind w:left="2250" w:right="1890" w:hanging="281"/>
        <w:rPr>
          <w:rFonts w:cs="Arial"/>
          <w:szCs w:val="16"/>
        </w:rPr>
      </w:pPr>
      <w:r w:rsidRPr="00631B4B">
        <w:rPr>
          <w:rFonts w:cs="Arial"/>
          <w:szCs w:val="16"/>
        </w:rPr>
        <w:t>(</w:t>
      </w:r>
      <w:r w:rsidR="00C83A59" w:rsidRPr="00631B4B">
        <w:rPr>
          <w:rFonts w:cs="Arial"/>
          <w:szCs w:val="16"/>
        </w:rPr>
        <w:t>c</w:t>
      </w:r>
      <w:r w:rsidRPr="00631B4B">
        <w:rPr>
          <w:rFonts w:cs="Arial"/>
          <w:szCs w:val="16"/>
        </w:rPr>
        <w:t xml:space="preserve">) The PDR CSO values are current as of the posted results </w:t>
      </w:r>
      <w:r w:rsidR="00BC7F25" w:rsidRPr="00631B4B">
        <w:rPr>
          <w:rFonts w:cs="Arial"/>
          <w:szCs w:val="16"/>
        </w:rPr>
        <w:t xml:space="preserve">for </w:t>
      </w:r>
      <w:r w:rsidR="003D4333" w:rsidRPr="00631B4B">
        <w:rPr>
          <w:rFonts w:cs="Arial"/>
          <w:szCs w:val="16"/>
        </w:rPr>
        <w:t>the FCA #2 (</w:t>
      </w:r>
      <w:r w:rsidR="00BC7F25" w:rsidRPr="00631B4B">
        <w:rPr>
          <w:rFonts w:cs="Arial"/>
          <w:szCs w:val="16"/>
        </w:rPr>
        <w:t>2011</w:t>
      </w:r>
      <w:r w:rsidR="003D4333" w:rsidRPr="00631B4B">
        <w:rPr>
          <w:rFonts w:cs="Arial"/>
          <w:szCs w:val="16"/>
        </w:rPr>
        <w:t>/</w:t>
      </w:r>
      <w:r w:rsidR="00BC7F25" w:rsidRPr="00631B4B">
        <w:rPr>
          <w:rFonts w:cs="Arial"/>
          <w:szCs w:val="16"/>
        </w:rPr>
        <w:t>2012</w:t>
      </w:r>
      <w:r w:rsidR="003D4333" w:rsidRPr="00631B4B">
        <w:rPr>
          <w:rFonts w:cs="Arial"/>
          <w:szCs w:val="16"/>
        </w:rPr>
        <w:t>)</w:t>
      </w:r>
      <w:r w:rsidR="00BC7F25" w:rsidRPr="00631B4B">
        <w:rPr>
          <w:rFonts w:cs="Arial"/>
          <w:szCs w:val="16"/>
        </w:rPr>
        <w:t xml:space="preserve"> </w:t>
      </w:r>
      <w:r w:rsidR="003D4333" w:rsidRPr="00631B4B">
        <w:rPr>
          <w:rFonts w:cs="Arial"/>
          <w:szCs w:val="16"/>
        </w:rPr>
        <w:t>p</w:t>
      </w:r>
      <w:r w:rsidR="00BC7F25" w:rsidRPr="00631B4B">
        <w:rPr>
          <w:rFonts w:cs="Arial"/>
          <w:szCs w:val="16"/>
        </w:rPr>
        <w:t>ro</w:t>
      </w:r>
      <w:r w:rsidR="00DD1A71" w:rsidRPr="00631B4B">
        <w:rPr>
          <w:rFonts w:cs="Arial"/>
          <w:szCs w:val="16"/>
        </w:rPr>
        <w:t>r</w:t>
      </w:r>
      <w:r w:rsidR="00BC7F25" w:rsidRPr="00631B4B">
        <w:rPr>
          <w:rFonts w:cs="Arial"/>
          <w:szCs w:val="16"/>
        </w:rPr>
        <w:t>ation</w:t>
      </w:r>
      <w:r w:rsidR="000B76EB" w:rsidRPr="00631B4B">
        <w:rPr>
          <w:rFonts w:cs="Arial"/>
          <w:szCs w:val="16"/>
        </w:rPr>
        <w:t>, which provides credits for reducing system losses</w:t>
      </w:r>
      <w:r w:rsidR="003D4333" w:rsidRPr="00631B4B">
        <w:rPr>
          <w:rFonts w:cs="Arial"/>
          <w:szCs w:val="16"/>
        </w:rPr>
        <w:t>.</w:t>
      </w:r>
    </w:p>
    <w:p w:rsidR="007063CB" w:rsidRPr="003D4333" w:rsidRDefault="00F328B2" w:rsidP="00492AC1">
      <w:pPr>
        <w:pStyle w:val="BodyText1"/>
        <w:keepNext/>
        <w:keepLines/>
        <w:spacing w:after="80" w:line="240" w:lineRule="auto"/>
        <w:ind w:left="2250" w:right="1890" w:hanging="281"/>
        <w:rPr>
          <w:rFonts w:cs="Arial"/>
          <w:szCs w:val="16"/>
        </w:rPr>
      </w:pPr>
      <w:r w:rsidRPr="00631B4B">
        <w:rPr>
          <w:rFonts w:cs="Arial"/>
          <w:szCs w:val="16"/>
        </w:rPr>
        <w:t>(</w:t>
      </w:r>
      <w:r w:rsidR="00C83A59" w:rsidRPr="00631B4B">
        <w:rPr>
          <w:rFonts w:cs="Arial"/>
          <w:szCs w:val="16"/>
        </w:rPr>
        <w:t>d</w:t>
      </w:r>
      <w:r w:rsidRPr="00631B4B">
        <w:rPr>
          <w:rFonts w:cs="Arial"/>
          <w:szCs w:val="16"/>
        </w:rPr>
        <w:t xml:space="preserve">) The </w:t>
      </w:r>
      <w:r w:rsidR="00BC7F25" w:rsidRPr="00631B4B">
        <w:rPr>
          <w:rFonts w:cs="Arial"/>
          <w:szCs w:val="16"/>
        </w:rPr>
        <w:t>PDR</w:t>
      </w:r>
      <w:r w:rsidRPr="00631B4B">
        <w:rPr>
          <w:rFonts w:cs="Arial"/>
          <w:szCs w:val="16"/>
        </w:rPr>
        <w:t xml:space="preserve"> </w:t>
      </w:r>
      <w:r w:rsidR="00BC7F25" w:rsidRPr="00631B4B">
        <w:rPr>
          <w:rFonts w:cs="Arial"/>
          <w:szCs w:val="16"/>
        </w:rPr>
        <w:t>CSO values are current as of the posted results for FCA</w:t>
      </w:r>
      <w:r w:rsidRPr="00631B4B">
        <w:rPr>
          <w:rFonts w:cs="Arial"/>
          <w:szCs w:val="16"/>
        </w:rPr>
        <w:t xml:space="preserve"> #3 (2012/2013).</w:t>
      </w:r>
    </w:p>
    <w:p w:rsidR="00F328B2" w:rsidRPr="00F328B2" w:rsidRDefault="00F328B2" w:rsidP="00492AC1">
      <w:pPr>
        <w:pStyle w:val="BodyText1"/>
        <w:keepNext/>
        <w:keepLines/>
        <w:spacing w:after="240" w:line="240" w:lineRule="auto"/>
        <w:ind w:left="2250" w:right="1890" w:hanging="281"/>
        <w:rPr>
          <w:rFonts w:cs="Arial"/>
          <w:szCs w:val="16"/>
        </w:rPr>
      </w:pPr>
      <w:r w:rsidRPr="00F328B2">
        <w:rPr>
          <w:rFonts w:cs="Arial"/>
          <w:szCs w:val="16"/>
        </w:rPr>
        <w:t>(</w:t>
      </w:r>
      <w:r w:rsidR="00C83A59">
        <w:rPr>
          <w:rFonts w:cs="Arial"/>
          <w:szCs w:val="16"/>
        </w:rPr>
        <w:t>e</w:t>
      </w:r>
      <w:r w:rsidRPr="00F328B2">
        <w:rPr>
          <w:rFonts w:cs="Arial"/>
          <w:szCs w:val="16"/>
        </w:rPr>
        <w:t>) Values may not add because of round</w:t>
      </w:r>
      <w:r w:rsidR="00A94D83">
        <w:rPr>
          <w:rFonts w:cs="Arial"/>
          <w:szCs w:val="16"/>
        </w:rPr>
        <w:t>ing</w:t>
      </w:r>
      <w:r w:rsidRPr="00F328B2">
        <w:rPr>
          <w:rFonts w:cs="Arial"/>
          <w:szCs w:val="16"/>
        </w:rPr>
        <w:t>.</w:t>
      </w:r>
    </w:p>
    <w:p w:rsidR="00B462A6" w:rsidRDefault="004001CC">
      <w:pPr>
        <w:pStyle w:val="Heading3"/>
      </w:pPr>
      <w:bookmarkStart w:id="618" w:name="_Ref266542367"/>
      <w:bookmarkStart w:id="619" w:name="_Toc271632290"/>
      <w:r w:rsidRPr="003923B0">
        <w:t>Overview of States’ Energy-Efficiency Programs</w:t>
      </w:r>
      <w:bookmarkEnd w:id="618"/>
      <w:bookmarkEnd w:id="619"/>
    </w:p>
    <w:p w:rsidR="004001CC" w:rsidRDefault="004001CC" w:rsidP="00073277">
      <w:r w:rsidRPr="001B5B11">
        <w:t>Each state has its own structure for planning and implementing EE programs</w:t>
      </w:r>
      <w:r w:rsidR="005840C9">
        <w:t>, although all t</w:t>
      </w:r>
      <w:r w:rsidRPr="001B5B11">
        <w:t>he programs generally cover the residential, commercial</w:t>
      </w:r>
      <w:r>
        <w:t>,</w:t>
      </w:r>
      <w:r w:rsidRPr="001B5B11">
        <w:t xml:space="preserve"> and industrial sectors</w:t>
      </w:r>
      <w:r w:rsidR="005840C9">
        <w:t>, and m</w:t>
      </w:r>
      <w:r w:rsidRPr="001B5B11">
        <w:t>ost states have EE programs to assist low</w:t>
      </w:r>
      <w:r>
        <w:t>-</w:t>
      </w:r>
      <w:r w:rsidRPr="001B5B11">
        <w:t xml:space="preserve">income residents. </w:t>
      </w:r>
      <w:r w:rsidR="00821C68" w:rsidRPr="00821C68">
        <w:t xml:space="preserve">The </w:t>
      </w:r>
      <w:r w:rsidRPr="00CC3BD9">
        <w:t xml:space="preserve">state </w:t>
      </w:r>
      <w:r w:rsidR="00836BB1">
        <w:t>Public Utilities Commissions (</w:t>
      </w:r>
      <w:r w:rsidRPr="00CC3BD9">
        <w:t>PUCs</w:t>
      </w:r>
      <w:r w:rsidR="00836BB1">
        <w:t>)</w:t>
      </w:r>
      <w:r w:rsidRPr="00CC3BD9">
        <w:t xml:space="preserve"> generally</w:t>
      </w:r>
      <w:r w:rsidRPr="001B5B11">
        <w:t xml:space="preserve"> </w:t>
      </w:r>
      <w:r>
        <w:t xml:space="preserve">are </w:t>
      </w:r>
      <w:r w:rsidRPr="001B5B11">
        <w:t>responsible for approving EE program scope, costs</w:t>
      </w:r>
      <w:r>
        <w:t>,</w:t>
      </w:r>
      <w:r w:rsidRPr="001B5B11">
        <w:t xml:space="preserve"> and implementation</w:t>
      </w:r>
      <w:r w:rsidRPr="005840C9">
        <w:t>. Often, utilities manag</w:t>
      </w:r>
      <w:r w:rsidR="00DD1A71" w:rsidRPr="005840C9">
        <w:t>e</w:t>
      </w:r>
      <w:r w:rsidRPr="005840C9">
        <w:t xml:space="preserve"> </w:t>
      </w:r>
      <w:r w:rsidR="00DD1A71" w:rsidRPr="005840C9">
        <w:t xml:space="preserve">the </w:t>
      </w:r>
      <w:r w:rsidRPr="005840C9">
        <w:t>state-sponsored EE programs</w:t>
      </w:r>
      <w:r w:rsidR="00DD1A71" w:rsidRPr="005A65E7">
        <w:t xml:space="preserve">, although </w:t>
      </w:r>
      <w:r w:rsidRPr="005A65E7">
        <w:t xml:space="preserve">Vermont and Maine have separate entities that provide conservation services: “Efficiency Vermont” (EV) and “Efficiency Maine.” These are umbrella EE programs that deliver the EE services through contractors and not through the utilities. Connecticut and Massachusetts </w:t>
      </w:r>
      <w:r w:rsidR="00DD1A71" w:rsidRPr="005A65E7">
        <w:t xml:space="preserve">each </w:t>
      </w:r>
      <w:r w:rsidRPr="005A65E7">
        <w:t>have a separate board or council that oversees program planning and implementation</w:t>
      </w:r>
      <w:r w:rsidR="00DD1A71" w:rsidRPr="005A65E7">
        <w:t xml:space="preserve"> and </w:t>
      </w:r>
      <w:r w:rsidRPr="005A65E7">
        <w:t>reports to the state PUC.</w:t>
      </w:r>
      <w:r w:rsidRPr="001B5B11">
        <w:t xml:space="preserve"> </w:t>
      </w:r>
    </w:p>
    <w:p w:rsidR="0098334E" w:rsidRDefault="004001CC" w:rsidP="0098334E">
      <w:r w:rsidRPr="001B5B11">
        <w:t xml:space="preserve">While planned EE budgets generally </w:t>
      </w:r>
      <w:r>
        <w:t xml:space="preserve">are </w:t>
      </w:r>
      <w:r w:rsidRPr="001B5B11">
        <w:t xml:space="preserve">increasing and are augmented by various sources, such as RGGI </w:t>
      </w:r>
      <w:r w:rsidRPr="00A9483B">
        <w:t>funds, federal stimulus funding, and s</w:t>
      </w:r>
      <w:r w:rsidR="001F263C" w:rsidRPr="00A9483B">
        <w:t>ystem</w:t>
      </w:r>
      <w:r w:rsidRPr="00A9483B">
        <w:t xml:space="preserve"> benefit</w:t>
      </w:r>
      <w:r w:rsidR="001F263C" w:rsidRPr="00A9483B">
        <w:t>s</w:t>
      </w:r>
      <w:r w:rsidRPr="00A9483B">
        <w:t xml:space="preserve"> charges</w:t>
      </w:r>
      <w:r w:rsidR="001C7A40" w:rsidRPr="00A9483B">
        <w:t xml:space="preserve"> (SBCs)</w:t>
      </w:r>
      <w:r w:rsidRPr="00A9483B">
        <w:t xml:space="preserve">, fiscal conditions may shift funds </w:t>
      </w:r>
      <w:r w:rsidR="0098334E" w:rsidRPr="00A9483B">
        <w:t xml:space="preserve">out of </w:t>
      </w:r>
      <w:r w:rsidRPr="00A9483B">
        <w:t xml:space="preserve">EE programs </w:t>
      </w:r>
      <w:r w:rsidR="0098334E" w:rsidRPr="00A9483B">
        <w:t>and in</w:t>
      </w:r>
      <w:r w:rsidR="00987991" w:rsidRPr="00A9483B">
        <w:t>to the general state budget</w:t>
      </w:r>
      <w:r w:rsidR="0098334E" w:rsidRPr="00A9483B">
        <w:t>s</w:t>
      </w:r>
      <w:r w:rsidR="00987991" w:rsidRPr="00A9483B">
        <w:t>, which</w:t>
      </w:r>
      <w:r w:rsidRPr="00A9483B">
        <w:t xml:space="preserve"> would delay </w:t>
      </w:r>
      <w:r w:rsidR="007A0D86" w:rsidRPr="00A9483B">
        <w:t xml:space="preserve">reaching </w:t>
      </w:r>
      <w:r w:rsidRPr="00A9483B">
        <w:t xml:space="preserve">higher levels </w:t>
      </w:r>
      <w:r w:rsidRPr="005A65E7">
        <w:t>of EE</w:t>
      </w:r>
      <w:r w:rsidR="00987991" w:rsidRPr="005A65E7">
        <w:t xml:space="preserve">. On the </w:t>
      </w:r>
      <w:r w:rsidR="005A65E7" w:rsidRPr="005A65E7">
        <w:t>contrary</w:t>
      </w:r>
      <w:r w:rsidR="00987991" w:rsidRPr="005A65E7">
        <w:t>, states may exceed their anticipated EE goals.</w:t>
      </w:r>
      <w:r w:rsidR="00C1494F">
        <w:t xml:space="preserve"> </w:t>
      </w:r>
    </w:p>
    <w:p w:rsidR="00FC0261" w:rsidRDefault="004001CC" w:rsidP="00235A65">
      <w:pPr>
        <w:pStyle w:val="Heading4"/>
      </w:pPr>
      <w:r w:rsidRPr="00E50532">
        <w:t>Connecticut</w:t>
      </w:r>
    </w:p>
    <w:p w:rsidR="00964079" w:rsidRDefault="004001CC" w:rsidP="00073277">
      <w:r w:rsidRPr="001B5B11">
        <w:t xml:space="preserve">Connecticut’s two public electric utilities and municipal utilities provide a portfolio of EE programs to their customers </w:t>
      </w:r>
      <w:r w:rsidR="00121D8B">
        <w:t xml:space="preserve">according to </w:t>
      </w:r>
      <w:r w:rsidRPr="001B5B11">
        <w:t>an annual plan approved by the state’s Energy Conservation Management Board (ECMB). The ECMB also administers the Connecticut Energy Efficiency Fund (CEEF)</w:t>
      </w:r>
      <w:r>
        <w:t>,</w:t>
      </w:r>
      <w:r w:rsidRPr="001B5B11">
        <w:t xml:space="preserve"> which receives its revenues from the </w:t>
      </w:r>
      <w:r w:rsidR="00987991" w:rsidRPr="00987991">
        <w:t>system benefits charge. The ECMB members are appointed by the C</w:t>
      </w:r>
      <w:r w:rsidR="006A6E45">
        <w:t>onnecticut</w:t>
      </w:r>
      <w:r w:rsidR="00987991" w:rsidRPr="00987991">
        <w:t xml:space="preserve"> Department of Public Utility Control (DPUC). The utilities</w:t>
      </w:r>
      <w:r w:rsidRPr="004F7DA8">
        <w:t xml:space="preserve"> administer the EE progr</w:t>
      </w:r>
      <w:r w:rsidRPr="001B5B11">
        <w:t>ams and implement them with their own resources and through contractors. Legislation in 2007 decoupled utility revenues from the volume of sales to support EE performance goals</w:t>
      </w:r>
      <w:r w:rsidR="006A6E45">
        <w:t xml:space="preserve"> and </w:t>
      </w:r>
      <w:r w:rsidRPr="001B5B11">
        <w:t>required utilities to pursue all cost-effective EE resources as a first priority. In 2009</w:t>
      </w:r>
      <w:r>
        <w:t>,</w:t>
      </w:r>
      <w:r w:rsidRPr="001B5B11">
        <w:t xml:space="preserve"> </w:t>
      </w:r>
      <w:r w:rsidR="00964079" w:rsidRPr="00964079">
        <w:t xml:space="preserve">the state estimated that </w:t>
      </w:r>
      <w:r w:rsidR="0011672E">
        <w:t>it</w:t>
      </w:r>
      <w:r w:rsidR="00964079" w:rsidRPr="00964079">
        <w:t xml:space="preserve"> saved approximately </w:t>
      </w:r>
      <w:r w:rsidR="004116BF" w:rsidRPr="004F7DA8">
        <w:t>237,</w:t>
      </w:r>
      <w:r w:rsidR="004F7DA8" w:rsidRPr="004F7DA8">
        <w:t>000</w:t>
      </w:r>
      <w:r w:rsidR="004F7DA8">
        <w:t> </w:t>
      </w:r>
      <w:r w:rsidR="004116BF" w:rsidRPr="004F7DA8">
        <w:t>MWh</w:t>
      </w:r>
      <w:r w:rsidR="00964079" w:rsidRPr="004F7DA8">
        <w:t xml:space="preserve"> thro</w:t>
      </w:r>
      <w:r w:rsidR="00964079" w:rsidRPr="00964079">
        <w:t xml:space="preserve">ugh </w:t>
      </w:r>
      <w:r w:rsidR="0011672E">
        <w:t>its</w:t>
      </w:r>
      <w:r w:rsidR="00964079" w:rsidRPr="00964079">
        <w:t xml:space="preserve"> EE programs. </w:t>
      </w:r>
      <w:r w:rsidR="00832C7A">
        <w:fldChar w:fldCharType="begin"/>
      </w:r>
      <w:r w:rsidR="000073EE">
        <w:instrText xml:space="preserve"> REF _Ref265612190 \h </w:instrText>
      </w:r>
      <w:r w:rsidR="00832C7A">
        <w:fldChar w:fldCharType="separate"/>
      </w:r>
      <w:r w:rsidR="00E5699E" w:rsidRPr="004F7DA8">
        <w:t xml:space="preserve">Table </w:t>
      </w:r>
      <w:r w:rsidR="00E5699E">
        <w:rPr>
          <w:noProof/>
        </w:rPr>
        <w:t>8</w:t>
      </w:r>
      <w:r w:rsidR="00E5699E">
        <w:noBreakHyphen/>
      </w:r>
      <w:r w:rsidR="00E5699E">
        <w:rPr>
          <w:noProof/>
        </w:rPr>
        <w:t>6</w:t>
      </w:r>
      <w:r w:rsidR="00832C7A">
        <w:fldChar w:fldCharType="end"/>
      </w:r>
      <w:r w:rsidR="00964079" w:rsidRPr="00964079">
        <w:t xml:space="preserve"> shows the sources </w:t>
      </w:r>
      <w:r w:rsidR="00964079" w:rsidRPr="004F7DA8">
        <w:t xml:space="preserve">of </w:t>
      </w:r>
      <w:r w:rsidR="003174D8" w:rsidRPr="003174D8">
        <w:t xml:space="preserve">spending for </w:t>
      </w:r>
      <w:r w:rsidR="00964079" w:rsidRPr="004F7DA8">
        <w:t xml:space="preserve">EE </w:t>
      </w:r>
      <w:r w:rsidR="00E273BC" w:rsidRPr="004F7DA8">
        <w:t xml:space="preserve">programs </w:t>
      </w:r>
      <w:r w:rsidR="00964079" w:rsidRPr="004F7DA8">
        <w:t>in</w:t>
      </w:r>
      <w:r w:rsidR="00964079" w:rsidRPr="00964079">
        <w:t xml:space="preserve"> Connecticut in </w:t>
      </w:r>
      <w:r w:rsidR="004116BF" w:rsidRPr="004116BF">
        <w:t>2009.</w:t>
      </w:r>
      <w:r w:rsidR="004116BF" w:rsidRPr="00C45AAB">
        <w:rPr>
          <w:rStyle w:val="FootnoteReference"/>
          <w:sz w:val="22"/>
        </w:rPr>
        <w:footnoteReference w:id="223"/>
      </w:r>
    </w:p>
    <w:p w:rsidR="001C2792" w:rsidRDefault="0011672E">
      <w:pPr>
        <w:pStyle w:val="Caption"/>
        <w:ind w:left="0" w:right="0"/>
      </w:pPr>
      <w:bookmarkStart w:id="620" w:name="_Ref265612190"/>
      <w:bookmarkStart w:id="621" w:name="_Toc271552426"/>
      <w:r w:rsidRPr="004F7DA8">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6</w:t>
      </w:r>
      <w:r w:rsidR="00832C7A">
        <w:fldChar w:fldCharType="end"/>
      </w:r>
      <w:bookmarkEnd w:id="620"/>
      <w:r w:rsidR="00004107">
        <w:br/>
      </w:r>
      <w:r w:rsidR="004116BF" w:rsidRPr="004F7DA8">
        <w:t xml:space="preserve">Connecticut’s </w:t>
      </w:r>
      <w:r w:rsidR="00CD2FAF" w:rsidRPr="004F7DA8">
        <w:t xml:space="preserve">Sources of Funding for </w:t>
      </w:r>
      <w:r w:rsidR="004116BF" w:rsidRPr="004F7DA8">
        <w:t>Energy</w:t>
      </w:r>
      <w:r w:rsidR="00CD2FAF" w:rsidRPr="004F7DA8">
        <w:t>-</w:t>
      </w:r>
      <w:r w:rsidR="004116BF" w:rsidRPr="004F7DA8">
        <w:t xml:space="preserve">Efficiency </w:t>
      </w:r>
      <w:r w:rsidR="00E273BC" w:rsidRPr="004F7DA8">
        <w:t>Programs</w:t>
      </w:r>
      <w:r w:rsidR="00671D68" w:rsidRPr="004F7DA8">
        <w:t>,</w:t>
      </w:r>
      <w:r w:rsidR="004116BF" w:rsidRPr="004F7DA8">
        <w:t xml:space="preserve"> 2009</w:t>
      </w:r>
      <w:bookmarkEnd w:id="621"/>
    </w:p>
    <w:tbl>
      <w:tblPr>
        <w:tblStyle w:val="LightList-Accent6"/>
        <w:tblW w:w="0" w:type="auto"/>
        <w:jc w:val="center"/>
        <w:tblInd w:w="-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44" w:type="dxa"/>
          <w:bottom w:w="43" w:type="dxa"/>
          <w:right w:w="144" w:type="dxa"/>
        </w:tblCellMar>
        <w:tblLook w:val="04A0"/>
      </w:tblPr>
      <w:tblGrid>
        <w:gridCol w:w="2530"/>
        <w:gridCol w:w="1518"/>
      </w:tblGrid>
      <w:tr w:rsidR="001A1545" w:rsidRPr="00671D68" w:rsidTr="001C7A40">
        <w:trPr>
          <w:cnfStyle w:val="100000000000"/>
          <w:cantSplit/>
          <w:jc w:val="center"/>
        </w:trPr>
        <w:tc>
          <w:tcPr>
            <w:cnfStyle w:val="001000000000"/>
            <w:tcW w:w="2530" w:type="dxa"/>
            <w:shd w:val="clear" w:color="auto" w:fill="FBCE76" w:themeFill="background2" w:themeFillTint="99"/>
            <w:vAlign w:val="center"/>
          </w:tcPr>
          <w:p w:rsidR="00FB15AD" w:rsidRPr="00671D68" w:rsidRDefault="00FB15AD" w:rsidP="001A1545">
            <w:pPr>
              <w:spacing w:after="0"/>
              <w:jc w:val="center"/>
              <w:rPr>
                <w:rFonts w:ascii="Arial" w:hAnsi="Arial" w:cs="Arial"/>
                <w:color w:val="000000" w:themeColor="text1"/>
                <w:sz w:val="18"/>
                <w:szCs w:val="18"/>
              </w:rPr>
            </w:pPr>
            <w:r w:rsidRPr="00671D68">
              <w:rPr>
                <w:rFonts w:ascii="Arial" w:hAnsi="Arial" w:cs="Arial"/>
                <w:color w:val="000000" w:themeColor="text1"/>
                <w:sz w:val="18"/>
                <w:szCs w:val="18"/>
              </w:rPr>
              <w:t>Funding Source</w:t>
            </w:r>
          </w:p>
        </w:tc>
        <w:tc>
          <w:tcPr>
            <w:tcW w:w="1518" w:type="dxa"/>
            <w:shd w:val="clear" w:color="auto" w:fill="FBCE76" w:themeFill="background2" w:themeFillTint="99"/>
            <w:vAlign w:val="center"/>
          </w:tcPr>
          <w:p w:rsidR="00FB15AD" w:rsidRPr="00671D68" w:rsidRDefault="00FB15AD" w:rsidP="004E7B33">
            <w:pPr>
              <w:spacing w:after="0"/>
              <w:jc w:val="center"/>
              <w:cnfStyle w:val="100000000000"/>
              <w:rPr>
                <w:rFonts w:ascii="Arial" w:hAnsi="Arial" w:cs="Arial"/>
                <w:color w:val="000000" w:themeColor="text1"/>
                <w:sz w:val="18"/>
                <w:szCs w:val="18"/>
              </w:rPr>
            </w:pPr>
            <w:r w:rsidRPr="00671D68">
              <w:rPr>
                <w:rFonts w:ascii="Arial" w:hAnsi="Arial" w:cs="Arial"/>
                <w:color w:val="000000" w:themeColor="text1"/>
                <w:sz w:val="18"/>
                <w:szCs w:val="18"/>
              </w:rPr>
              <w:t>Amount</w:t>
            </w:r>
            <w:r w:rsidR="00671D68" w:rsidRPr="00671D68">
              <w:rPr>
                <w:rFonts w:ascii="Arial" w:hAnsi="Arial" w:cs="Arial"/>
                <w:color w:val="000000" w:themeColor="text1"/>
                <w:sz w:val="18"/>
                <w:szCs w:val="18"/>
              </w:rPr>
              <w:br/>
              <w:t>(millions)</w:t>
            </w:r>
          </w:p>
        </w:tc>
      </w:tr>
      <w:tr w:rsidR="001A1545" w:rsidRPr="00671D68" w:rsidTr="00FB301E">
        <w:trPr>
          <w:cnfStyle w:val="000000100000"/>
          <w:cantSplit/>
          <w:jc w:val="center"/>
        </w:trPr>
        <w:tc>
          <w:tcPr>
            <w:cnfStyle w:val="001000000000"/>
            <w:tcW w:w="2530" w:type="dxa"/>
            <w:tcBorders>
              <w:top w:val="none" w:sz="0" w:space="0" w:color="auto"/>
              <w:left w:val="none" w:sz="0" w:space="0" w:color="auto"/>
              <w:bottom w:val="none" w:sz="0" w:space="0" w:color="auto"/>
            </w:tcBorders>
            <w:vAlign w:val="center"/>
          </w:tcPr>
          <w:p w:rsidR="00FB15AD" w:rsidRPr="00671D68" w:rsidRDefault="00FB15AD" w:rsidP="00015CB2">
            <w:pPr>
              <w:spacing w:after="0"/>
              <w:rPr>
                <w:rFonts w:ascii="Arial" w:hAnsi="Arial" w:cs="Arial"/>
                <w:sz w:val="18"/>
                <w:szCs w:val="18"/>
              </w:rPr>
            </w:pPr>
            <w:r w:rsidRPr="00671D68">
              <w:rPr>
                <w:rFonts w:ascii="Arial" w:hAnsi="Arial" w:cs="Arial"/>
                <w:sz w:val="18"/>
                <w:szCs w:val="18"/>
              </w:rPr>
              <w:t>S</w:t>
            </w:r>
            <w:r w:rsidR="00015CB2">
              <w:rPr>
                <w:rFonts w:ascii="Arial" w:hAnsi="Arial" w:cs="Arial"/>
                <w:sz w:val="18"/>
                <w:szCs w:val="18"/>
              </w:rPr>
              <w:t xml:space="preserve">ystem </w:t>
            </w:r>
            <w:r w:rsidRPr="00671D68">
              <w:rPr>
                <w:rFonts w:ascii="Arial" w:hAnsi="Arial" w:cs="Arial"/>
                <w:sz w:val="18"/>
                <w:szCs w:val="18"/>
              </w:rPr>
              <w:t>benefits charge</w:t>
            </w:r>
          </w:p>
        </w:tc>
        <w:tc>
          <w:tcPr>
            <w:tcW w:w="1518" w:type="dxa"/>
            <w:tcBorders>
              <w:top w:val="none" w:sz="0" w:space="0" w:color="auto"/>
              <w:bottom w:val="none" w:sz="0" w:space="0" w:color="auto"/>
              <w:right w:val="none" w:sz="0" w:space="0" w:color="auto"/>
            </w:tcBorders>
            <w:tcMar>
              <w:left w:w="0" w:type="dxa"/>
              <w:right w:w="432" w:type="dxa"/>
            </w:tcMar>
            <w:vAlign w:val="center"/>
          </w:tcPr>
          <w:p w:rsidR="00FB15AD" w:rsidRPr="00671D68" w:rsidRDefault="00FB15AD" w:rsidP="00671D68">
            <w:pPr>
              <w:spacing w:after="0"/>
              <w:jc w:val="right"/>
              <w:cnfStyle w:val="000000100000"/>
              <w:rPr>
                <w:rFonts w:ascii="Arial" w:hAnsi="Arial" w:cs="Arial"/>
                <w:sz w:val="18"/>
                <w:szCs w:val="18"/>
              </w:rPr>
            </w:pPr>
            <w:r w:rsidRPr="00671D68">
              <w:rPr>
                <w:rFonts w:ascii="Arial" w:hAnsi="Arial" w:cs="Arial"/>
                <w:sz w:val="18"/>
                <w:szCs w:val="18"/>
              </w:rPr>
              <w:t>$91</w:t>
            </w:r>
          </w:p>
        </w:tc>
      </w:tr>
      <w:tr w:rsidR="001A1545" w:rsidRPr="00671D68" w:rsidTr="001C7A40">
        <w:trPr>
          <w:cantSplit/>
          <w:jc w:val="center"/>
        </w:trPr>
        <w:tc>
          <w:tcPr>
            <w:cnfStyle w:val="001000000000"/>
            <w:tcW w:w="2530" w:type="dxa"/>
            <w:shd w:val="clear" w:color="auto" w:fill="FDEED1" w:themeFill="background2" w:themeFillTint="33"/>
            <w:vAlign w:val="center"/>
          </w:tcPr>
          <w:p w:rsidR="00FB15AD" w:rsidRPr="00671D68" w:rsidRDefault="00FB15AD" w:rsidP="001A1545">
            <w:pPr>
              <w:spacing w:after="0"/>
              <w:rPr>
                <w:rFonts w:ascii="Arial" w:hAnsi="Arial" w:cs="Arial"/>
                <w:sz w:val="18"/>
                <w:szCs w:val="18"/>
              </w:rPr>
            </w:pPr>
            <w:r w:rsidRPr="00671D68">
              <w:rPr>
                <w:rFonts w:ascii="Arial" w:hAnsi="Arial" w:cs="Arial"/>
                <w:sz w:val="18"/>
                <w:szCs w:val="18"/>
              </w:rPr>
              <w:t>FCM revenues</w:t>
            </w:r>
          </w:p>
        </w:tc>
        <w:tc>
          <w:tcPr>
            <w:tcW w:w="1518" w:type="dxa"/>
            <w:shd w:val="clear" w:color="auto" w:fill="FDEED1" w:themeFill="background2" w:themeFillTint="33"/>
            <w:tcMar>
              <w:left w:w="0" w:type="dxa"/>
              <w:right w:w="432" w:type="dxa"/>
            </w:tcMar>
            <w:vAlign w:val="center"/>
          </w:tcPr>
          <w:p w:rsidR="00FB15AD" w:rsidRPr="00671D68" w:rsidRDefault="00FB15AD" w:rsidP="001A1545">
            <w:pPr>
              <w:spacing w:after="0"/>
              <w:jc w:val="right"/>
              <w:cnfStyle w:val="000000000000"/>
              <w:rPr>
                <w:rFonts w:ascii="Arial" w:hAnsi="Arial" w:cs="Arial"/>
                <w:sz w:val="18"/>
                <w:szCs w:val="18"/>
              </w:rPr>
            </w:pPr>
            <w:r w:rsidRPr="00671D68">
              <w:rPr>
                <w:rFonts w:ascii="Arial" w:hAnsi="Arial" w:cs="Arial"/>
                <w:sz w:val="18"/>
                <w:szCs w:val="18"/>
              </w:rPr>
              <w:t>$10</w:t>
            </w:r>
          </w:p>
        </w:tc>
      </w:tr>
      <w:tr w:rsidR="001A1545" w:rsidRPr="00671D68" w:rsidTr="00FB301E">
        <w:trPr>
          <w:cnfStyle w:val="000000100000"/>
          <w:cantSplit/>
          <w:jc w:val="center"/>
        </w:trPr>
        <w:tc>
          <w:tcPr>
            <w:cnfStyle w:val="001000000000"/>
            <w:tcW w:w="2530" w:type="dxa"/>
            <w:tcBorders>
              <w:top w:val="none" w:sz="0" w:space="0" w:color="auto"/>
              <w:left w:val="none" w:sz="0" w:space="0" w:color="auto"/>
              <w:bottom w:val="none" w:sz="0" w:space="0" w:color="auto"/>
            </w:tcBorders>
            <w:vAlign w:val="center"/>
          </w:tcPr>
          <w:p w:rsidR="00FB15AD" w:rsidRPr="00671D68" w:rsidRDefault="00FB15AD" w:rsidP="001A1545">
            <w:pPr>
              <w:spacing w:after="0"/>
              <w:rPr>
                <w:rFonts w:ascii="Arial" w:hAnsi="Arial" w:cs="Arial"/>
                <w:sz w:val="18"/>
                <w:szCs w:val="18"/>
              </w:rPr>
            </w:pPr>
            <w:r w:rsidRPr="00671D68">
              <w:rPr>
                <w:rFonts w:ascii="Arial" w:hAnsi="Arial" w:cs="Arial"/>
                <w:sz w:val="18"/>
                <w:szCs w:val="18"/>
              </w:rPr>
              <w:t>RGGI revenues</w:t>
            </w:r>
          </w:p>
        </w:tc>
        <w:tc>
          <w:tcPr>
            <w:tcW w:w="1518" w:type="dxa"/>
            <w:tcBorders>
              <w:top w:val="none" w:sz="0" w:space="0" w:color="auto"/>
              <w:bottom w:val="none" w:sz="0" w:space="0" w:color="auto"/>
              <w:right w:val="none" w:sz="0" w:space="0" w:color="auto"/>
            </w:tcBorders>
            <w:tcMar>
              <w:left w:w="0" w:type="dxa"/>
              <w:right w:w="432" w:type="dxa"/>
            </w:tcMar>
            <w:vAlign w:val="center"/>
          </w:tcPr>
          <w:p w:rsidR="00FB15AD" w:rsidRPr="00671D68" w:rsidRDefault="00FB15AD" w:rsidP="00671D68">
            <w:pPr>
              <w:spacing w:after="0"/>
              <w:jc w:val="right"/>
              <w:cnfStyle w:val="000000100000"/>
              <w:rPr>
                <w:rFonts w:ascii="Arial" w:hAnsi="Arial" w:cs="Arial"/>
                <w:sz w:val="18"/>
                <w:szCs w:val="18"/>
              </w:rPr>
            </w:pPr>
            <w:r w:rsidRPr="00671D68">
              <w:rPr>
                <w:rFonts w:ascii="Arial" w:hAnsi="Arial" w:cs="Arial"/>
                <w:sz w:val="18"/>
                <w:szCs w:val="18"/>
              </w:rPr>
              <w:t>$17</w:t>
            </w:r>
          </w:p>
        </w:tc>
      </w:tr>
      <w:tr w:rsidR="001A1545" w:rsidRPr="00671D68" w:rsidTr="001C7A40">
        <w:trPr>
          <w:cantSplit/>
          <w:jc w:val="center"/>
        </w:trPr>
        <w:tc>
          <w:tcPr>
            <w:cnfStyle w:val="001000000000"/>
            <w:tcW w:w="2530" w:type="dxa"/>
            <w:shd w:val="clear" w:color="auto" w:fill="FDEED1" w:themeFill="background2" w:themeFillTint="33"/>
            <w:vAlign w:val="center"/>
          </w:tcPr>
          <w:p w:rsidR="00FB15AD" w:rsidRPr="00671D68" w:rsidRDefault="00FB15AD" w:rsidP="001A1545">
            <w:pPr>
              <w:spacing w:after="0"/>
              <w:rPr>
                <w:rFonts w:ascii="Arial" w:hAnsi="Arial" w:cs="Arial"/>
                <w:sz w:val="18"/>
                <w:szCs w:val="18"/>
              </w:rPr>
            </w:pPr>
            <w:r w:rsidRPr="00671D68">
              <w:rPr>
                <w:rFonts w:ascii="Arial" w:hAnsi="Arial" w:cs="Arial"/>
                <w:sz w:val="18"/>
                <w:szCs w:val="18"/>
              </w:rPr>
              <w:t xml:space="preserve">CT’s RPS Class III </w:t>
            </w:r>
            <w:r w:rsidR="00A707BD" w:rsidRPr="00A707BD">
              <w:rPr>
                <w:rFonts w:ascii="Arial" w:hAnsi="Arial" w:cs="Arial"/>
                <w:sz w:val="18"/>
                <w:szCs w:val="18"/>
              </w:rPr>
              <w:t>Renewable Energy Certificate</w:t>
            </w:r>
            <w:r w:rsidR="00FE434C">
              <w:rPr>
                <w:rFonts w:ascii="Arial" w:hAnsi="Arial" w:cs="Arial"/>
                <w:sz w:val="18"/>
                <w:szCs w:val="18"/>
              </w:rPr>
              <w:t>s</w:t>
            </w:r>
            <w:r w:rsidR="00A707BD" w:rsidRPr="00A707BD">
              <w:rPr>
                <w:rFonts w:ascii="Arial" w:hAnsi="Arial" w:cs="Arial"/>
                <w:sz w:val="18"/>
                <w:szCs w:val="18"/>
              </w:rPr>
              <w:t xml:space="preserve"> </w:t>
            </w:r>
            <w:r w:rsidR="00A707BD">
              <w:rPr>
                <w:rFonts w:ascii="Arial" w:hAnsi="Arial" w:cs="Arial"/>
                <w:sz w:val="18"/>
                <w:szCs w:val="18"/>
              </w:rPr>
              <w:t>(</w:t>
            </w:r>
            <w:r w:rsidRPr="00671D68">
              <w:rPr>
                <w:rFonts w:ascii="Arial" w:hAnsi="Arial" w:cs="Arial"/>
                <w:sz w:val="18"/>
                <w:szCs w:val="18"/>
              </w:rPr>
              <w:t>RECs</w:t>
            </w:r>
            <w:r w:rsidR="00A707BD">
              <w:rPr>
                <w:rFonts w:ascii="Arial" w:hAnsi="Arial" w:cs="Arial"/>
                <w:sz w:val="18"/>
                <w:szCs w:val="18"/>
              </w:rPr>
              <w:t>)</w:t>
            </w:r>
            <w:r w:rsidR="00A707BD" w:rsidRPr="00A707BD">
              <w:rPr>
                <w:rFonts w:ascii="Arial" w:hAnsi="Arial" w:cs="Arial"/>
                <w:sz w:val="18"/>
                <w:szCs w:val="18"/>
                <w:vertAlign w:val="superscript"/>
              </w:rPr>
              <w:t>(a)</w:t>
            </w:r>
          </w:p>
        </w:tc>
        <w:tc>
          <w:tcPr>
            <w:tcW w:w="1518" w:type="dxa"/>
            <w:shd w:val="clear" w:color="auto" w:fill="FDEED1" w:themeFill="background2" w:themeFillTint="33"/>
            <w:tcMar>
              <w:left w:w="0" w:type="dxa"/>
              <w:right w:w="432" w:type="dxa"/>
            </w:tcMar>
            <w:vAlign w:val="center"/>
          </w:tcPr>
          <w:p w:rsidR="00FB15AD" w:rsidRPr="00671D68" w:rsidRDefault="00FB15AD" w:rsidP="001A1545">
            <w:pPr>
              <w:spacing w:after="0"/>
              <w:jc w:val="right"/>
              <w:cnfStyle w:val="000000000000"/>
              <w:rPr>
                <w:rFonts w:ascii="Arial" w:hAnsi="Arial" w:cs="Arial"/>
                <w:sz w:val="18"/>
                <w:szCs w:val="18"/>
              </w:rPr>
            </w:pPr>
            <w:r w:rsidRPr="00671D68">
              <w:rPr>
                <w:rFonts w:ascii="Arial" w:hAnsi="Arial" w:cs="Arial"/>
                <w:sz w:val="18"/>
                <w:szCs w:val="18"/>
              </w:rPr>
              <w:t>$14</w:t>
            </w:r>
          </w:p>
        </w:tc>
      </w:tr>
      <w:tr w:rsidR="001A1545" w:rsidRPr="001A1545" w:rsidTr="00FB301E">
        <w:trPr>
          <w:cnfStyle w:val="000000100000"/>
          <w:cantSplit/>
          <w:jc w:val="center"/>
        </w:trPr>
        <w:tc>
          <w:tcPr>
            <w:cnfStyle w:val="001000000000"/>
            <w:tcW w:w="2530" w:type="dxa"/>
            <w:tcBorders>
              <w:top w:val="none" w:sz="0" w:space="0" w:color="auto"/>
              <w:left w:val="none" w:sz="0" w:space="0" w:color="auto"/>
              <w:bottom w:val="none" w:sz="0" w:space="0" w:color="auto"/>
            </w:tcBorders>
            <w:shd w:val="clear" w:color="auto" w:fill="FBCE76" w:themeFill="background2" w:themeFillTint="99"/>
            <w:vAlign w:val="center"/>
          </w:tcPr>
          <w:p w:rsidR="00746907" w:rsidRPr="00671D68" w:rsidRDefault="00FB15AD">
            <w:pPr>
              <w:spacing w:after="0"/>
              <w:rPr>
                <w:rFonts w:ascii="Arial" w:hAnsi="Arial" w:cs="Arial"/>
                <w:b w:val="0"/>
                <w:bCs w:val="0"/>
                <w:sz w:val="18"/>
                <w:szCs w:val="18"/>
              </w:rPr>
            </w:pPr>
            <w:r w:rsidRPr="00671D68">
              <w:rPr>
                <w:rFonts w:ascii="Arial" w:hAnsi="Arial" w:cs="Arial"/>
                <w:sz w:val="18"/>
                <w:szCs w:val="18"/>
              </w:rPr>
              <w:t>Total</w:t>
            </w:r>
          </w:p>
        </w:tc>
        <w:tc>
          <w:tcPr>
            <w:tcW w:w="1518" w:type="dxa"/>
            <w:tcBorders>
              <w:top w:val="none" w:sz="0" w:space="0" w:color="auto"/>
              <w:bottom w:val="none" w:sz="0" w:space="0" w:color="auto"/>
              <w:right w:val="none" w:sz="0" w:space="0" w:color="auto"/>
            </w:tcBorders>
            <w:shd w:val="clear" w:color="auto" w:fill="FBCE76" w:themeFill="background2" w:themeFillTint="99"/>
            <w:tcMar>
              <w:left w:w="0" w:type="dxa"/>
              <w:right w:w="432" w:type="dxa"/>
            </w:tcMar>
            <w:vAlign w:val="center"/>
          </w:tcPr>
          <w:p w:rsidR="00C73E33" w:rsidRDefault="003174D8">
            <w:pPr>
              <w:spacing w:after="0"/>
              <w:jc w:val="right"/>
              <w:cnfStyle w:val="000000100000"/>
              <w:rPr>
                <w:rFonts w:ascii="Arial" w:hAnsi="Arial" w:cs="Arial"/>
                <w:sz w:val="18"/>
                <w:szCs w:val="18"/>
              </w:rPr>
            </w:pPr>
            <w:r w:rsidRPr="003174D8">
              <w:rPr>
                <w:rFonts w:ascii="Arial" w:hAnsi="Arial" w:cs="Arial"/>
                <w:sz w:val="18"/>
                <w:szCs w:val="18"/>
              </w:rPr>
              <w:t>$132</w:t>
            </w:r>
          </w:p>
        </w:tc>
      </w:tr>
    </w:tbl>
    <w:p w:rsidR="00FB15AD" w:rsidRDefault="00A707BD" w:rsidP="00C45AAB">
      <w:pPr>
        <w:spacing w:before="120" w:line="240" w:lineRule="auto"/>
        <w:ind w:left="2970" w:right="2520" w:hanging="263"/>
      </w:pPr>
      <w:r>
        <w:rPr>
          <w:rFonts w:ascii="Arial" w:hAnsi="Arial" w:cs="Arial"/>
          <w:sz w:val="16"/>
          <w:szCs w:val="16"/>
        </w:rPr>
        <w:t xml:space="preserve">(a) </w:t>
      </w:r>
      <w:r w:rsidR="00C45AAB">
        <w:rPr>
          <w:rFonts w:ascii="Arial" w:hAnsi="Arial" w:cs="Arial"/>
          <w:sz w:val="16"/>
          <w:szCs w:val="16"/>
        </w:rPr>
        <w:tab/>
      </w:r>
      <w:r w:rsidRPr="002563F1">
        <w:rPr>
          <w:rFonts w:ascii="Arial" w:hAnsi="Arial" w:cs="Arial"/>
          <w:sz w:val="16"/>
          <w:szCs w:val="16"/>
        </w:rPr>
        <w:t xml:space="preserve">A </w:t>
      </w:r>
      <w:r w:rsidRPr="002563F1">
        <w:rPr>
          <w:rFonts w:ascii="Arial" w:hAnsi="Arial" w:cs="Arial"/>
          <w:i/>
          <w:sz w:val="16"/>
          <w:szCs w:val="16"/>
        </w:rPr>
        <w:t>Renewable Energy Certificate</w:t>
      </w:r>
      <w:r w:rsidRPr="002563F1">
        <w:rPr>
          <w:rFonts w:ascii="Arial" w:hAnsi="Arial" w:cs="Arial"/>
          <w:sz w:val="16"/>
          <w:szCs w:val="16"/>
        </w:rPr>
        <w:t xml:space="preserve"> represents the environmental attributes of 1 MWh of electricity from a certified renewable generation source for a specific state’s RPS. Providers of renewable energy are credited with RECs, which usually are sold or traded separately from the electric energy commodity.</w:t>
      </w:r>
    </w:p>
    <w:p w:rsidR="00FC0261" w:rsidRDefault="004001CC" w:rsidP="00235A65">
      <w:pPr>
        <w:pStyle w:val="Heading4"/>
      </w:pPr>
      <w:r w:rsidRPr="00071520">
        <w:t>Massachusetts</w:t>
      </w:r>
      <w:r>
        <w:t xml:space="preserve"> </w:t>
      </w:r>
    </w:p>
    <w:p w:rsidR="004001CC" w:rsidRDefault="004001CC" w:rsidP="00073277">
      <w:r w:rsidRPr="001B5B11">
        <w:t xml:space="preserve">The </w:t>
      </w:r>
      <w:r w:rsidRPr="00C70D89">
        <w:rPr>
          <w:i/>
        </w:rPr>
        <w:t>Green Communities Act</w:t>
      </w:r>
      <w:r w:rsidRPr="001B5B11">
        <w:t xml:space="preserve"> (GCA) passed in 2008 established </w:t>
      </w:r>
      <w:r>
        <w:t>the</w:t>
      </w:r>
      <w:r w:rsidRPr="001B5B11">
        <w:t xml:space="preserve"> Energy Efficiency Advisory Council (EEAC)</w:t>
      </w:r>
      <w:r>
        <w:t>.</w:t>
      </w:r>
      <w:r w:rsidR="009F6F2D" w:rsidRPr="00FE434C">
        <w:rPr>
          <w:rStyle w:val="FootnoteReference"/>
          <w:sz w:val="22"/>
        </w:rPr>
        <w:footnoteReference w:id="224"/>
      </w:r>
      <w:r>
        <w:t xml:space="preserve"> </w:t>
      </w:r>
      <w:r w:rsidRPr="001B5B11">
        <w:t>The M</w:t>
      </w:r>
      <w:r w:rsidR="006A6E45">
        <w:t>assachusetts</w:t>
      </w:r>
      <w:r w:rsidRPr="001B5B11">
        <w:t xml:space="preserve"> Department of Energy Resources (DOER) sets EE policy and promotes EE programs and is represented on the EEAC. </w:t>
      </w:r>
      <w:r>
        <w:t xml:space="preserve">Every three years, the EEAC must </w:t>
      </w:r>
      <w:r w:rsidRPr="001B5B11">
        <w:t>coordinate</w:t>
      </w:r>
      <w:r>
        <w:t xml:space="preserve"> the development of </w:t>
      </w:r>
      <w:r w:rsidRPr="001B5B11">
        <w:t>a three</w:t>
      </w:r>
      <w:r>
        <w:t>-</w:t>
      </w:r>
      <w:r w:rsidRPr="001B5B11">
        <w:t>year plan by the public utilities</w:t>
      </w:r>
      <w:r>
        <w:t xml:space="preserve">, which </w:t>
      </w:r>
      <w:r w:rsidR="006A6E45">
        <w:t>must be</w:t>
      </w:r>
      <w:r>
        <w:t xml:space="preserve"> </w:t>
      </w:r>
      <w:r w:rsidRPr="001B5B11">
        <w:t xml:space="preserve">submitted to the </w:t>
      </w:r>
      <w:r w:rsidR="004F7DA8">
        <w:t xml:space="preserve">Department of Public </w:t>
      </w:r>
      <w:r w:rsidR="004F7DA8" w:rsidRPr="004F7DA8">
        <w:t>Utilities (</w:t>
      </w:r>
      <w:r w:rsidR="003174D8" w:rsidRPr="003174D8">
        <w:t>DPU</w:t>
      </w:r>
      <w:r w:rsidR="004F7DA8" w:rsidRPr="004F7DA8">
        <w:t>)</w:t>
      </w:r>
      <w:r w:rsidRPr="004F7DA8">
        <w:t xml:space="preserve"> for</w:t>
      </w:r>
      <w:r w:rsidRPr="001B5B11">
        <w:t xml:space="preserve"> approval. The most recent EE plans were submitted by National Grid, NSTAR, WMECO, Unitil</w:t>
      </w:r>
      <w:r>
        <w:t>,</w:t>
      </w:r>
      <w:r w:rsidRPr="001B5B11">
        <w:t xml:space="preserve"> and the Cape </w:t>
      </w:r>
      <w:r w:rsidR="00C402FE">
        <w:t xml:space="preserve">Light </w:t>
      </w:r>
      <w:r w:rsidRPr="001B5B11">
        <w:t>Compact for 2010 through 2012</w:t>
      </w:r>
      <w:r>
        <w:t>, which t</w:t>
      </w:r>
      <w:r w:rsidRPr="001B5B11">
        <w:t>he</w:t>
      </w:r>
      <w:r>
        <w:t xml:space="preserve"> DPU approved </w:t>
      </w:r>
      <w:r w:rsidRPr="001B5B11">
        <w:t>in January 2010.</w:t>
      </w:r>
      <w:r w:rsidR="007E7BD8" w:rsidRPr="00FE434C">
        <w:rPr>
          <w:rStyle w:val="FootnoteReference"/>
          <w:sz w:val="22"/>
        </w:rPr>
        <w:footnoteReference w:id="225"/>
      </w:r>
      <w:r w:rsidRPr="00FE434C">
        <w:t xml:space="preserve"> </w:t>
      </w:r>
    </w:p>
    <w:p w:rsidR="00121E63" w:rsidRDefault="004001CC" w:rsidP="00073277">
      <w:r w:rsidRPr="001B5B11">
        <w:t xml:space="preserve">The EE goals of the utilities and the EEAC essentially </w:t>
      </w:r>
      <w:r>
        <w:t xml:space="preserve">are </w:t>
      </w:r>
      <w:r w:rsidRPr="001B5B11">
        <w:t>the same. The GCA requires the utilities to pursue all cost</w:t>
      </w:r>
      <w:r>
        <w:t>-</w:t>
      </w:r>
      <w:r w:rsidRPr="001B5B11">
        <w:t xml:space="preserve">effective EE measures with minimum administration costs. The utilities manage and implement their EE </w:t>
      </w:r>
      <w:r w:rsidRPr="001A2DD1">
        <w:t xml:space="preserve">programs, and the state administers low-income EE programs. </w:t>
      </w:r>
      <w:r w:rsidR="00832C7A">
        <w:fldChar w:fldCharType="begin"/>
      </w:r>
      <w:r w:rsidR="004F7DA8">
        <w:instrText xml:space="preserve"> REF _Ref266536057 \h </w:instrText>
      </w:r>
      <w:r w:rsidR="00832C7A">
        <w:fldChar w:fldCharType="separate"/>
      </w:r>
      <w:r w:rsidR="00E5699E">
        <w:t xml:space="preserve">Table </w:t>
      </w:r>
      <w:r w:rsidR="00E5699E">
        <w:rPr>
          <w:noProof/>
        </w:rPr>
        <w:t>8</w:t>
      </w:r>
      <w:r w:rsidR="00E5699E">
        <w:noBreakHyphen/>
      </w:r>
      <w:r w:rsidR="00E5699E">
        <w:rPr>
          <w:noProof/>
        </w:rPr>
        <w:t>7</w:t>
      </w:r>
      <w:r w:rsidR="00832C7A">
        <w:fldChar w:fldCharType="end"/>
      </w:r>
      <w:r w:rsidR="000E68DC">
        <w:t xml:space="preserve"> </w:t>
      </w:r>
      <w:r w:rsidR="00121E63" w:rsidRPr="001A2DD1">
        <w:t xml:space="preserve">shows approved spending from 2010 to </w:t>
      </w:r>
      <w:r w:rsidR="004116BF" w:rsidRPr="004116BF">
        <w:t>2012</w:t>
      </w:r>
      <w:r w:rsidR="00121E63">
        <w:t xml:space="preserve"> on EE programs.</w:t>
      </w:r>
      <w:r w:rsidR="00121E63" w:rsidRPr="00FE434C">
        <w:rPr>
          <w:rStyle w:val="FootnoteReference"/>
          <w:sz w:val="22"/>
        </w:rPr>
        <w:footnoteReference w:id="226"/>
      </w:r>
      <w:r w:rsidR="00121E63">
        <w:t xml:space="preserve"> Massachusetts estimates that over these three years, the total energy savings will equal approximately 2,649,000 MWh.</w:t>
      </w:r>
    </w:p>
    <w:p w:rsidR="00FE15E2" w:rsidRDefault="00FE15E2" w:rsidP="004360D7">
      <w:pPr>
        <w:pStyle w:val="Caption"/>
      </w:pPr>
      <w:bookmarkStart w:id="622" w:name="_Ref266536057"/>
      <w:bookmarkStart w:id="623" w:name="_Toc271552427"/>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7</w:t>
      </w:r>
      <w:r w:rsidR="00832C7A">
        <w:fldChar w:fldCharType="end"/>
      </w:r>
      <w:bookmarkEnd w:id="622"/>
      <w:r w:rsidR="00ED38AB">
        <w:br/>
      </w:r>
      <w:r w:rsidR="009177B4">
        <w:t>Massachusetts</w:t>
      </w:r>
      <w:r w:rsidR="00E00786">
        <w:t xml:space="preserve">’s Approved Spending for </w:t>
      </w:r>
      <w:r w:rsidR="00266E6F">
        <w:t xml:space="preserve">Energy-Efficiency </w:t>
      </w:r>
      <w:r w:rsidR="00266E6F" w:rsidRPr="001A2DD1">
        <w:t xml:space="preserve">Programs, </w:t>
      </w:r>
      <w:r w:rsidR="004116BF" w:rsidRPr="004116BF">
        <w:t>2010 to 2012</w:t>
      </w:r>
      <w:bookmarkEnd w:id="623"/>
    </w:p>
    <w:tbl>
      <w:tblPr>
        <w:tblStyle w:val="LightList-Accent6"/>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15" w:type="dxa"/>
          <w:bottom w:w="43" w:type="dxa"/>
          <w:right w:w="115" w:type="dxa"/>
        </w:tblCellMar>
        <w:tblLook w:val="04A0"/>
      </w:tblPr>
      <w:tblGrid>
        <w:gridCol w:w="2934"/>
        <w:gridCol w:w="1985"/>
      </w:tblGrid>
      <w:tr w:rsidR="00FE15E2" w:rsidRPr="00E754BE" w:rsidTr="00932303">
        <w:trPr>
          <w:cnfStyle w:val="100000000000"/>
          <w:cantSplit/>
          <w:jc w:val="center"/>
        </w:trPr>
        <w:tc>
          <w:tcPr>
            <w:cnfStyle w:val="001000000000"/>
            <w:tcW w:w="2934" w:type="dxa"/>
            <w:shd w:val="clear" w:color="auto" w:fill="FBCE76" w:themeFill="background2" w:themeFillTint="99"/>
            <w:vAlign w:val="center"/>
          </w:tcPr>
          <w:p w:rsidR="009E2433" w:rsidRDefault="00FE15E2" w:rsidP="004360D7">
            <w:pPr>
              <w:keepNext/>
              <w:keepLines/>
              <w:spacing w:after="0"/>
              <w:jc w:val="center"/>
              <w:rPr>
                <w:rFonts w:ascii="Arial" w:hAnsi="Arial" w:cs="Arial"/>
                <w:b w:val="0"/>
                <w:bCs w:val="0"/>
                <w:color w:val="000000" w:themeColor="text1"/>
                <w:sz w:val="18"/>
                <w:szCs w:val="18"/>
              </w:rPr>
            </w:pPr>
            <w:r w:rsidRPr="00E754BE">
              <w:rPr>
                <w:rFonts w:ascii="Arial" w:hAnsi="Arial" w:cs="Arial"/>
                <w:color w:val="000000" w:themeColor="text1"/>
                <w:sz w:val="18"/>
                <w:szCs w:val="18"/>
              </w:rPr>
              <w:t>Funding Source</w:t>
            </w:r>
          </w:p>
        </w:tc>
        <w:tc>
          <w:tcPr>
            <w:tcW w:w="1985" w:type="dxa"/>
            <w:shd w:val="clear" w:color="auto" w:fill="FBCE76" w:themeFill="background2" w:themeFillTint="99"/>
            <w:vAlign w:val="center"/>
          </w:tcPr>
          <w:p w:rsidR="00164A74" w:rsidRDefault="00FE15E2" w:rsidP="004360D7">
            <w:pPr>
              <w:keepNext/>
              <w:keepLines/>
              <w:spacing w:after="0"/>
              <w:jc w:val="center"/>
              <w:cnfStyle w:val="100000000000"/>
              <w:rPr>
                <w:rFonts w:ascii="Arial" w:hAnsi="Arial" w:cs="Arial"/>
                <w:b w:val="0"/>
                <w:bCs w:val="0"/>
                <w:color w:val="000000" w:themeColor="text1"/>
                <w:sz w:val="18"/>
                <w:szCs w:val="18"/>
              </w:rPr>
            </w:pPr>
            <w:r w:rsidRPr="00E754BE">
              <w:rPr>
                <w:rFonts w:ascii="Arial" w:hAnsi="Arial" w:cs="Arial"/>
                <w:color w:val="000000" w:themeColor="text1"/>
                <w:sz w:val="18"/>
                <w:szCs w:val="18"/>
              </w:rPr>
              <w:t>Amount</w:t>
            </w:r>
          </w:p>
        </w:tc>
      </w:tr>
      <w:tr w:rsidR="00FE15E2" w:rsidRPr="00E754BE" w:rsidTr="00932303">
        <w:trPr>
          <w:cnfStyle w:val="000000100000"/>
          <w:cantSplit/>
          <w:jc w:val="center"/>
        </w:trPr>
        <w:tc>
          <w:tcPr>
            <w:cnfStyle w:val="001000000000"/>
            <w:tcW w:w="2934" w:type="dxa"/>
            <w:tcBorders>
              <w:top w:val="none" w:sz="0" w:space="0" w:color="auto"/>
              <w:left w:val="none" w:sz="0" w:space="0" w:color="auto"/>
              <w:bottom w:val="none" w:sz="0" w:space="0" w:color="auto"/>
            </w:tcBorders>
            <w:vAlign w:val="center"/>
          </w:tcPr>
          <w:p w:rsidR="00FE15E2" w:rsidRPr="00AF6541" w:rsidRDefault="00FE15E2" w:rsidP="004360D7">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S</w:t>
            </w:r>
            <w:r w:rsidR="00015CB2">
              <w:rPr>
                <w:rFonts w:ascii="Arial" w:hAnsi="Arial" w:cs="Arial"/>
                <w:color w:val="000000" w:themeColor="text1"/>
                <w:sz w:val="18"/>
                <w:szCs w:val="18"/>
              </w:rPr>
              <w:t xml:space="preserve">ystem </w:t>
            </w:r>
            <w:r>
              <w:rPr>
                <w:rFonts w:ascii="Arial" w:hAnsi="Arial" w:cs="Arial"/>
                <w:color w:val="000000" w:themeColor="text1"/>
                <w:sz w:val="18"/>
                <w:szCs w:val="18"/>
              </w:rPr>
              <w:t>b</w:t>
            </w:r>
            <w:r w:rsidRPr="00AF6541">
              <w:rPr>
                <w:rFonts w:ascii="Arial" w:hAnsi="Arial" w:cs="Arial"/>
                <w:color w:val="000000" w:themeColor="text1"/>
                <w:sz w:val="18"/>
                <w:szCs w:val="18"/>
              </w:rPr>
              <w:t xml:space="preserve">enefits </w:t>
            </w:r>
            <w:r>
              <w:rPr>
                <w:rFonts w:ascii="Arial" w:hAnsi="Arial" w:cs="Arial"/>
                <w:color w:val="000000" w:themeColor="text1"/>
                <w:sz w:val="18"/>
                <w:szCs w:val="18"/>
              </w:rPr>
              <w:t>c</w:t>
            </w:r>
            <w:r w:rsidRPr="00AF6541">
              <w:rPr>
                <w:rFonts w:ascii="Arial" w:hAnsi="Arial" w:cs="Arial"/>
                <w:color w:val="000000" w:themeColor="text1"/>
                <w:sz w:val="18"/>
                <w:szCs w:val="18"/>
              </w:rPr>
              <w:t>harge</w:t>
            </w:r>
          </w:p>
        </w:tc>
        <w:tc>
          <w:tcPr>
            <w:tcW w:w="1985" w:type="dxa"/>
            <w:tcBorders>
              <w:top w:val="none" w:sz="0" w:space="0" w:color="auto"/>
              <w:bottom w:val="none" w:sz="0" w:space="0" w:color="auto"/>
              <w:right w:val="none" w:sz="0" w:space="0" w:color="auto"/>
            </w:tcBorders>
            <w:tcMar>
              <w:right w:w="360" w:type="dxa"/>
            </w:tcMar>
            <w:vAlign w:val="center"/>
          </w:tcPr>
          <w:p w:rsidR="00FE15E2" w:rsidRPr="00E754BE" w:rsidRDefault="00FE15E2" w:rsidP="004360D7">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$364</w:t>
            </w:r>
            <w:r w:rsidR="004E7B33">
              <w:rPr>
                <w:rFonts w:ascii="Arial" w:hAnsi="Arial" w:cs="Arial"/>
                <w:color w:val="000000" w:themeColor="text1"/>
                <w:sz w:val="18"/>
                <w:szCs w:val="18"/>
              </w:rPr>
              <w:t xml:space="preserve"> million</w:t>
            </w:r>
          </w:p>
        </w:tc>
      </w:tr>
      <w:tr w:rsidR="00FE15E2" w:rsidRPr="00E754BE" w:rsidTr="00932303">
        <w:trPr>
          <w:cantSplit/>
          <w:jc w:val="center"/>
        </w:trPr>
        <w:tc>
          <w:tcPr>
            <w:cnfStyle w:val="001000000000"/>
            <w:tcW w:w="2934" w:type="dxa"/>
            <w:shd w:val="clear" w:color="auto" w:fill="FDEED1" w:themeFill="background2" w:themeFillTint="33"/>
            <w:vAlign w:val="center"/>
          </w:tcPr>
          <w:p w:rsidR="00FE15E2" w:rsidRPr="00AF6541" w:rsidRDefault="00FE15E2" w:rsidP="004360D7">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FCM revenues</w:t>
            </w:r>
          </w:p>
        </w:tc>
        <w:tc>
          <w:tcPr>
            <w:tcW w:w="1985" w:type="dxa"/>
            <w:shd w:val="clear" w:color="auto" w:fill="FDEED1" w:themeFill="background2" w:themeFillTint="33"/>
            <w:tcMar>
              <w:right w:w="360" w:type="dxa"/>
            </w:tcMar>
            <w:vAlign w:val="center"/>
          </w:tcPr>
          <w:p w:rsidR="00FE15E2" w:rsidRPr="00E754BE" w:rsidRDefault="00FE15E2" w:rsidP="004360D7">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$34</w:t>
            </w:r>
            <w:r w:rsidR="004E7B33">
              <w:rPr>
                <w:rFonts w:ascii="Arial" w:hAnsi="Arial" w:cs="Arial"/>
                <w:color w:val="000000" w:themeColor="text1"/>
                <w:sz w:val="18"/>
                <w:szCs w:val="18"/>
              </w:rPr>
              <w:t xml:space="preserve"> million</w:t>
            </w:r>
          </w:p>
        </w:tc>
      </w:tr>
      <w:tr w:rsidR="00FE15E2" w:rsidRPr="00E754BE" w:rsidTr="00932303">
        <w:trPr>
          <w:cnfStyle w:val="000000100000"/>
          <w:cantSplit/>
          <w:jc w:val="center"/>
        </w:trPr>
        <w:tc>
          <w:tcPr>
            <w:cnfStyle w:val="001000000000"/>
            <w:tcW w:w="2934" w:type="dxa"/>
            <w:tcBorders>
              <w:top w:val="none" w:sz="0" w:space="0" w:color="auto"/>
              <w:left w:val="none" w:sz="0" w:space="0" w:color="auto"/>
              <w:bottom w:val="none" w:sz="0" w:space="0" w:color="auto"/>
            </w:tcBorders>
            <w:vAlign w:val="center"/>
          </w:tcPr>
          <w:p w:rsidR="00FE15E2" w:rsidRPr="00AF6541" w:rsidRDefault="00FE15E2" w:rsidP="004360D7">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RGGI revenues</w:t>
            </w:r>
          </w:p>
        </w:tc>
        <w:tc>
          <w:tcPr>
            <w:tcW w:w="1985" w:type="dxa"/>
            <w:tcBorders>
              <w:top w:val="none" w:sz="0" w:space="0" w:color="auto"/>
              <w:bottom w:val="none" w:sz="0" w:space="0" w:color="auto"/>
              <w:right w:val="none" w:sz="0" w:space="0" w:color="auto"/>
            </w:tcBorders>
            <w:tcMar>
              <w:right w:w="360" w:type="dxa"/>
            </w:tcMar>
            <w:vAlign w:val="center"/>
          </w:tcPr>
          <w:p w:rsidR="00FE15E2" w:rsidRPr="00E754BE" w:rsidRDefault="00FE15E2" w:rsidP="004360D7">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$145</w:t>
            </w:r>
            <w:r w:rsidR="004E7B33">
              <w:rPr>
                <w:rFonts w:ascii="Arial" w:hAnsi="Arial" w:cs="Arial"/>
                <w:color w:val="000000" w:themeColor="text1"/>
                <w:sz w:val="18"/>
                <w:szCs w:val="18"/>
              </w:rPr>
              <w:t xml:space="preserve"> million</w:t>
            </w:r>
          </w:p>
        </w:tc>
      </w:tr>
      <w:tr w:rsidR="00FE15E2" w:rsidRPr="00E754BE" w:rsidTr="00932303">
        <w:trPr>
          <w:cantSplit/>
          <w:jc w:val="center"/>
        </w:trPr>
        <w:tc>
          <w:tcPr>
            <w:cnfStyle w:val="001000000000"/>
            <w:tcW w:w="2934" w:type="dxa"/>
            <w:shd w:val="clear" w:color="auto" w:fill="FDEED1" w:themeFill="background2" w:themeFillTint="33"/>
            <w:vAlign w:val="center"/>
          </w:tcPr>
          <w:p w:rsidR="00FE15E2" w:rsidRPr="00AF6541" w:rsidRDefault="00FE15E2" w:rsidP="004360D7">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Outside</w:t>
            </w:r>
            <w:r w:rsidR="000E68DC" w:rsidRPr="000E68DC">
              <w:rPr>
                <w:rFonts w:ascii="Arial" w:hAnsi="Arial" w:cs="Arial"/>
                <w:color w:val="000000" w:themeColor="text1"/>
                <w:sz w:val="18"/>
                <w:szCs w:val="18"/>
                <w:vertAlign w:val="superscript"/>
              </w:rPr>
              <w:t>(a)</w:t>
            </w:r>
          </w:p>
        </w:tc>
        <w:tc>
          <w:tcPr>
            <w:tcW w:w="1985" w:type="dxa"/>
            <w:shd w:val="clear" w:color="auto" w:fill="FDEED1" w:themeFill="background2" w:themeFillTint="33"/>
            <w:tcMar>
              <w:right w:w="360" w:type="dxa"/>
            </w:tcMar>
            <w:vAlign w:val="center"/>
          </w:tcPr>
          <w:p w:rsidR="00FE15E2" w:rsidRPr="00E754BE" w:rsidRDefault="00FE15E2" w:rsidP="004360D7">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$180</w:t>
            </w:r>
            <w:r w:rsidR="004E7B33">
              <w:rPr>
                <w:rFonts w:ascii="Arial" w:hAnsi="Arial" w:cs="Arial"/>
                <w:color w:val="000000" w:themeColor="text1"/>
                <w:sz w:val="18"/>
                <w:szCs w:val="18"/>
              </w:rPr>
              <w:t xml:space="preserve"> million</w:t>
            </w:r>
          </w:p>
        </w:tc>
      </w:tr>
      <w:tr w:rsidR="00FE15E2" w:rsidRPr="00E754BE" w:rsidTr="00932303">
        <w:trPr>
          <w:cnfStyle w:val="000000100000"/>
          <w:cantSplit/>
          <w:jc w:val="center"/>
        </w:trPr>
        <w:tc>
          <w:tcPr>
            <w:cnfStyle w:val="001000000000"/>
            <w:tcW w:w="2934" w:type="dxa"/>
            <w:tcBorders>
              <w:top w:val="none" w:sz="0" w:space="0" w:color="auto"/>
              <w:left w:val="none" w:sz="0" w:space="0" w:color="auto"/>
              <w:bottom w:val="none" w:sz="0" w:space="0" w:color="auto"/>
            </w:tcBorders>
            <w:vAlign w:val="center"/>
          </w:tcPr>
          <w:p w:rsidR="00FE15E2" w:rsidRPr="00AF6541" w:rsidRDefault="004116BF" w:rsidP="004360D7">
            <w:pPr>
              <w:keepNext/>
              <w:keepLines/>
              <w:spacing w:after="0"/>
              <w:rPr>
                <w:rFonts w:ascii="Arial" w:hAnsi="Arial" w:cs="Arial"/>
                <w:color w:val="000000" w:themeColor="text1"/>
                <w:sz w:val="18"/>
                <w:szCs w:val="18"/>
              </w:rPr>
            </w:pPr>
            <w:r w:rsidRPr="004116BF">
              <w:rPr>
                <w:rFonts w:ascii="Arial" w:hAnsi="Arial" w:cs="Arial"/>
                <w:color w:val="000000" w:themeColor="text1"/>
                <w:sz w:val="18"/>
                <w:szCs w:val="18"/>
              </w:rPr>
              <w:t>Energy-Efficiency Reconciliation F</w:t>
            </w:r>
            <w:r w:rsidR="000E68DC">
              <w:rPr>
                <w:rFonts w:ascii="Arial" w:hAnsi="Arial" w:cs="Arial"/>
                <w:color w:val="000000" w:themeColor="text1"/>
                <w:sz w:val="18"/>
                <w:szCs w:val="18"/>
              </w:rPr>
              <w:t>actor (EERF)</w:t>
            </w:r>
            <w:r w:rsidR="000E68DC" w:rsidRPr="000E68DC">
              <w:rPr>
                <w:rFonts w:ascii="Arial" w:hAnsi="Arial" w:cs="Arial"/>
                <w:color w:val="000000" w:themeColor="text1"/>
                <w:sz w:val="18"/>
                <w:szCs w:val="18"/>
                <w:vertAlign w:val="superscript"/>
              </w:rPr>
              <w:t>(b)</w:t>
            </w:r>
          </w:p>
        </w:tc>
        <w:tc>
          <w:tcPr>
            <w:tcW w:w="1985" w:type="dxa"/>
            <w:tcBorders>
              <w:top w:val="none" w:sz="0" w:space="0" w:color="auto"/>
              <w:bottom w:val="none" w:sz="0" w:space="0" w:color="auto"/>
              <w:right w:val="none" w:sz="0" w:space="0" w:color="auto"/>
            </w:tcBorders>
            <w:tcMar>
              <w:right w:w="360" w:type="dxa"/>
            </w:tcMar>
            <w:vAlign w:val="center"/>
          </w:tcPr>
          <w:p w:rsidR="00FE15E2" w:rsidRPr="00E754BE" w:rsidRDefault="00FE15E2" w:rsidP="004360D7">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$620</w:t>
            </w:r>
            <w:r w:rsidR="004E7B33">
              <w:rPr>
                <w:rFonts w:ascii="Arial" w:hAnsi="Arial" w:cs="Arial"/>
                <w:color w:val="000000" w:themeColor="text1"/>
                <w:sz w:val="18"/>
                <w:szCs w:val="18"/>
              </w:rPr>
              <w:t xml:space="preserve"> million</w:t>
            </w:r>
          </w:p>
        </w:tc>
      </w:tr>
      <w:tr w:rsidR="00FE15E2" w:rsidRPr="00E754BE" w:rsidTr="00932303">
        <w:trPr>
          <w:cantSplit/>
          <w:jc w:val="center"/>
        </w:trPr>
        <w:tc>
          <w:tcPr>
            <w:cnfStyle w:val="001000000000"/>
            <w:tcW w:w="2934" w:type="dxa"/>
            <w:shd w:val="clear" w:color="auto" w:fill="FBCE76" w:themeFill="background2" w:themeFillTint="99"/>
            <w:vAlign w:val="center"/>
          </w:tcPr>
          <w:p w:rsidR="00164A74" w:rsidRDefault="00FE15E2" w:rsidP="004360D7">
            <w:pPr>
              <w:keepNext/>
              <w:keepLines/>
              <w:spacing w:after="0"/>
              <w:rPr>
                <w:rFonts w:ascii="Arial" w:hAnsi="Arial" w:cs="Arial"/>
                <w:b w:val="0"/>
                <w:bCs w:val="0"/>
                <w:color w:val="000000" w:themeColor="text1"/>
                <w:sz w:val="18"/>
                <w:szCs w:val="18"/>
              </w:rPr>
            </w:pPr>
            <w:r w:rsidRPr="00AF6541">
              <w:rPr>
                <w:rFonts w:ascii="Arial" w:hAnsi="Arial" w:cs="Arial"/>
                <w:color w:val="000000" w:themeColor="text1"/>
                <w:sz w:val="18"/>
                <w:szCs w:val="18"/>
              </w:rPr>
              <w:t>Total</w:t>
            </w:r>
          </w:p>
        </w:tc>
        <w:tc>
          <w:tcPr>
            <w:tcW w:w="1985" w:type="dxa"/>
            <w:shd w:val="clear" w:color="auto" w:fill="FBCE76" w:themeFill="background2" w:themeFillTint="99"/>
            <w:tcMar>
              <w:right w:w="360" w:type="dxa"/>
            </w:tcMar>
            <w:vAlign w:val="center"/>
          </w:tcPr>
          <w:p w:rsidR="00164A74" w:rsidRDefault="00FE15E2" w:rsidP="00165E76">
            <w:pPr>
              <w:keepNext/>
              <w:keepLines/>
              <w:spacing w:after="0"/>
              <w:jc w:val="right"/>
              <w:cnfStyle w:val="000000000000"/>
              <w:rPr>
                <w:rFonts w:ascii="Arial" w:hAnsi="Arial" w:cs="Arial"/>
                <w:color w:val="000000" w:themeColor="text1"/>
                <w:sz w:val="18"/>
                <w:szCs w:val="18"/>
                <w:highlight w:val="yellow"/>
              </w:rPr>
            </w:pPr>
            <w:r w:rsidRPr="000E68DC">
              <w:rPr>
                <w:rFonts w:ascii="Arial" w:hAnsi="Arial" w:cs="Arial"/>
                <w:color w:val="000000" w:themeColor="text1"/>
                <w:sz w:val="18"/>
                <w:szCs w:val="18"/>
              </w:rPr>
              <w:t>$</w:t>
            </w:r>
            <w:r w:rsidR="00266E6F" w:rsidRPr="000E68DC">
              <w:rPr>
                <w:rFonts w:ascii="Arial" w:hAnsi="Arial" w:cs="Arial"/>
                <w:color w:val="000000" w:themeColor="text1"/>
                <w:sz w:val="18"/>
                <w:szCs w:val="18"/>
              </w:rPr>
              <w:t xml:space="preserve"> 1.3 </w:t>
            </w:r>
            <w:r w:rsidR="000E68DC" w:rsidRPr="000E68DC">
              <w:rPr>
                <w:rFonts w:ascii="Arial" w:hAnsi="Arial" w:cs="Arial"/>
                <w:color w:val="000000" w:themeColor="text1"/>
                <w:sz w:val="18"/>
                <w:szCs w:val="18"/>
              </w:rPr>
              <w:t>billion</w:t>
            </w:r>
          </w:p>
        </w:tc>
      </w:tr>
    </w:tbl>
    <w:p w:rsidR="00C73E33" w:rsidRDefault="003174D8" w:rsidP="00BB34F0">
      <w:pPr>
        <w:keepNext/>
        <w:keepLines/>
        <w:numPr>
          <w:ilvl w:val="0"/>
          <w:numId w:val="54"/>
        </w:numPr>
        <w:tabs>
          <w:tab w:val="left" w:pos="0"/>
        </w:tabs>
        <w:spacing w:before="120" w:after="80" w:line="240" w:lineRule="auto"/>
        <w:ind w:left="2430" w:right="2160" w:hanging="270"/>
        <w:rPr>
          <w:rFonts w:ascii="Arial" w:hAnsi="Arial" w:cs="Arial"/>
          <w:sz w:val="16"/>
          <w:szCs w:val="16"/>
        </w:rPr>
      </w:pPr>
      <w:r w:rsidRPr="003174D8">
        <w:rPr>
          <w:rFonts w:ascii="Arial" w:hAnsi="Arial" w:cs="Arial"/>
          <w:sz w:val="16"/>
          <w:szCs w:val="16"/>
        </w:rPr>
        <w:t>“Outside” revenue</w:t>
      </w:r>
      <w:r w:rsidR="00910CCC">
        <w:rPr>
          <w:rFonts w:ascii="Arial" w:hAnsi="Arial" w:cs="Arial"/>
          <w:sz w:val="16"/>
          <w:szCs w:val="16"/>
        </w:rPr>
        <w:t xml:space="preserve"> is </w:t>
      </w:r>
      <w:r w:rsidRPr="003174D8">
        <w:rPr>
          <w:rFonts w:ascii="Arial" w:hAnsi="Arial" w:cs="Arial"/>
          <w:sz w:val="16"/>
          <w:szCs w:val="16"/>
        </w:rPr>
        <w:t xml:space="preserve">only </w:t>
      </w:r>
      <w:r w:rsidR="00910CCC">
        <w:rPr>
          <w:rFonts w:ascii="Arial" w:hAnsi="Arial" w:cs="Arial"/>
          <w:sz w:val="16"/>
          <w:szCs w:val="16"/>
        </w:rPr>
        <w:t xml:space="preserve">an </w:t>
      </w:r>
      <w:r w:rsidRPr="003174D8">
        <w:rPr>
          <w:rFonts w:ascii="Arial" w:hAnsi="Arial" w:cs="Arial"/>
          <w:sz w:val="16"/>
          <w:szCs w:val="16"/>
        </w:rPr>
        <w:t xml:space="preserve">estimate for 2011 to 2012. Outside funding could include traditional lending sources, such as banks, or nontraditional sources, such as retailers and other private entities, with the program administrators bringing customers together with lenders to </w:t>
      </w:r>
      <w:r w:rsidR="00CA660D">
        <w:rPr>
          <w:rFonts w:ascii="Arial" w:hAnsi="Arial" w:cs="Arial"/>
          <w:sz w:val="16"/>
          <w:szCs w:val="16"/>
        </w:rPr>
        <w:t>e</w:t>
      </w:r>
      <w:r w:rsidRPr="003174D8">
        <w:rPr>
          <w:rFonts w:ascii="Arial" w:hAnsi="Arial" w:cs="Arial"/>
          <w:sz w:val="16"/>
          <w:szCs w:val="16"/>
        </w:rPr>
        <w:t>ffect a loan for an energy-efficiency project. Outside capital might also be raised through the sale of tax-exempt bonds or other government initiatives and grants.</w:t>
      </w:r>
    </w:p>
    <w:p w:rsidR="00C73E33" w:rsidRDefault="003174D8" w:rsidP="00BB34F0">
      <w:pPr>
        <w:keepNext/>
        <w:keepLines/>
        <w:numPr>
          <w:ilvl w:val="0"/>
          <w:numId w:val="54"/>
        </w:numPr>
        <w:tabs>
          <w:tab w:val="left" w:pos="0"/>
        </w:tabs>
        <w:spacing w:line="240" w:lineRule="auto"/>
        <w:ind w:left="2430" w:right="2160" w:hanging="270"/>
        <w:rPr>
          <w:rFonts w:ascii="Arial" w:hAnsi="Arial" w:cs="Arial"/>
          <w:sz w:val="16"/>
          <w:szCs w:val="16"/>
        </w:rPr>
      </w:pPr>
      <w:r w:rsidRPr="00DE35FE">
        <w:rPr>
          <w:rFonts w:ascii="Arial" w:hAnsi="Arial" w:cs="Arial"/>
          <w:sz w:val="16"/>
          <w:szCs w:val="16"/>
        </w:rPr>
        <w:t>The EERF</w:t>
      </w:r>
      <w:r w:rsidRPr="003174D8">
        <w:rPr>
          <w:rFonts w:ascii="Arial" w:hAnsi="Arial" w:cs="Arial"/>
          <w:sz w:val="16"/>
          <w:szCs w:val="16"/>
        </w:rPr>
        <w:t xml:space="preserve"> is a</w:t>
      </w:r>
      <w:r w:rsidR="000E68DC">
        <w:rPr>
          <w:rFonts w:ascii="Arial" w:hAnsi="Arial" w:cs="Arial"/>
          <w:sz w:val="16"/>
          <w:szCs w:val="16"/>
        </w:rPr>
        <w:t>n</w:t>
      </w:r>
      <w:r w:rsidRPr="003174D8">
        <w:rPr>
          <w:rFonts w:ascii="Arial" w:hAnsi="Arial" w:cs="Arial"/>
          <w:sz w:val="16"/>
          <w:szCs w:val="16"/>
        </w:rPr>
        <w:t xml:space="preserve"> EE surcharge </w:t>
      </w:r>
      <w:r w:rsidR="00910CCC" w:rsidRPr="003174D8">
        <w:rPr>
          <w:rFonts w:ascii="Arial" w:hAnsi="Arial" w:cs="Arial"/>
          <w:sz w:val="16"/>
          <w:szCs w:val="16"/>
        </w:rPr>
        <w:t xml:space="preserve">by the utilities </w:t>
      </w:r>
      <w:r w:rsidRPr="003174D8">
        <w:rPr>
          <w:rFonts w:ascii="Arial" w:hAnsi="Arial" w:cs="Arial"/>
          <w:sz w:val="16"/>
          <w:szCs w:val="16"/>
        </w:rPr>
        <w:t>on the bills of all customer classes.</w:t>
      </w:r>
    </w:p>
    <w:p w:rsidR="004001CC" w:rsidRPr="00D32AE4" w:rsidRDefault="004001CC" w:rsidP="00073277">
      <w:pPr>
        <w:rPr>
          <w:sz w:val="20"/>
        </w:rPr>
      </w:pPr>
      <w:r w:rsidRPr="001B5B11">
        <w:t>Massachusetts seeks a 25% cut in electric</w:t>
      </w:r>
      <w:r>
        <w:t>ity</w:t>
      </w:r>
      <w:r w:rsidRPr="001B5B11">
        <w:t xml:space="preserve"> capacity needs and energy use by 2020 using energy efficiency, demand response, load management</w:t>
      </w:r>
      <w:r w:rsidR="00CA660D">
        <w:t>,</w:t>
      </w:r>
      <w:r w:rsidRPr="001B5B11">
        <w:t xml:space="preserve"> and distributed generation.</w:t>
      </w:r>
      <w:r w:rsidRPr="00DE35FE">
        <w:rPr>
          <w:rStyle w:val="FootnoteReference"/>
          <w:sz w:val="22"/>
        </w:rPr>
        <w:footnoteReference w:id="227"/>
      </w:r>
    </w:p>
    <w:p w:rsidR="00FC0261" w:rsidRDefault="004001CC" w:rsidP="00235A65">
      <w:pPr>
        <w:pStyle w:val="Heading4"/>
      </w:pPr>
      <w:r w:rsidRPr="00071520">
        <w:t>Rhode Island</w:t>
      </w:r>
    </w:p>
    <w:p w:rsidR="00121E63" w:rsidRDefault="004001CC" w:rsidP="00121E63">
      <w:r w:rsidRPr="001B5B11">
        <w:t>In Rhode Island, National Grid’s subsidiary</w:t>
      </w:r>
      <w:r>
        <w:t>,</w:t>
      </w:r>
      <w:r w:rsidRPr="001B5B11">
        <w:t xml:space="preserve"> Narragansett Electric</w:t>
      </w:r>
      <w:r>
        <w:t>,</w:t>
      </w:r>
      <w:r w:rsidRPr="001B5B11">
        <w:t xml:space="preserve"> provides about 99% of the efficiency programs in the state</w:t>
      </w:r>
      <w:r>
        <w:t>,</w:t>
      </w:r>
      <w:r w:rsidRPr="001B5B11">
        <w:t xml:space="preserve"> and the public utility</w:t>
      </w:r>
      <w:r>
        <w:t>,</w:t>
      </w:r>
      <w:r w:rsidRPr="001B5B11">
        <w:t xml:space="preserve"> Paschoag Utility District</w:t>
      </w:r>
      <w:r>
        <w:t>,</w:t>
      </w:r>
      <w:r w:rsidRPr="001B5B11">
        <w:t xml:space="preserve"> operates its own EE programs. The RI PUC reviews and authorizes EE program</w:t>
      </w:r>
      <w:r w:rsidR="00CC782C">
        <w:t xml:space="preserve"> funding</w:t>
      </w:r>
      <w:r w:rsidRPr="001B5B11">
        <w:t xml:space="preserve"> annually. The </w:t>
      </w:r>
      <w:r>
        <w:t xml:space="preserve">Rhode Island </w:t>
      </w:r>
      <w:r w:rsidRPr="00C70D89">
        <w:rPr>
          <w:i/>
        </w:rPr>
        <w:t>Comprehensive Energy Conservation, Efficiency and Affordability Act of 2006</w:t>
      </w:r>
      <w:r w:rsidRPr="001B5B11">
        <w:t xml:space="preserve"> increased the acquisition requirements for utility EE programs and required the acquisition of all cost</w:t>
      </w:r>
      <w:r>
        <w:t>-</w:t>
      </w:r>
      <w:r w:rsidRPr="001B5B11">
        <w:t xml:space="preserve">effective EE programs. The 2009 planned EE program </w:t>
      </w:r>
      <w:r w:rsidR="00121E63">
        <w:t xml:space="preserve">estimated </w:t>
      </w:r>
      <w:r w:rsidRPr="001B5B11">
        <w:t xml:space="preserve">an annual </w:t>
      </w:r>
      <w:r w:rsidRPr="00550C10">
        <w:t xml:space="preserve">energy </w:t>
      </w:r>
      <w:r w:rsidRPr="00A84EB3">
        <w:t xml:space="preserve">savings </w:t>
      </w:r>
      <w:r w:rsidR="00821C68" w:rsidRPr="00A84EB3">
        <w:t>of 79,300 MWh</w:t>
      </w:r>
      <w:r w:rsidR="000E68DC" w:rsidRPr="00A84EB3">
        <w:t xml:space="preserve"> </w:t>
      </w:r>
      <w:r w:rsidRPr="00A84EB3">
        <w:t>and an</w:t>
      </w:r>
      <w:r w:rsidRPr="001B5B11">
        <w:t xml:space="preserve"> annual peak reduction of 12.5 MW. </w:t>
      </w:r>
      <w:r w:rsidR="00832C7A">
        <w:fldChar w:fldCharType="begin"/>
      </w:r>
      <w:r w:rsidR="0076005A">
        <w:instrText xml:space="preserve"> REF _Ref266719772 \h </w:instrText>
      </w:r>
      <w:r w:rsidR="00832C7A">
        <w:fldChar w:fldCharType="separate"/>
      </w:r>
      <w:r w:rsidR="00E5699E">
        <w:t xml:space="preserve">Table </w:t>
      </w:r>
      <w:r w:rsidR="00E5699E">
        <w:rPr>
          <w:noProof/>
        </w:rPr>
        <w:t>8</w:t>
      </w:r>
      <w:r w:rsidR="00E5699E">
        <w:noBreakHyphen/>
      </w:r>
      <w:r w:rsidR="00E5699E">
        <w:rPr>
          <w:noProof/>
        </w:rPr>
        <w:t>8</w:t>
      </w:r>
      <w:r w:rsidR="00832C7A">
        <w:fldChar w:fldCharType="end"/>
      </w:r>
      <w:r w:rsidR="00121E63">
        <w:t xml:space="preserve"> shows </w:t>
      </w:r>
      <w:r w:rsidR="000E68DC">
        <w:t xml:space="preserve">Rhode Island’s </w:t>
      </w:r>
      <w:r w:rsidR="00121E63">
        <w:t xml:space="preserve">approved spending </w:t>
      </w:r>
      <w:r w:rsidR="000E68DC">
        <w:t xml:space="preserve">for EE program </w:t>
      </w:r>
      <w:r w:rsidR="00121E63">
        <w:t>for 2009.</w:t>
      </w:r>
      <w:r w:rsidR="00121E63" w:rsidRPr="00DE35FE">
        <w:rPr>
          <w:rStyle w:val="FootnoteReference"/>
          <w:sz w:val="22"/>
        </w:rPr>
        <w:footnoteReference w:id="228"/>
      </w:r>
    </w:p>
    <w:p w:rsidR="00A6616C" w:rsidRDefault="00A6616C" w:rsidP="00A6616C">
      <w:pPr>
        <w:pStyle w:val="Caption"/>
      </w:pPr>
      <w:bookmarkStart w:id="624" w:name="_Ref266719772"/>
      <w:bookmarkStart w:id="625" w:name="_Toc271552428"/>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8</w:t>
      </w:r>
      <w:r w:rsidR="00832C7A">
        <w:fldChar w:fldCharType="end"/>
      </w:r>
      <w:bookmarkEnd w:id="624"/>
      <w:r>
        <w:br/>
      </w:r>
      <w:r w:rsidRPr="004116BF">
        <w:t>Rhode Island’s Approved Spending for Energy-Efficiency Programs, 2009</w:t>
      </w:r>
      <w:bookmarkEnd w:id="625"/>
    </w:p>
    <w:tbl>
      <w:tblPr>
        <w:tblStyle w:val="LightList-Accent6"/>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15" w:type="dxa"/>
          <w:bottom w:w="43" w:type="dxa"/>
          <w:right w:w="115" w:type="dxa"/>
        </w:tblCellMar>
        <w:tblLook w:val="04A0"/>
      </w:tblPr>
      <w:tblGrid>
        <w:gridCol w:w="2354"/>
        <w:gridCol w:w="1620"/>
      </w:tblGrid>
      <w:tr w:rsidR="00E00786" w:rsidRPr="00E754BE" w:rsidTr="00DE1235">
        <w:trPr>
          <w:cnfStyle w:val="100000000000"/>
          <w:cantSplit/>
          <w:jc w:val="center"/>
        </w:trPr>
        <w:tc>
          <w:tcPr>
            <w:cnfStyle w:val="001000000000"/>
            <w:tcW w:w="2354" w:type="dxa"/>
            <w:shd w:val="clear" w:color="auto" w:fill="FBCE76" w:themeFill="background2" w:themeFillTint="99"/>
            <w:vAlign w:val="center"/>
          </w:tcPr>
          <w:p w:rsidR="00E00786" w:rsidRPr="00E754BE" w:rsidRDefault="00E00786" w:rsidP="00A6616C">
            <w:pPr>
              <w:keepNext/>
              <w:keepLines/>
              <w:spacing w:after="0"/>
              <w:jc w:val="center"/>
              <w:rPr>
                <w:rFonts w:ascii="Arial" w:hAnsi="Arial" w:cs="Arial"/>
                <w:color w:val="000000" w:themeColor="text1"/>
                <w:sz w:val="18"/>
                <w:szCs w:val="18"/>
              </w:rPr>
            </w:pPr>
            <w:r w:rsidRPr="00E754BE">
              <w:rPr>
                <w:rFonts w:ascii="Arial" w:hAnsi="Arial" w:cs="Arial"/>
                <w:color w:val="000000" w:themeColor="text1"/>
                <w:sz w:val="18"/>
                <w:szCs w:val="18"/>
              </w:rPr>
              <w:t>Funding Source</w:t>
            </w:r>
          </w:p>
        </w:tc>
        <w:tc>
          <w:tcPr>
            <w:tcW w:w="1620" w:type="dxa"/>
            <w:shd w:val="clear" w:color="auto" w:fill="FBCE76" w:themeFill="background2" w:themeFillTint="99"/>
            <w:vAlign w:val="center"/>
          </w:tcPr>
          <w:p w:rsidR="00E00786" w:rsidRPr="00E754BE" w:rsidRDefault="00E00786" w:rsidP="00A6616C">
            <w:pPr>
              <w:keepNext/>
              <w:keepLines/>
              <w:spacing w:after="0"/>
              <w:jc w:val="center"/>
              <w:cnfStyle w:val="100000000000"/>
              <w:rPr>
                <w:rFonts w:ascii="Arial" w:hAnsi="Arial" w:cs="Arial"/>
                <w:color w:val="000000" w:themeColor="text1"/>
                <w:sz w:val="18"/>
                <w:szCs w:val="18"/>
              </w:rPr>
            </w:pPr>
            <w:r w:rsidRPr="00E754BE">
              <w:rPr>
                <w:rFonts w:ascii="Arial" w:hAnsi="Arial" w:cs="Arial"/>
                <w:color w:val="000000" w:themeColor="text1"/>
                <w:sz w:val="18"/>
                <w:szCs w:val="18"/>
              </w:rPr>
              <w:t>Amount</w:t>
            </w:r>
            <w:r w:rsidR="00671D68">
              <w:rPr>
                <w:rFonts w:ascii="Arial" w:hAnsi="Arial" w:cs="Arial"/>
                <w:color w:val="000000" w:themeColor="text1"/>
                <w:sz w:val="18"/>
                <w:szCs w:val="18"/>
              </w:rPr>
              <w:br/>
              <w:t>(millions)</w:t>
            </w:r>
          </w:p>
        </w:tc>
      </w:tr>
      <w:tr w:rsidR="00E00786" w:rsidRPr="00E754BE" w:rsidTr="00DE1235">
        <w:trPr>
          <w:cnfStyle w:val="000000100000"/>
          <w:cantSplit/>
          <w:jc w:val="center"/>
        </w:trPr>
        <w:tc>
          <w:tcPr>
            <w:cnfStyle w:val="001000000000"/>
            <w:tcW w:w="2354" w:type="dxa"/>
            <w:tcBorders>
              <w:top w:val="none" w:sz="0" w:space="0" w:color="auto"/>
              <w:left w:val="none" w:sz="0" w:space="0" w:color="auto"/>
              <w:bottom w:val="none" w:sz="0" w:space="0" w:color="auto"/>
            </w:tcBorders>
            <w:vAlign w:val="center"/>
          </w:tcPr>
          <w:p w:rsidR="00E00786" w:rsidRPr="00AF6541" w:rsidRDefault="00E00786" w:rsidP="00015CB2">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S</w:t>
            </w:r>
            <w:r w:rsidR="00015CB2">
              <w:rPr>
                <w:rFonts w:ascii="Arial" w:hAnsi="Arial" w:cs="Arial"/>
                <w:color w:val="000000" w:themeColor="text1"/>
                <w:sz w:val="18"/>
                <w:szCs w:val="18"/>
              </w:rPr>
              <w:t>ystem</w:t>
            </w:r>
            <w:r w:rsidRPr="00AF6541">
              <w:rPr>
                <w:rFonts w:ascii="Arial" w:hAnsi="Arial" w:cs="Arial"/>
                <w:color w:val="000000" w:themeColor="text1"/>
                <w:sz w:val="18"/>
                <w:szCs w:val="18"/>
              </w:rPr>
              <w:t xml:space="preserve"> </w:t>
            </w:r>
            <w:r>
              <w:rPr>
                <w:rFonts w:ascii="Arial" w:hAnsi="Arial" w:cs="Arial"/>
                <w:color w:val="000000" w:themeColor="text1"/>
                <w:sz w:val="18"/>
                <w:szCs w:val="18"/>
              </w:rPr>
              <w:t>b</w:t>
            </w:r>
            <w:r w:rsidRPr="00AF6541">
              <w:rPr>
                <w:rFonts w:ascii="Arial" w:hAnsi="Arial" w:cs="Arial"/>
                <w:color w:val="000000" w:themeColor="text1"/>
                <w:sz w:val="18"/>
                <w:szCs w:val="18"/>
              </w:rPr>
              <w:t xml:space="preserve">enefits </w:t>
            </w:r>
            <w:r>
              <w:rPr>
                <w:rFonts w:ascii="Arial" w:hAnsi="Arial" w:cs="Arial"/>
                <w:color w:val="000000" w:themeColor="text1"/>
                <w:sz w:val="18"/>
                <w:szCs w:val="18"/>
              </w:rPr>
              <w:t>c</w:t>
            </w:r>
            <w:r w:rsidRPr="00AF6541">
              <w:rPr>
                <w:rFonts w:ascii="Arial" w:hAnsi="Arial" w:cs="Arial"/>
                <w:color w:val="000000" w:themeColor="text1"/>
                <w:sz w:val="18"/>
                <w:szCs w:val="18"/>
              </w:rPr>
              <w:t>harge</w:t>
            </w:r>
          </w:p>
        </w:tc>
        <w:tc>
          <w:tcPr>
            <w:tcW w:w="1620" w:type="dxa"/>
            <w:tcBorders>
              <w:top w:val="none" w:sz="0" w:space="0" w:color="auto"/>
              <w:bottom w:val="none" w:sz="0" w:space="0" w:color="auto"/>
              <w:right w:val="none" w:sz="0" w:space="0" w:color="auto"/>
            </w:tcBorders>
            <w:tcMar>
              <w:left w:w="0" w:type="dxa"/>
              <w:right w:w="360" w:type="dxa"/>
            </w:tcMar>
            <w:vAlign w:val="center"/>
          </w:tcPr>
          <w:p w:rsidR="00E00786" w:rsidRPr="00E754BE" w:rsidRDefault="00E00786" w:rsidP="00A6616C">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$21.8</w:t>
            </w:r>
          </w:p>
        </w:tc>
      </w:tr>
      <w:tr w:rsidR="00E00786" w:rsidRPr="00E754BE" w:rsidTr="00DE1235">
        <w:trPr>
          <w:cantSplit/>
          <w:jc w:val="center"/>
        </w:trPr>
        <w:tc>
          <w:tcPr>
            <w:cnfStyle w:val="001000000000"/>
            <w:tcW w:w="2354" w:type="dxa"/>
            <w:vAlign w:val="center"/>
          </w:tcPr>
          <w:p w:rsidR="00E00786" w:rsidRPr="00AF6541" w:rsidRDefault="00E00786" w:rsidP="00A6616C">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FCM revenues</w:t>
            </w:r>
          </w:p>
        </w:tc>
        <w:tc>
          <w:tcPr>
            <w:tcW w:w="1620" w:type="dxa"/>
            <w:tcMar>
              <w:left w:w="0" w:type="dxa"/>
              <w:right w:w="360" w:type="dxa"/>
            </w:tcMar>
            <w:vAlign w:val="center"/>
          </w:tcPr>
          <w:p w:rsidR="00E00786" w:rsidRPr="00E754BE" w:rsidRDefault="00E00786" w:rsidP="00A6616C">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$1</w:t>
            </w:r>
            <w:r w:rsidR="00A84EB3">
              <w:rPr>
                <w:rFonts w:ascii="Arial" w:hAnsi="Arial" w:cs="Arial"/>
                <w:color w:val="000000" w:themeColor="text1"/>
                <w:sz w:val="18"/>
                <w:szCs w:val="18"/>
              </w:rPr>
              <w:t>.0</w:t>
            </w:r>
          </w:p>
        </w:tc>
      </w:tr>
      <w:tr w:rsidR="00E00786" w:rsidRPr="00E754BE" w:rsidTr="00DE1235">
        <w:trPr>
          <w:cnfStyle w:val="000000100000"/>
          <w:cantSplit/>
          <w:jc w:val="center"/>
        </w:trPr>
        <w:tc>
          <w:tcPr>
            <w:cnfStyle w:val="001000000000"/>
            <w:tcW w:w="2354" w:type="dxa"/>
            <w:tcBorders>
              <w:top w:val="none" w:sz="0" w:space="0" w:color="auto"/>
              <w:left w:val="none" w:sz="0" w:space="0" w:color="auto"/>
              <w:bottom w:val="none" w:sz="0" w:space="0" w:color="auto"/>
            </w:tcBorders>
            <w:shd w:val="clear" w:color="auto" w:fill="FBCE76" w:themeFill="background2" w:themeFillTint="99"/>
            <w:vAlign w:val="center"/>
          </w:tcPr>
          <w:p w:rsidR="00164A74" w:rsidRDefault="00E00786" w:rsidP="00E63C1F">
            <w:pPr>
              <w:spacing w:after="0"/>
              <w:rPr>
                <w:rFonts w:ascii="Arial" w:eastAsiaTheme="majorEastAsia" w:hAnsi="Arial" w:cs="Arial"/>
                <w:b w:val="0"/>
                <w:bCs w:val="0"/>
                <w:color w:val="000000" w:themeColor="text1"/>
                <w:sz w:val="18"/>
                <w:szCs w:val="18"/>
              </w:rPr>
            </w:pPr>
            <w:r w:rsidRPr="00AF6541">
              <w:rPr>
                <w:rFonts w:ascii="Arial" w:hAnsi="Arial" w:cs="Arial"/>
                <w:color w:val="000000" w:themeColor="text1"/>
                <w:sz w:val="18"/>
                <w:szCs w:val="18"/>
              </w:rPr>
              <w:t>Total</w:t>
            </w:r>
          </w:p>
        </w:tc>
        <w:tc>
          <w:tcPr>
            <w:tcW w:w="1620" w:type="dxa"/>
            <w:tcBorders>
              <w:top w:val="none" w:sz="0" w:space="0" w:color="auto"/>
              <w:bottom w:val="none" w:sz="0" w:space="0" w:color="auto"/>
              <w:right w:val="none" w:sz="0" w:space="0" w:color="auto"/>
            </w:tcBorders>
            <w:shd w:val="clear" w:color="auto" w:fill="FBCE76" w:themeFill="background2" w:themeFillTint="99"/>
            <w:tcMar>
              <w:right w:w="360" w:type="dxa"/>
            </w:tcMar>
            <w:vAlign w:val="center"/>
          </w:tcPr>
          <w:p w:rsidR="00E00786" w:rsidRPr="00E754BE" w:rsidRDefault="00E00786" w:rsidP="00E63C1F">
            <w:pPr>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$22.8</w:t>
            </w:r>
          </w:p>
        </w:tc>
      </w:tr>
    </w:tbl>
    <w:p w:rsidR="00FC0261" w:rsidRDefault="004001CC" w:rsidP="00235A65">
      <w:pPr>
        <w:pStyle w:val="Heading4"/>
      </w:pPr>
      <w:r w:rsidRPr="00071520">
        <w:t>Vermont</w:t>
      </w:r>
    </w:p>
    <w:p w:rsidR="004001CC" w:rsidRPr="00DE35FE" w:rsidRDefault="004001CC" w:rsidP="00073277">
      <w:r w:rsidRPr="00DE35FE">
        <w:t xml:space="preserve">Vermont has a state-sponsored efficiency resource acquisition program called Efficiency Vermont, which administers the state’s EE programs. Since 2000, all ratepayer-funded acquisition of energy efficiency has been implemented through a statewide energy-efficiency utility. The Vermont regulators determine the funding level, and in 2008, Vermont had the highest per capita funding </w:t>
      </w:r>
      <w:r w:rsidR="00A6616C" w:rsidRPr="00DE35FE">
        <w:t xml:space="preserve">in the United States </w:t>
      </w:r>
      <w:r w:rsidRPr="00DE35FE">
        <w:t xml:space="preserve">for energy-efficiency measures </w:t>
      </w:r>
      <w:r w:rsidR="00A6616C" w:rsidRPr="00DE35FE">
        <w:t xml:space="preserve">at </w:t>
      </w:r>
      <w:r w:rsidRPr="00DE35FE">
        <w:t>$55.3. (C</w:t>
      </w:r>
      <w:r w:rsidR="00F741E3">
        <w:t>onnecticut</w:t>
      </w:r>
      <w:r w:rsidRPr="00DE35FE">
        <w:t xml:space="preserve"> </w:t>
      </w:r>
      <w:r w:rsidR="00A6616C" w:rsidRPr="00DE35FE">
        <w:t xml:space="preserve">had the </w:t>
      </w:r>
      <w:r w:rsidRPr="00DE35FE">
        <w:t>second</w:t>
      </w:r>
      <w:r w:rsidR="00C43E6D">
        <w:t>-</w:t>
      </w:r>
      <w:r w:rsidR="00A6616C" w:rsidRPr="00DE35FE">
        <w:t xml:space="preserve">highest </w:t>
      </w:r>
      <w:r w:rsidRPr="00DE35FE">
        <w:t>per capita funding</w:t>
      </w:r>
      <w:r w:rsidR="00A6616C" w:rsidRPr="00DE35FE">
        <w:t xml:space="preserve"> at $30.5</w:t>
      </w:r>
      <w:r w:rsidRPr="00DE35FE">
        <w:t>).</w:t>
      </w:r>
      <w:r w:rsidRPr="00DE35FE">
        <w:rPr>
          <w:rStyle w:val="FootnoteReference"/>
          <w:sz w:val="22"/>
        </w:rPr>
        <w:footnoteReference w:id="229"/>
      </w:r>
      <w:r w:rsidRPr="00DE35FE">
        <w:t xml:space="preserve"> </w:t>
      </w:r>
    </w:p>
    <w:p w:rsidR="004001CC" w:rsidRPr="00DE35FE" w:rsidRDefault="00741E58" w:rsidP="00073277">
      <w:r>
        <w:t xml:space="preserve">As the </w:t>
      </w:r>
      <w:r w:rsidR="00B50F94">
        <w:t xml:space="preserve">competitively solicited </w:t>
      </w:r>
      <w:r>
        <w:t xml:space="preserve">administrator of the Efficiency Vermont Program, </w:t>
      </w:r>
      <w:r w:rsidR="00015051">
        <w:t xml:space="preserve">and using staff, subcontractors, and partners, </w:t>
      </w:r>
      <w:r w:rsidR="004001CC" w:rsidRPr="00DE35FE">
        <w:t>Burlington Electric</w:t>
      </w:r>
      <w:r w:rsidR="00015051">
        <w:t xml:space="preserve"> </w:t>
      </w:r>
      <w:r w:rsidR="004001CC" w:rsidRPr="00DE35FE">
        <w:t>provid</w:t>
      </w:r>
      <w:r w:rsidR="00B50F94">
        <w:t>e</w:t>
      </w:r>
      <w:r w:rsidR="00015051">
        <w:t>s</w:t>
      </w:r>
      <w:r w:rsidR="004001CC" w:rsidRPr="00DE35FE">
        <w:t xml:space="preserve"> EE services </w:t>
      </w:r>
      <w:r w:rsidR="00B50F94">
        <w:t xml:space="preserve">and products </w:t>
      </w:r>
      <w:r w:rsidR="004001CC" w:rsidRPr="00DE35FE">
        <w:t xml:space="preserve">to all 340,000 customers throughout the </w:t>
      </w:r>
      <w:r w:rsidR="00987991" w:rsidRPr="00987991">
        <w:t>state</w:t>
      </w:r>
      <w:r w:rsidR="00E84B2C">
        <w:t xml:space="preserve">. </w:t>
      </w:r>
      <w:r w:rsidR="00987991" w:rsidRPr="00987991">
        <w:t>A c</w:t>
      </w:r>
      <w:r w:rsidR="004001CC" w:rsidRPr="00DE35FE">
        <w:t xml:space="preserve">ontract similar to a power supply contract is used </w:t>
      </w:r>
      <w:r w:rsidR="00015051">
        <w:t xml:space="preserve">for </w:t>
      </w:r>
      <w:r w:rsidR="004001CC" w:rsidRPr="00DE35FE">
        <w:t>provid</w:t>
      </w:r>
      <w:r w:rsidR="00015051">
        <w:t>ing</w:t>
      </w:r>
      <w:r w:rsidR="004001CC" w:rsidRPr="00DE35FE">
        <w:t xml:space="preserve"> services of energy savings</w:t>
      </w:r>
      <w:r w:rsidR="00015051">
        <w:t>,</w:t>
      </w:r>
      <w:r w:rsidR="004001CC" w:rsidRPr="00DE35FE">
        <w:t xml:space="preserve"> mainly through technical assistance and financial incentives. Targeted areas are also selected where deeper savings are sought to help defer capital transmission and distribution investments otherwise needed for maintaining reliability. A central database is maintained for all customers in the state containing data on all EE measures installed, their costs and savings, and other information. For 2006 to 2008, EV exceeded its goal of 261</w:t>
      </w:r>
      <w:r w:rsidR="00D06EA1" w:rsidRPr="00DE35FE">
        <w:t>,000</w:t>
      </w:r>
      <w:r w:rsidR="004001CC" w:rsidRPr="00DE35FE">
        <w:t xml:space="preserve"> </w:t>
      </w:r>
      <w:r w:rsidR="00D06EA1" w:rsidRPr="00DE35FE">
        <w:t>M</w:t>
      </w:r>
      <w:r w:rsidR="004001CC" w:rsidRPr="00DE35FE">
        <w:t>Wh, reaching 311</w:t>
      </w:r>
      <w:r w:rsidR="00D06EA1" w:rsidRPr="00DE35FE">
        <w:t>,000</w:t>
      </w:r>
      <w:r w:rsidR="004001CC" w:rsidRPr="00DE35FE">
        <w:t xml:space="preserve"> </w:t>
      </w:r>
      <w:r w:rsidR="00D06EA1" w:rsidRPr="00DE35FE">
        <w:t>M</w:t>
      </w:r>
      <w:r w:rsidR="004001CC" w:rsidRPr="00DE35FE">
        <w:t>Wh.</w:t>
      </w:r>
      <w:r w:rsidR="004001CC" w:rsidRPr="00DE35FE">
        <w:rPr>
          <w:rStyle w:val="FootnoteReference"/>
          <w:sz w:val="22"/>
        </w:rPr>
        <w:footnoteReference w:id="230"/>
      </w:r>
      <w:r w:rsidR="004001CC" w:rsidRPr="00DE35FE">
        <w:t xml:space="preserve"> </w:t>
      </w:r>
      <w:r w:rsidR="00757C00">
        <w:t xml:space="preserve">EV’s </w:t>
      </w:r>
      <w:r w:rsidR="004001CC" w:rsidRPr="00DE35FE">
        <w:t xml:space="preserve">budget </w:t>
      </w:r>
      <w:r w:rsidR="00757C00">
        <w:t xml:space="preserve">for 2009 to 2011 is </w:t>
      </w:r>
      <w:r w:rsidR="004001CC" w:rsidRPr="00DE35FE">
        <w:t xml:space="preserve">$100 million, </w:t>
      </w:r>
      <w:r w:rsidR="00757C00">
        <w:t xml:space="preserve">and its </w:t>
      </w:r>
      <w:r w:rsidR="004001CC" w:rsidRPr="00DE35FE">
        <w:t>performance goals are 360,000 MWh annual savings,</w:t>
      </w:r>
      <w:r w:rsidR="00CA660D">
        <w:t xml:space="preserve"> with </w:t>
      </w:r>
      <w:r w:rsidR="004001CC" w:rsidRPr="00DE35FE">
        <w:t>a summer</w:t>
      </w:r>
      <w:r w:rsidR="00A764D5" w:rsidRPr="00DE35FE">
        <w:t>-</w:t>
      </w:r>
      <w:r w:rsidR="004001CC" w:rsidRPr="00DE35FE">
        <w:t xml:space="preserve">peak reduction of 51 MW. In a targeted area, </w:t>
      </w:r>
      <w:r w:rsidR="00821C68" w:rsidRPr="00DE35FE">
        <w:t>the goal is to reduce the summer peak by 8</w:t>
      </w:r>
      <w:r w:rsidR="005A1BB4">
        <w:t> </w:t>
      </w:r>
      <w:r w:rsidR="00821C68" w:rsidRPr="00DE35FE">
        <w:t>MW.</w:t>
      </w:r>
      <w:r w:rsidR="004001CC" w:rsidRPr="00DE35FE">
        <w:t xml:space="preserve"> </w:t>
      </w:r>
      <w:fldSimple w:instr=" REF _Ref265665504 \h  \* MERGEFORMAT ">
        <w:r w:rsidR="00E5699E">
          <w:t xml:space="preserve">Table </w:t>
        </w:r>
        <w:r w:rsidR="00E5699E">
          <w:rPr>
            <w:noProof/>
          </w:rPr>
          <w:t>8</w:t>
        </w:r>
        <w:r w:rsidR="00E5699E">
          <w:rPr>
            <w:noProof/>
          </w:rPr>
          <w:noBreakHyphen/>
          <w:t>9</w:t>
        </w:r>
      </w:fldSimple>
      <w:r w:rsidR="0076739E">
        <w:t xml:space="preserve"> </w:t>
      </w:r>
      <w:r w:rsidR="00121E63" w:rsidRPr="00DE35FE">
        <w:t xml:space="preserve">shows </w:t>
      </w:r>
      <w:r w:rsidR="000B4B91" w:rsidRPr="00DE35FE">
        <w:t xml:space="preserve">Vermont’s </w:t>
      </w:r>
      <w:r w:rsidR="00E83D88" w:rsidRPr="00DE35FE">
        <w:t xml:space="preserve">EE </w:t>
      </w:r>
      <w:r w:rsidR="00121E63" w:rsidRPr="00DE35FE">
        <w:t>funding sources for 2009.</w:t>
      </w:r>
      <w:r w:rsidR="00121E63" w:rsidRPr="00DE35FE">
        <w:rPr>
          <w:rStyle w:val="FootnoteReference"/>
          <w:sz w:val="22"/>
        </w:rPr>
        <w:footnoteReference w:id="231"/>
      </w:r>
    </w:p>
    <w:p w:rsidR="00746907" w:rsidRDefault="00FE15E2" w:rsidP="00777495">
      <w:pPr>
        <w:pStyle w:val="Caption"/>
      </w:pPr>
      <w:bookmarkStart w:id="626" w:name="_Ref265665504"/>
      <w:bookmarkStart w:id="627" w:name="_Toc271552429"/>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9</w:t>
      </w:r>
      <w:r w:rsidR="00832C7A">
        <w:fldChar w:fldCharType="end"/>
      </w:r>
      <w:bookmarkEnd w:id="626"/>
      <w:r w:rsidR="00ED38AB">
        <w:br/>
      </w:r>
      <w:r w:rsidR="000B4B91">
        <w:t>Vermont’s Funding Sources for Energy-Efficiency Programs, 2009</w:t>
      </w:r>
      <w:bookmarkEnd w:id="627"/>
    </w:p>
    <w:tbl>
      <w:tblPr>
        <w:tblStyle w:val="LightList-Accent6"/>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15" w:type="dxa"/>
          <w:bottom w:w="43" w:type="dxa"/>
          <w:right w:w="115" w:type="dxa"/>
        </w:tblCellMar>
        <w:tblLook w:val="04A0"/>
      </w:tblPr>
      <w:tblGrid>
        <w:gridCol w:w="2484"/>
        <w:gridCol w:w="1413"/>
      </w:tblGrid>
      <w:tr w:rsidR="00ED38AB" w:rsidRPr="00E754BE" w:rsidTr="00ED38AB">
        <w:trPr>
          <w:cnfStyle w:val="100000000000"/>
          <w:cantSplit/>
          <w:jc w:val="center"/>
        </w:trPr>
        <w:tc>
          <w:tcPr>
            <w:cnfStyle w:val="001000000000"/>
            <w:tcW w:w="2484" w:type="dxa"/>
            <w:shd w:val="clear" w:color="auto" w:fill="FBCE76" w:themeFill="background2" w:themeFillTint="99"/>
            <w:tcMar>
              <w:top w:w="43" w:type="dxa"/>
              <w:left w:w="115" w:type="dxa"/>
              <w:bottom w:w="43" w:type="dxa"/>
              <w:right w:w="115" w:type="dxa"/>
            </w:tcMar>
            <w:vAlign w:val="center"/>
          </w:tcPr>
          <w:p w:rsidR="006A7038" w:rsidRDefault="000B4B91" w:rsidP="00777495">
            <w:pPr>
              <w:keepNext/>
              <w:keepLines/>
              <w:spacing w:after="0"/>
              <w:jc w:val="center"/>
              <w:rPr>
                <w:rFonts w:ascii="Arial" w:hAnsi="Arial" w:cs="Arial"/>
                <w:b w:val="0"/>
                <w:bCs w:val="0"/>
                <w:color w:val="000000" w:themeColor="text1"/>
                <w:sz w:val="18"/>
                <w:szCs w:val="18"/>
              </w:rPr>
            </w:pPr>
            <w:r w:rsidRPr="00E754BE">
              <w:rPr>
                <w:rFonts w:ascii="Arial" w:hAnsi="Arial" w:cs="Arial"/>
                <w:color w:val="000000" w:themeColor="text1"/>
                <w:sz w:val="18"/>
                <w:szCs w:val="18"/>
              </w:rPr>
              <w:t>Funding Source</w:t>
            </w:r>
          </w:p>
        </w:tc>
        <w:tc>
          <w:tcPr>
            <w:tcW w:w="1413" w:type="dxa"/>
            <w:shd w:val="clear" w:color="auto" w:fill="FBCE76" w:themeFill="background2" w:themeFillTint="99"/>
            <w:tcMar>
              <w:top w:w="43" w:type="dxa"/>
              <w:left w:w="115" w:type="dxa"/>
              <w:bottom w:w="43" w:type="dxa"/>
              <w:right w:w="115" w:type="dxa"/>
            </w:tcMar>
            <w:vAlign w:val="center"/>
          </w:tcPr>
          <w:p w:rsidR="006A7038" w:rsidRDefault="000B4B91" w:rsidP="00777495">
            <w:pPr>
              <w:keepNext/>
              <w:keepLines/>
              <w:spacing w:after="0"/>
              <w:jc w:val="center"/>
              <w:cnfStyle w:val="100000000000"/>
              <w:rPr>
                <w:rFonts w:ascii="Arial" w:hAnsi="Arial" w:cs="Arial"/>
                <w:b w:val="0"/>
                <w:bCs w:val="0"/>
                <w:color w:val="000000" w:themeColor="text1"/>
                <w:sz w:val="18"/>
                <w:szCs w:val="18"/>
              </w:rPr>
            </w:pPr>
            <w:r w:rsidRPr="00E754BE">
              <w:rPr>
                <w:rFonts w:ascii="Arial" w:hAnsi="Arial" w:cs="Arial"/>
                <w:color w:val="000000" w:themeColor="text1"/>
                <w:sz w:val="18"/>
                <w:szCs w:val="18"/>
              </w:rPr>
              <w:t>Amount</w:t>
            </w:r>
          </w:p>
        </w:tc>
      </w:tr>
      <w:tr w:rsidR="00ED38AB" w:rsidRPr="00E754BE" w:rsidTr="000D4146">
        <w:trPr>
          <w:cnfStyle w:val="000000100000"/>
          <w:cantSplit/>
          <w:jc w:val="center"/>
        </w:trPr>
        <w:tc>
          <w:tcPr>
            <w:cnfStyle w:val="001000000000"/>
            <w:tcW w:w="2484" w:type="dxa"/>
            <w:tcBorders>
              <w:top w:val="none" w:sz="0" w:space="0" w:color="auto"/>
              <w:left w:val="none" w:sz="0" w:space="0" w:color="auto"/>
              <w:bottom w:val="none" w:sz="0" w:space="0" w:color="auto"/>
            </w:tcBorders>
            <w:tcMar>
              <w:top w:w="43" w:type="dxa"/>
              <w:left w:w="115" w:type="dxa"/>
              <w:bottom w:w="43" w:type="dxa"/>
              <w:right w:w="115" w:type="dxa"/>
            </w:tcMar>
            <w:vAlign w:val="center"/>
          </w:tcPr>
          <w:p w:rsidR="006A7038" w:rsidRDefault="000B4B91" w:rsidP="00777495">
            <w:pPr>
              <w:keepNext/>
              <w:keepLines/>
              <w:spacing w:after="0"/>
              <w:rPr>
                <w:rFonts w:ascii="Arial" w:hAnsi="Arial" w:cs="Arial"/>
                <w:b w:val="0"/>
                <w:bCs w:val="0"/>
                <w:color w:val="000000" w:themeColor="text1"/>
                <w:sz w:val="18"/>
                <w:szCs w:val="18"/>
              </w:rPr>
            </w:pPr>
            <w:r w:rsidRPr="00AF6541">
              <w:rPr>
                <w:rFonts w:ascii="Arial" w:hAnsi="Arial" w:cs="Arial"/>
                <w:color w:val="000000" w:themeColor="text1"/>
                <w:sz w:val="18"/>
                <w:szCs w:val="18"/>
              </w:rPr>
              <w:t>S</w:t>
            </w:r>
            <w:r w:rsidR="00015CB2">
              <w:rPr>
                <w:rFonts w:ascii="Arial" w:hAnsi="Arial" w:cs="Arial"/>
                <w:color w:val="000000" w:themeColor="text1"/>
                <w:sz w:val="18"/>
                <w:szCs w:val="18"/>
              </w:rPr>
              <w:t>ystem</w:t>
            </w:r>
            <w:r w:rsidRPr="00AF6541">
              <w:rPr>
                <w:rFonts w:ascii="Arial" w:hAnsi="Arial" w:cs="Arial"/>
                <w:color w:val="000000" w:themeColor="text1"/>
                <w:sz w:val="18"/>
                <w:szCs w:val="18"/>
              </w:rPr>
              <w:t xml:space="preserve"> </w:t>
            </w:r>
            <w:r>
              <w:rPr>
                <w:rFonts w:ascii="Arial" w:hAnsi="Arial" w:cs="Arial"/>
                <w:color w:val="000000" w:themeColor="text1"/>
                <w:sz w:val="18"/>
                <w:szCs w:val="18"/>
              </w:rPr>
              <w:t>b</w:t>
            </w:r>
            <w:r w:rsidRPr="00AF6541">
              <w:rPr>
                <w:rFonts w:ascii="Arial" w:hAnsi="Arial" w:cs="Arial"/>
                <w:color w:val="000000" w:themeColor="text1"/>
                <w:sz w:val="18"/>
                <w:szCs w:val="18"/>
              </w:rPr>
              <w:t xml:space="preserve">enefits </w:t>
            </w:r>
            <w:r>
              <w:rPr>
                <w:rFonts w:ascii="Arial" w:hAnsi="Arial" w:cs="Arial"/>
                <w:color w:val="000000" w:themeColor="text1"/>
                <w:sz w:val="18"/>
                <w:szCs w:val="18"/>
              </w:rPr>
              <w:t>c</w:t>
            </w:r>
            <w:r w:rsidRPr="00AF6541">
              <w:rPr>
                <w:rFonts w:ascii="Arial" w:hAnsi="Arial" w:cs="Arial"/>
                <w:color w:val="000000" w:themeColor="text1"/>
                <w:sz w:val="18"/>
                <w:szCs w:val="18"/>
              </w:rPr>
              <w:t>harge</w:t>
            </w:r>
          </w:p>
        </w:tc>
        <w:tc>
          <w:tcPr>
            <w:tcW w:w="1413" w:type="dxa"/>
            <w:tcBorders>
              <w:top w:val="none" w:sz="0" w:space="0" w:color="auto"/>
              <w:bottom w:val="none" w:sz="0" w:space="0" w:color="auto"/>
              <w:right w:val="none" w:sz="0" w:space="0" w:color="auto"/>
            </w:tcBorders>
            <w:tcMar>
              <w:top w:w="43" w:type="dxa"/>
              <w:left w:w="115" w:type="dxa"/>
              <w:bottom w:w="43" w:type="dxa"/>
              <w:right w:w="115" w:type="dxa"/>
            </w:tcMar>
            <w:vAlign w:val="center"/>
          </w:tcPr>
          <w:p w:rsidR="006A7038" w:rsidRDefault="000B4B91" w:rsidP="00777495">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$22.6 million</w:t>
            </w:r>
          </w:p>
        </w:tc>
      </w:tr>
      <w:tr w:rsidR="00ED38AB" w:rsidRPr="00E754BE" w:rsidTr="00ED38AB">
        <w:trPr>
          <w:cantSplit/>
          <w:jc w:val="center"/>
        </w:trPr>
        <w:tc>
          <w:tcPr>
            <w:cnfStyle w:val="001000000000"/>
            <w:tcW w:w="2484" w:type="dxa"/>
            <w:shd w:val="clear" w:color="auto" w:fill="FDEED1" w:themeFill="background2" w:themeFillTint="33"/>
            <w:tcMar>
              <w:top w:w="43" w:type="dxa"/>
              <w:left w:w="115" w:type="dxa"/>
              <w:bottom w:w="43" w:type="dxa"/>
              <w:right w:w="115" w:type="dxa"/>
            </w:tcMar>
            <w:vAlign w:val="center"/>
          </w:tcPr>
          <w:p w:rsidR="006A7038" w:rsidRDefault="000B4B91" w:rsidP="00777495">
            <w:pPr>
              <w:keepNext/>
              <w:keepLines/>
              <w:spacing w:after="0"/>
              <w:rPr>
                <w:rFonts w:ascii="Arial" w:hAnsi="Arial" w:cs="Arial"/>
                <w:b w:val="0"/>
                <w:bCs w:val="0"/>
                <w:color w:val="000000" w:themeColor="text1"/>
                <w:sz w:val="18"/>
                <w:szCs w:val="18"/>
              </w:rPr>
            </w:pPr>
            <w:r w:rsidRPr="00AF6541">
              <w:rPr>
                <w:rFonts w:ascii="Arial" w:hAnsi="Arial" w:cs="Arial"/>
                <w:color w:val="000000" w:themeColor="text1"/>
                <w:sz w:val="18"/>
                <w:szCs w:val="18"/>
              </w:rPr>
              <w:t>FCM revenues</w:t>
            </w:r>
          </w:p>
        </w:tc>
        <w:tc>
          <w:tcPr>
            <w:tcW w:w="1413" w:type="dxa"/>
            <w:shd w:val="clear" w:color="auto" w:fill="FDEED1" w:themeFill="background2" w:themeFillTint="33"/>
            <w:tcMar>
              <w:top w:w="43" w:type="dxa"/>
              <w:left w:w="115" w:type="dxa"/>
              <w:bottom w:w="43" w:type="dxa"/>
              <w:right w:w="115" w:type="dxa"/>
            </w:tcMar>
            <w:vAlign w:val="center"/>
          </w:tcPr>
          <w:p w:rsidR="006A7038" w:rsidRDefault="000B4B91" w:rsidP="00777495">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$1.4 million</w:t>
            </w:r>
          </w:p>
        </w:tc>
      </w:tr>
      <w:tr w:rsidR="00ED38AB" w:rsidRPr="00E754BE" w:rsidTr="000D4146">
        <w:trPr>
          <w:cnfStyle w:val="000000100000"/>
          <w:cantSplit/>
          <w:jc w:val="center"/>
        </w:trPr>
        <w:tc>
          <w:tcPr>
            <w:cnfStyle w:val="001000000000"/>
            <w:tcW w:w="2484" w:type="dxa"/>
            <w:tcBorders>
              <w:top w:val="none" w:sz="0" w:space="0" w:color="auto"/>
              <w:left w:val="none" w:sz="0" w:space="0" w:color="auto"/>
              <w:bottom w:val="none" w:sz="0" w:space="0" w:color="auto"/>
            </w:tcBorders>
            <w:tcMar>
              <w:top w:w="43" w:type="dxa"/>
              <w:left w:w="115" w:type="dxa"/>
              <w:bottom w:w="43" w:type="dxa"/>
              <w:right w:w="115" w:type="dxa"/>
            </w:tcMar>
            <w:vAlign w:val="center"/>
          </w:tcPr>
          <w:p w:rsidR="006A7038" w:rsidRDefault="000B4B91" w:rsidP="00777495">
            <w:pPr>
              <w:keepNext/>
              <w:keepLines/>
              <w:spacing w:after="0"/>
              <w:rPr>
                <w:rFonts w:ascii="Arial" w:hAnsi="Arial" w:cs="Arial"/>
                <w:b w:val="0"/>
                <w:bCs w:val="0"/>
                <w:color w:val="000000" w:themeColor="text1"/>
                <w:sz w:val="18"/>
                <w:szCs w:val="18"/>
              </w:rPr>
            </w:pPr>
            <w:r w:rsidRPr="00AF6541">
              <w:rPr>
                <w:rFonts w:ascii="Arial" w:hAnsi="Arial" w:cs="Arial"/>
                <w:color w:val="000000" w:themeColor="text1"/>
                <w:sz w:val="18"/>
                <w:szCs w:val="18"/>
              </w:rPr>
              <w:t>RGGI revenues</w:t>
            </w:r>
          </w:p>
        </w:tc>
        <w:tc>
          <w:tcPr>
            <w:tcW w:w="1413" w:type="dxa"/>
            <w:tcBorders>
              <w:top w:val="none" w:sz="0" w:space="0" w:color="auto"/>
              <w:bottom w:val="none" w:sz="0" w:space="0" w:color="auto"/>
              <w:right w:val="none" w:sz="0" w:space="0" w:color="auto"/>
            </w:tcBorders>
            <w:tcMar>
              <w:top w:w="43" w:type="dxa"/>
              <w:left w:w="115" w:type="dxa"/>
              <w:bottom w:w="43" w:type="dxa"/>
              <w:right w:w="115" w:type="dxa"/>
            </w:tcMar>
            <w:vAlign w:val="center"/>
          </w:tcPr>
          <w:p w:rsidR="006A7038" w:rsidRDefault="000B4B91" w:rsidP="00777495">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$2</w:t>
            </w:r>
            <w:r w:rsidR="00A84EB3">
              <w:rPr>
                <w:rFonts w:ascii="Arial" w:hAnsi="Arial" w:cs="Arial"/>
                <w:color w:val="000000" w:themeColor="text1"/>
                <w:sz w:val="18"/>
                <w:szCs w:val="18"/>
              </w:rPr>
              <w:t>.0</w:t>
            </w:r>
            <w:r w:rsidRPr="00E754BE">
              <w:rPr>
                <w:rFonts w:ascii="Arial" w:hAnsi="Arial" w:cs="Arial"/>
                <w:color w:val="000000" w:themeColor="text1"/>
                <w:sz w:val="18"/>
                <w:szCs w:val="18"/>
              </w:rPr>
              <w:t xml:space="preserve"> million</w:t>
            </w:r>
          </w:p>
        </w:tc>
      </w:tr>
      <w:tr w:rsidR="00ED38AB" w:rsidRPr="00E754BE" w:rsidTr="00ED38AB">
        <w:trPr>
          <w:cantSplit/>
          <w:jc w:val="center"/>
        </w:trPr>
        <w:tc>
          <w:tcPr>
            <w:cnfStyle w:val="001000000000"/>
            <w:tcW w:w="2484" w:type="dxa"/>
            <w:shd w:val="clear" w:color="auto" w:fill="FBCE76" w:themeFill="background2" w:themeFillTint="99"/>
            <w:tcMar>
              <w:top w:w="43" w:type="dxa"/>
              <w:left w:w="115" w:type="dxa"/>
              <w:bottom w:w="43" w:type="dxa"/>
              <w:right w:w="115" w:type="dxa"/>
            </w:tcMar>
            <w:vAlign w:val="center"/>
          </w:tcPr>
          <w:p w:rsidR="006A7038" w:rsidRDefault="000B4B91" w:rsidP="00777495">
            <w:pPr>
              <w:keepNext/>
              <w:keepLines/>
              <w:spacing w:after="0"/>
              <w:rPr>
                <w:rFonts w:ascii="Arial" w:hAnsi="Arial" w:cs="Arial"/>
                <w:b w:val="0"/>
                <w:bCs w:val="0"/>
                <w:color w:val="000000" w:themeColor="text1"/>
                <w:sz w:val="18"/>
                <w:szCs w:val="18"/>
              </w:rPr>
            </w:pPr>
            <w:r w:rsidRPr="00AF6541">
              <w:rPr>
                <w:rFonts w:ascii="Arial" w:hAnsi="Arial" w:cs="Arial"/>
                <w:color w:val="000000" w:themeColor="text1"/>
                <w:sz w:val="18"/>
                <w:szCs w:val="18"/>
              </w:rPr>
              <w:t>Total</w:t>
            </w:r>
          </w:p>
        </w:tc>
        <w:tc>
          <w:tcPr>
            <w:tcW w:w="1413" w:type="dxa"/>
            <w:shd w:val="clear" w:color="auto" w:fill="FBCE76" w:themeFill="background2" w:themeFillTint="99"/>
            <w:tcMar>
              <w:top w:w="43" w:type="dxa"/>
              <w:left w:w="115" w:type="dxa"/>
              <w:bottom w:w="43" w:type="dxa"/>
              <w:right w:w="115" w:type="dxa"/>
            </w:tcMar>
            <w:vAlign w:val="center"/>
          </w:tcPr>
          <w:p w:rsidR="006A7038" w:rsidRDefault="000B4B91" w:rsidP="00165E76">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$26</w:t>
            </w:r>
            <w:r w:rsidR="00EA2951">
              <w:rPr>
                <w:rFonts w:ascii="Arial" w:hAnsi="Arial" w:cs="Arial"/>
                <w:color w:val="000000" w:themeColor="text1"/>
                <w:sz w:val="18"/>
                <w:szCs w:val="18"/>
              </w:rPr>
              <w:t>.0</w:t>
            </w:r>
            <w:r w:rsidRPr="00E754BE">
              <w:rPr>
                <w:rFonts w:ascii="Arial" w:hAnsi="Arial" w:cs="Arial"/>
                <w:color w:val="000000" w:themeColor="text1"/>
                <w:sz w:val="18"/>
                <w:szCs w:val="18"/>
              </w:rPr>
              <w:t xml:space="preserve"> million</w:t>
            </w:r>
          </w:p>
        </w:tc>
      </w:tr>
    </w:tbl>
    <w:p w:rsidR="00121E63" w:rsidRPr="00D32AE4" w:rsidRDefault="00121E63" w:rsidP="00073277"/>
    <w:p w:rsidR="00FC0261" w:rsidRDefault="004001CC" w:rsidP="00235A65">
      <w:pPr>
        <w:pStyle w:val="Heading4"/>
      </w:pPr>
      <w:r w:rsidRPr="00071520">
        <w:t>New Hampshire</w:t>
      </w:r>
    </w:p>
    <w:p w:rsidR="004001CC" w:rsidRPr="00DE35FE" w:rsidRDefault="004001CC" w:rsidP="00073277">
      <w:r w:rsidRPr="00DE35FE">
        <w:t xml:space="preserve">In 2002, New Hampshire launched “CORE” statewide EE programs common for the four state utilities: PSNH, Unitil, NH Electric Coop, and Granite State (NGrid). The utilities jointly present a state EE program to the NH PUC. A study of the potential opportunities for EE in NH </w:t>
      </w:r>
      <w:r w:rsidR="00987991" w:rsidRPr="00987991">
        <w:t xml:space="preserve">estimated that an 8.5% reduction in </w:t>
      </w:r>
      <w:r w:rsidR="00987991" w:rsidRPr="00DC45B3">
        <w:t xml:space="preserve">peak load </w:t>
      </w:r>
      <w:r w:rsidR="00F46CEB" w:rsidRPr="00DC45B3">
        <w:t>using a 2008 baseline</w:t>
      </w:r>
      <w:r w:rsidR="0088354A" w:rsidRPr="00DC45B3">
        <w:t xml:space="preserve"> </w:t>
      </w:r>
      <w:r w:rsidR="00987991" w:rsidRPr="00DC45B3">
        <w:t>could</w:t>
      </w:r>
      <w:r w:rsidR="00987991" w:rsidRPr="00987991">
        <w:t xml:space="preserve"> potentially be attained by 2018.</w:t>
      </w:r>
      <w:r w:rsidR="00987991" w:rsidRPr="00987991">
        <w:rPr>
          <w:rStyle w:val="FootnoteReference"/>
          <w:sz w:val="22"/>
        </w:rPr>
        <w:footnoteReference w:id="232"/>
      </w:r>
      <w:r w:rsidR="00987991" w:rsidRPr="00987991">
        <w:t xml:space="preserve"> </w:t>
      </w:r>
      <w:fldSimple w:instr=" REF _Ref265667007 \h  \* MERGEFORMAT ">
        <w:r w:rsidR="00E5699E" w:rsidRPr="00916387">
          <w:t xml:space="preserve">Table </w:t>
        </w:r>
        <w:r w:rsidR="00E5699E">
          <w:rPr>
            <w:noProof/>
          </w:rPr>
          <w:t>8</w:t>
        </w:r>
        <w:r w:rsidR="00E5699E">
          <w:rPr>
            <w:noProof/>
          </w:rPr>
          <w:noBreakHyphen/>
          <w:t>10</w:t>
        </w:r>
      </w:fldSimple>
      <w:r w:rsidR="00987991" w:rsidRPr="00987991">
        <w:t xml:space="preserve"> shows the proposed funding levels and sources for EE programs for 2010.</w:t>
      </w:r>
      <w:r w:rsidR="00987991" w:rsidRPr="00987991">
        <w:rPr>
          <w:rStyle w:val="FootnoteReference"/>
          <w:sz w:val="22"/>
        </w:rPr>
        <w:footnoteReference w:id="233"/>
      </w:r>
    </w:p>
    <w:p w:rsidR="00121E63" w:rsidRDefault="00916387" w:rsidP="00ED38AB">
      <w:pPr>
        <w:pStyle w:val="Caption"/>
      </w:pPr>
      <w:bookmarkStart w:id="628" w:name="_Ref265667007"/>
      <w:bookmarkStart w:id="629" w:name="_Toc271552430"/>
      <w:r w:rsidRPr="00916387">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10</w:t>
      </w:r>
      <w:r w:rsidR="00832C7A">
        <w:fldChar w:fldCharType="end"/>
      </w:r>
      <w:bookmarkEnd w:id="628"/>
      <w:r w:rsidRPr="00916387">
        <w:br/>
        <w:t>New Hampshire’s Proposed Funding Levels for</w:t>
      </w:r>
      <w:r w:rsidRPr="00916387">
        <w:br/>
        <w:t>the CORE Energy-Efficiency Programs, 2010</w:t>
      </w:r>
      <w:bookmarkEnd w:id="629"/>
    </w:p>
    <w:tbl>
      <w:tblPr>
        <w:tblStyle w:val="LightList-Accent6"/>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15" w:type="dxa"/>
          <w:bottom w:w="43" w:type="dxa"/>
          <w:right w:w="115" w:type="dxa"/>
        </w:tblCellMar>
        <w:tblLook w:val="04A0"/>
      </w:tblPr>
      <w:tblGrid>
        <w:gridCol w:w="2844"/>
        <w:gridCol w:w="1260"/>
      </w:tblGrid>
      <w:tr w:rsidR="00ED38AB" w:rsidRPr="00E754BE" w:rsidTr="00ED38AB">
        <w:trPr>
          <w:cnfStyle w:val="100000000000"/>
          <w:jc w:val="center"/>
        </w:trPr>
        <w:tc>
          <w:tcPr>
            <w:cnfStyle w:val="001000000000"/>
            <w:tcW w:w="2844" w:type="dxa"/>
            <w:shd w:val="clear" w:color="auto" w:fill="FBCE76" w:themeFill="background2" w:themeFillTint="99"/>
            <w:vAlign w:val="center"/>
          </w:tcPr>
          <w:p w:rsidR="006A7038" w:rsidRDefault="00ED38AB">
            <w:pPr>
              <w:spacing w:after="0"/>
              <w:jc w:val="center"/>
              <w:rPr>
                <w:rFonts w:ascii="Arial" w:hAnsi="Arial" w:cs="Arial"/>
                <w:b w:val="0"/>
                <w:bCs w:val="0"/>
                <w:color w:val="000000" w:themeColor="text1"/>
                <w:sz w:val="18"/>
                <w:szCs w:val="18"/>
              </w:rPr>
            </w:pPr>
            <w:r w:rsidRPr="00E754BE">
              <w:rPr>
                <w:rFonts w:ascii="Arial" w:hAnsi="Arial" w:cs="Arial"/>
                <w:color w:val="000000" w:themeColor="text1"/>
                <w:sz w:val="18"/>
                <w:szCs w:val="18"/>
              </w:rPr>
              <w:t>Proposed Funding Sources</w:t>
            </w:r>
          </w:p>
        </w:tc>
        <w:tc>
          <w:tcPr>
            <w:tcW w:w="1260" w:type="dxa"/>
            <w:shd w:val="clear" w:color="auto" w:fill="FBCE76" w:themeFill="background2" w:themeFillTint="99"/>
            <w:vAlign w:val="center"/>
          </w:tcPr>
          <w:p w:rsidR="006A7038" w:rsidRDefault="00ED38AB">
            <w:pPr>
              <w:spacing w:after="0"/>
              <w:jc w:val="center"/>
              <w:cnfStyle w:val="100000000000"/>
              <w:rPr>
                <w:rFonts w:ascii="Arial" w:hAnsi="Arial" w:cs="Arial"/>
                <w:b w:val="0"/>
                <w:bCs w:val="0"/>
                <w:color w:val="000000" w:themeColor="text1"/>
                <w:sz w:val="18"/>
                <w:szCs w:val="18"/>
              </w:rPr>
            </w:pPr>
            <w:r w:rsidRPr="00E754BE">
              <w:rPr>
                <w:rFonts w:ascii="Arial" w:hAnsi="Arial" w:cs="Arial"/>
                <w:color w:val="000000" w:themeColor="text1"/>
                <w:sz w:val="18"/>
                <w:szCs w:val="18"/>
              </w:rPr>
              <w:t>Amount</w:t>
            </w:r>
          </w:p>
        </w:tc>
      </w:tr>
      <w:tr w:rsidR="00ED38AB" w:rsidRPr="00E754BE" w:rsidTr="000D4146">
        <w:trPr>
          <w:cnfStyle w:val="000000100000"/>
          <w:jc w:val="center"/>
        </w:trPr>
        <w:tc>
          <w:tcPr>
            <w:cnfStyle w:val="001000000000"/>
            <w:tcW w:w="2844" w:type="dxa"/>
            <w:tcBorders>
              <w:top w:val="none" w:sz="0" w:space="0" w:color="auto"/>
              <w:left w:val="none" w:sz="0" w:space="0" w:color="auto"/>
              <w:bottom w:val="none" w:sz="0" w:space="0" w:color="auto"/>
            </w:tcBorders>
            <w:vAlign w:val="center"/>
          </w:tcPr>
          <w:p w:rsidR="00ED38AB" w:rsidRPr="00AF6541" w:rsidRDefault="00ED38AB" w:rsidP="00015CB2">
            <w:pPr>
              <w:spacing w:after="0"/>
              <w:rPr>
                <w:rFonts w:ascii="Arial" w:hAnsi="Arial" w:cs="Arial"/>
                <w:color w:val="000000" w:themeColor="text1"/>
                <w:sz w:val="18"/>
                <w:szCs w:val="18"/>
              </w:rPr>
            </w:pPr>
            <w:r w:rsidRPr="00AF6541">
              <w:rPr>
                <w:rFonts w:ascii="Arial" w:hAnsi="Arial" w:cs="Arial"/>
                <w:color w:val="000000" w:themeColor="text1"/>
                <w:sz w:val="18"/>
                <w:szCs w:val="18"/>
              </w:rPr>
              <w:t>S</w:t>
            </w:r>
            <w:r w:rsidR="00015CB2">
              <w:rPr>
                <w:rFonts w:ascii="Arial" w:hAnsi="Arial" w:cs="Arial"/>
                <w:color w:val="000000" w:themeColor="text1"/>
                <w:sz w:val="18"/>
                <w:szCs w:val="18"/>
              </w:rPr>
              <w:t xml:space="preserve">ystem </w:t>
            </w:r>
            <w:r>
              <w:rPr>
                <w:rFonts w:ascii="Arial" w:hAnsi="Arial" w:cs="Arial"/>
                <w:color w:val="000000" w:themeColor="text1"/>
                <w:sz w:val="18"/>
                <w:szCs w:val="18"/>
              </w:rPr>
              <w:t>b</w:t>
            </w:r>
            <w:r w:rsidRPr="00AF6541">
              <w:rPr>
                <w:rFonts w:ascii="Arial" w:hAnsi="Arial" w:cs="Arial"/>
                <w:color w:val="000000" w:themeColor="text1"/>
                <w:sz w:val="18"/>
                <w:szCs w:val="18"/>
              </w:rPr>
              <w:t xml:space="preserve">enefits </w:t>
            </w:r>
            <w:r>
              <w:rPr>
                <w:rFonts w:ascii="Arial" w:hAnsi="Arial" w:cs="Arial"/>
                <w:color w:val="000000" w:themeColor="text1"/>
                <w:sz w:val="18"/>
                <w:szCs w:val="18"/>
              </w:rPr>
              <w:t>c</w:t>
            </w:r>
            <w:r w:rsidRPr="00AF6541">
              <w:rPr>
                <w:rFonts w:ascii="Arial" w:hAnsi="Arial" w:cs="Arial"/>
                <w:color w:val="000000" w:themeColor="text1"/>
                <w:sz w:val="18"/>
                <w:szCs w:val="18"/>
              </w:rPr>
              <w:t>harge</w:t>
            </w:r>
          </w:p>
        </w:tc>
        <w:tc>
          <w:tcPr>
            <w:tcW w:w="1260" w:type="dxa"/>
            <w:tcBorders>
              <w:top w:val="none" w:sz="0" w:space="0" w:color="auto"/>
              <w:bottom w:val="none" w:sz="0" w:space="0" w:color="auto"/>
              <w:right w:val="none" w:sz="0" w:space="0" w:color="auto"/>
            </w:tcBorders>
            <w:vAlign w:val="center"/>
          </w:tcPr>
          <w:p w:rsidR="00ED38AB" w:rsidRPr="00E754BE" w:rsidRDefault="00ED38AB" w:rsidP="00D442C6">
            <w:pPr>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w:t>
            </w:r>
            <w:r w:rsidR="00D442C6">
              <w:rPr>
                <w:rFonts w:ascii="Arial" w:hAnsi="Arial" w:cs="Arial"/>
                <w:color w:val="000000" w:themeColor="text1"/>
                <w:sz w:val="18"/>
                <w:szCs w:val="18"/>
              </w:rPr>
              <w:t>18.8</w:t>
            </w:r>
            <w:r w:rsidRPr="00E754BE">
              <w:rPr>
                <w:rFonts w:ascii="Arial" w:hAnsi="Arial" w:cs="Arial"/>
                <w:color w:val="000000" w:themeColor="text1"/>
                <w:sz w:val="18"/>
                <w:szCs w:val="18"/>
              </w:rPr>
              <w:t xml:space="preserve"> million</w:t>
            </w:r>
          </w:p>
        </w:tc>
      </w:tr>
      <w:tr w:rsidR="00ED38AB" w:rsidRPr="00E754BE" w:rsidTr="000F2F92">
        <w:trPr>
          <w:jc w:val="center"/>
        </w:trPr>
        <w:tc>
          <w:tcPr>
            <w:cnfStyle w:val="001000000000"/>
            <w:tcW w:w="2844" w:type="dxa"/>
            <w:shd w:val="clear" w:color="auto" w:fill="FDEED1" w:themeFill="background2" w:themeFillTint="33"/>
            <w:vAlign w:val="center"/>
          </w:tcPr>
          <w:p w:rsidR="00ED38AB" w:rsidRPr="00AF6541" w:rsidRDefault="00ED38AB" w:rsidP="00ED38AB">
            <w:pPr>
              <w:spacing w:after="0"/>
              <w:rPr>
                <w:rFonts w:ascii="Arial" w:hAnsi="Arial" w:cs="Arial"/>
                <w:color w:val="000000" w:themeColor="text1"/>
                <w:sz w:val="18"/>
                <w:szCs w:val="18"/>
              </w:rPr>
            </w:pPr>
            <w:r w:rsidRPr="00AF6541">
              <w:rPr>
                <w:rFonts w:ascii="Arial" w:hAnsi="Arial" w:cs="Arial"/>
                <w:color w:val="000000" w:themeColor="text1"/>
                <w:sz w:val="18"/>
                <w:szCs w:val="18"/>
              </w:rPr>
              <w:t>FCM revenues</w:t>
            </w:r>
          </w:p>
        </w:tc>
        <w:tc>
          <w:tcPr>
            <w:tcW w:w="1260" w:type="dxa"/>
            <w:shd w:val="clear" w:color="auto" w:fill="FDEED1" w:themeFill="background2" w:themeFillTint="33"/>
            <w:vAlign w:val="center"/>
          </w:tcPr>
          <w:p w:rsidR="00ED38AB" w:rsidRPr="00E754BE" w:rsidRDefault="00ED38AB" w:rsidP="00ED38AB">
            <w:pPr>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$1.5 million</w:t>
            </w:r>
          </w:p>
        </w:tc>
      </w:tr>
      <w:tr w:rsidR="00782258" w:rsidRPr="00E754BE" w:rsidTr="000D4146">
        <w:trPr>
          <w:cnfStyle w:val="000000100000"/>
          <w:jc w:val="center"/>
        </w:trPr>
        <w:tc>
          <w:tcPr>
            <w:cnfStyle w:val="001000000000"/>
            <w:tcW w:w="2844" w:type="dxa"/>
            <w:tcBorders>
              <w:top w:val="none" w:sz="0" w:space="0" w:color="auto"/>
              <w:left w:val="none" w:sz="0" w:space="0" w:color="auto"/>
              <w:bottom w:val="none" w:sz="0" w:space="0" w:color="auto"/>
            </w:tcBorders>
            <w:vAlign w:val="center"/>
          </w:tcPr>
          <w:p w:rsidR="00782258" w:rsidRPr="00AF6541" w:rsidRDefault="00782258" w:rsidP="00ED38AB">
            <w:pPr>
              <w:spacing w:after="0"/>
              <w:rPr>
                <w:rFonts w:ascii="Arial" w:hAnsi="Arial" w:cs="Arial"/>
                <w:color w:val="000000" w:themeColor="text1"/>
                <w:sz w:val="18"/>
                <w:szCs w:val="18"/>
              </w:rPr>
            </w:pPr>
            <w:r>
              <w:rPr>
                <w:rFonts w:ascii="Arial" w:hAnsi="Arial" w:cs="Arial"/>
                <w:color w:val="000000" w:themeColor="text1"/>
                <w:sz w:val="18"/>
                <w:szCs w:val="18"/>
              </w:rPr>
              <w:t>RGGI revenues</w:t>
            </w:r>
          </w:p>
        </w:tc>
        <w:tc>
          <w:tcPr>
            <w:tcW w:w="1260" w:type="dxa"/>
            <w:tcBorders>
              <w:top w:val="none" w:sz="0" w:space="0" w:color="auto"/>
              <w:bottom w:val="none" w:sz="0" w:space="0" w:color="auto"/>
              <w:right w:val="none" w:sz="0" w:space="0" w:color="auto"/>
            </w:tcBorders>
            <w:vAlign w:val="center"/>
          </w:tcPr>
          <w:p w:rsidR="00782258" w:rsidRPr="00E754BE" w:rsidRDefault="00782258" w:rsidP="00ED38AB">
            <w:pPr>
              <w:spacing w:after="0"/>
              <w:jc w:val="right"/>
              <w:cnfStyle w:val="000000100000"/>
              <w:rPr>
                <w:rFonts w:ascii="Arial" w:hAnsi="Arial" w:cs="Arial"/>
                <w:color w:val="000000" w:themeColor="text1"/>
                <w:sz w:val="18"/>
                <w:szCs w:val="18"/>
              </w:rPr>
            </w:pPr>
            <w:r>
              <w:rPr>
                <w:rFonts w:ascii="Arial" w:hAnsi="Arial" w:cs="Arial"/>
                <w:color w:val="000000" w:themeColor="text1"/>
                <w:sz w:val="18"/>
                <w:szCs w:val="18"/>
              </w:rPr>
              <w:t>$7.5 million</w:t>
            </w:r>
          </w:p>
        </w:tc>
      </w:tr>
      <w:tr w:rsidR="00ED38AB" w:rsidRPr="00E754BE" w:rsidTr="00ED38AB">
        <w:trPr>
          <w:jc w:val="center"/>
        </w:trPr>
        <w:tc>
          <w:tcPr>
            <w:cnfStyle w:val="001000000000"/>
            <w:tcW w:w="2844" w:type="dxa"/>
            <w:shd w:val="clear" w:color="auto" w:fill="FBCE76" w:themeFill="background2" w:themeFillTint="99"/>
            <w:vAlign w:val="center"/>
          </w:tcPr>
          <w:p w:rsidR="00ED38AB" w:rsidRPr="00AF6541" w:rsidRDefault="00ED38AB" w:rsidP="00ED38AB">
            <w:pPr>
              <w:spacing w:after="0"/>
              <w:rPr>
                <w:rFonts w:ascii="Arial" w:hAnsi="Arial" w:cs="Arial"/>
                <w:color w:val="000000" w:themeColor="text1"/>
                <w:sz w:val="18"/>
                <w:szCs w:val="18"/>
              </w:rPr>
            </w:pPr>
            <w:r w:rsidRPr="00AF6541">
              <w:rPr>
                <w:rFonts w:ascii="Arial" w:hAnsi="Arial" w:cs="Arial"/>
                <w:color w:val="000000" w:themeColor="text1"/>
                <w:sz w:val="18"/>
                <w:szCs w:val="18"/>
              </w:rPr>
              <w:t>Total</w:t>
            </w:r>
          </w:p>
        </w:tc>
        <w:tc>
          <w:tcPr>
            <w:tcW w:w="1260" w:type="dxa"/>
            <w:shd w:val="clear" w:color="auto" w:fill="FBCE76" w:themeFill="background2" w:themeFillTint="99"/>
            <w:vAlign w:val="center"/>
          </w:tcPr>
          <w:p w:rsidR="00C20F34" w:rsidRDefault="00ED38AB">
            <w:pPr>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$2</w:t>
            </w:r>
            <w:r w:rsidR="00782258">
              <w:rPr>
                <w:rFonts w:ascii="Arial" w:hAnsi="Arial" w:cs="Arial"/>
                <w:color w:val="000000" w:themeColor="text1"/>
                <w:sz w:val="18"/>
                <w:szCs w:val="18"/>
              </w:rPr>
              <w:t>7.8</w:t>
            </w:r>
            <w:r w:rsidRPr="00E754BE">
              <w:rPr>
                <w:rFonts w:ascii="Arial" w:hAnsi="Arial" w:cs="Arial"/>
                <w:color w:val="000000" w:themeColor="text1"/>
                <w:sz w:val="18"/>
                <w:szCs w:val="18"/>
              </w:rPr>
              <w:t xml:space="preserve"> million</w:t>
            </w:r>
          </w:p>
        </w:tc>
      </w:tr>
    </w:tbl>
    <w:p w:rsidR="00ED38AB" w:rsidRDefault="00ED38AB" w:rsidP="00073277"/>
    <w:p w:rsidR="00FC0261" w:rsidRDefault="004001CC" w:rsidP="00235A65">
      <w:pPr>
        <w:pStyle w:val="Heading4"/>
      </w:pPr>
      <w:r w:rsidRPr="00071520">
        <w:t>Maine</w:t>
      </w:r>
    </w:p>
    <w:p w:rsidR="004001CC" w:rsidRDefault="00821C68" w:rsidP="00F227A0">
      <w:pPr>
        <w:rPr>
          <w:rStyle w:val="sdaf1"/>
          <w:rFonts w:ascii="Times New Roman" w:hAnsi="Times New Roman" w:cs="Times New Roman"/>
          <w:sz w:val="22"/>
          <w:szCs w:val="22"/>
        </w:rPr>
      </w:pPr>
      <w:r w:rsidRPr="00821C68">
        <w:t>The Maine PUC</w:t>
      </w:r>
      <w:r w:rsidR="00E0602C" w:rsidRPr="00E0602C">
        <w:t xml:space="preserve"> </w:t>
      </w:r>
      <w:r w:rsidR="00E83D88" w:rsidRPr="00E0602C">
        <w:t xml:space="preserve">initiated </w:t>
      </w:r>
      <w:r w:rsidR="004001CC" w:rsidRPr="00E0602C">
        <w:t xml:space="preserve">Efficiency Maine in 2003 as an umbrella for seven separate EE programs </w:t>
      </w:r>
      <w:r w:rsidRPr="00821C68">
        <w:t>administered by the PUC</w:t>
      </w:r>
      <w:r w:rsidR="00E83D88" w:rsidRPr="00E0602C">
        <w:t xml:space="preserve"> </w:t>
      </w:r>
      <w:r w:rsidR="004001CC" w:rsidRPr="00E0602C">
        <w:t>that cover all electricity end uses in the state.</w:t>
      </w:r>
      <w:r w:rsidR="004001CC" w:rsidRPr="00E0602C">
        <w:rPr>
          <w:rStyle w:val="FootnoteReference"/>
          <w:sz w:val="22"/>
        </w:rPr>
        <w:footnoteReference w:id="234"/>
      </w:r>
      <w:r w:rsidR="004001CC" w:rsidRPr="00E0602C">
        <w:t xml:space="preserve"> </w:t>
      </w:r>
      <w:r w:rsidR="004E0F12" w:rsidRPr="00E0602C">
        <w:t xml:space="preserve">Its </w:t>
      </w:r>
      <w:r w:rsidR="004001CC" w:rsidRPr="00E0602C">
        <w:t>programs</w:t>
      </w:r>
      <w:r w:rsidR="004001CC" w:rsidRPr="00BB0BB7">
        <w:t xml:space="preserve"> cover</w:t>
      </w:r>
      <w:r w:rsidR="004E0F12">
        <w:t>ed</w:t>
      </w:r>
      <w:r w:rsidR="004001CC" w:rsidRPr="00BB0BB7">
        <w:t xml:space="preserve"> residential products, performance and appliances, business products, new commercial construction, education, and solar and wind equipment incentives. In 2008, the expected peak reduction was 25 MW in the summer and 43 MW in the winter.</w:t>
      </w:r>
      <w:r w:rsidR="004001CC" w:rsidRPr="00BB0BB7">
        <w:rPr>
          <w:rStyle w:val="sdaf1"/>
          <w:rFonts w:ascii="Times New Roman" w:hAnsi="Times New Roman" w:cs="Times New Roman"/>
          <w:sz w:val="22"/>
          <w:szCs w:val="22"/>
        </w:rPr>
        <w:t> </w:t>
      </w:r>
    </w:p>
    <w:p w:rsidR="004001CC" w:rsidRDefault="003174D8" w:rsidP="00F227A0">
      <w:r w:rsidRPr="00E0602C">
        <w:rPr>
          <w:rStyle w:val="sdaf1"/>
          <w:rFonts w:ascii="Times New Roman" w:hAnsi="Times New Roman" w:cs="Times New Roman"/>
          <w:sz w:val="22"/>
          <w:szCs w:val="22"/>
        </w:rPr>
        <w:t>Efficiency Maine administered EE programs until July 1, 2010</w:t>
      </w:r>
      <w:r w:rsidR="00662103" w:rsidRPr="00E0602C">
        <w:rPr>
          <w:rStyle w:val="sdaf1"/>
          <w:rFonts w:ascii="Times New Roman" w:hAnsi="Times New Roman" w:cs="Times New Roman"/>
          <w:sz w:val="22"/>
          <w:szCs w:val="22"/>
        </w:rPr>
        <w:t xml:space="preserve">. </w:t>
      </w:r>
      <w:r w:rsidR="004001CC" w:rsidRPr="00E0602C">
        <w:rPr>
          <w:rStyle w:val="sdaf1"/>
          <w:rFonts w:ascii="Times New Roman" w:hAnsi="Times New Roman" w:cs="Times New Roman"/>
          <w:sz w:val="22"/>
          <w:szCs w:val="22"/>
        </w:rPr>
        <w:t>After</w:t>
      </w:r>
      <w:r w:rsidR="004001CC" w:rsidRPr="009E2A13">
        <w:rPr>
          <w:rStyle w:val="sdaf1"/>
          <w:rFonts w:ascii="Times New Roman" w:hAnsi="Times New Roman" w:cs="Times New Roman"/>
          <w:sz w:val="22"/>
          <w:szCs w:val="22"/>
        </w:rPr>
        <w:t xml:space="preserve"> that date, the existing programs run by Efficiency Maine and the Energy and Carbon Savings Trust were grouped together and put under the control of the Efficiency Maine</w:t>
      </w:r>
      <w:r w:rsidR="002E25A2" w:rsidRPr="009E2A13">
        <w:rPr>
          <w:rStyle w:val="sdaf1"/>
          <w:rFonts w:ascii="Times New Roman" w:hAnsi="Times New Roman" w:cs="Times New Roman"/>
          <w:sz w:val="22"/>
          <w:szCs w:val="22"/>
        </w:rPr>
        <w:t xml:space="preserve"> </w:t>
      </w:r>
      <w:r w:rsidR="004001CC" w:rsidRPr="009E2A13">
        <w:rPr>
          <w:rStyle w:val="sdaf1"/>
          <w:rFonts w:ascii="Times New Roman" w:hAnsi="Times New Roman" w:cs="Times New Roman"/>
          <w:sz w:val="22"/>
          <w:szCs w:val="22"/>
        </w:rPr>
        <w:t>Trust</w:t>
      </w:r>
      <w:r w:rsidR="009F6F2D">
        <w:rPr>
          <w:rStyle w:val="sdaf1"/>
          <w:rFonts w:ascii="Times New Roman" w:hAnsi="Times New Roman" w:cs="Times New Roman"/>
          <w:sz w:val="22"/>
          <w:szCs w:val="22"/>
        </w:rPr>
        <w:t xml:space="preserve"> (EMT)</w:t>
      </w:r>
      <w:r w:rsidR="004001CC" w:rsidRPr="009E2A13">
        <w:rPr>
          <w:rStyle w:val="sdaf1"/>
          <w:rFonts w:ascii="Times New Roman" w:hAnsi="Times New Roman" w:cs="Times New Roman"/>
          <w:sz w:val="22"/>
          <w:szCs w:val="22"/>
        </w:rPr>
        <w:t>.</w:t>
      </w:r>
      <w:r w:rsidR="00E0602C" w:rsidRPr="009E2A13">
        <w:rPr>
          <w:rStyle w:val="FootnoteReference"/>
          <w:sz w:val="22"/>
        </w:rPr>
        <w:footnoteReference w:id="235"/>
      </w:r>
      <w:r w:rsidR="004001CC" w:rsidRPr="009E2A13">
        <w:rPr>
          <w:rStyle w:val="sdaf1"/>
          <w:rFonts w:ascii="Times New Roman" w:hAnsi="Times New Roman" w:cs="Times New Roman"/>
          <w:sz w:val="22"/>
          <w:szCs w:val="22"/>
        </w:rPr>
        <w:t xml:space="preserve"> The </w:t>
      </w:r>
      <w:r w:rsidR="00BC36D0">
        <w:rPr>
          <w:rStyle w:val="sdaf1"/>
          <w:rFonts w:ascii="Times New Roman" w:hAnsi="Times New Roman" w:cs="Times New Roman"/>
          <w:sz w:val="22"/>
          <w:szCs w:val="22"/>
        </w:rPr>
        <w:t>t</w:t>
      </w:r>
      <w:r w:rsidR="004001CC" w:rsidRPr="009E2A13">
        <w:rPr>
          <w:rStyle w:val="sdaf1"/>
          <w:rFonts w:ascii="Times New Roman" w:hAnsi="Times New Roman" w:cs="Times New Roman"/>
          <w:sz w:val="22"/>
          <w:szCs w:val="22"/>
        </w:rPr>
        <w:t>rust will develop a three-year plan providing program design, planning, and implementation strategies for all energy-efficiency and alternative energy resources, for all fuel types, across all customer classes.</w:t>
      </w:r>
      <w:r w:rsidR="004E0F12">
        <w:rPr>
          <w:rStyle w:val="sdaf1"/>
          <w:rFonts w:ascii="Times New Roman" w:hAnsi="Times New Roman" w:cs="Times New Roman"/>
          <w:sz w:val="22"/>
          <w:szCs w:val="22"/>
        </w:rPr>
        <w:t xml:space="preserve"> </w:t>
      </w:r>
      <w:r w:rsidR="00832C7A">
        <w:rPr>
          <w:rStyle w:val="sdaf1"/>
          <w:rFonts w:ascii="Times New Roman" w:hAnsi="Times New Roman" w:cs="Times New Roman"/>
          <w:sz w:val="22"/>
          <w:szCs w:val="22"/>
        </w:rPr>
        <w:fldChar w:fldCharType="begin"/>
      </w:r>
      <w:r w:rsidR="00BC36D0">
        <w:rPr>
          <w:rStyle w:val="sdaf1"/>
          <w:rFonts w:ascii="Times New Roman" w:hAnsi="Times New Roman" w:cs="Times New Roman"/>
          <w:sz w:val="22"/>
          <w:szCs w:val="22"/>
        </w:rPr>
        <w:instrText xml:space="preserve"> REF _Ref266539849 \h </w:instrText>
      </w:r>
      <w:r w:rsidR="00832C7A">
        <w:rPr>
          <w:rStyle w:val="sdaf1"/>
          <w:rFonts w:ascii="Times New Roman" w:hAnsi="Times New Roman" w:cs="Times New Roman"/>
          <w:sz w:val="22"/>
          <w:szCs w:val="22"/>
        </w:rPr>
      </w:r>
      <w:r w:rsidR="00832C7A">
        <w:rPr>
          <w:rStyle w:val="sdaf1"/>
          <w:rFonts w:ascii="Times New Roman" w:hAnsi="Times New Roman" w:cs="Times New Roman"/>
          <w:sz w:val="22"/>
          <w:szCs w:val="22"/>
        </w:rPr>
        <w:fldChar w:fldCharType="separate"/>
      </w:r>
      <w:r w:rsidR="00E5699E">
        <w:t xml:space="preserve">Table </w:t>
      </w:r>
      <w:r w:rsidR="00E5699E">
        <w:rPr>
          <w:noProof/>
        </w:rPr>
        <w:t>8</w:t>
      </w:r>
      <w:r w:rsidR="00E5699E">
        <w:noBreakHyphen/>
      </w:r>
      <w:r w:rsidR="00E5699E">
        <w:rPr>
          <w:noProof/>
        </w:rPr>
        <w:t>11</w:t>
      </w:r>
      <w:r w:rsidR="00832C7A">
        <w:rPr>
          <w:rStyle w:val="sdaf1"/>
          <w:rFonts w:ascii="Times New Roman" w:hAnsi="Times New Roman" w:cs="Times New Roman"/>
          <w:sz w:val="22"/>
          <w:szCs w:val="22"/>
        </w:rPr>
        <w:fldChar w:fldCharType="end"/>
      </w:r>
      <w:r w:rsidR="004E0F12">
        <w:rPr>
          <w:rStyle w:val="sdaf1"/>
          <w:rFonts w:ascii="Times New Roman" w:hAnsi="Times New Roman" w:cs="Times New Roman"/>
          <w:sz w:val="22"/>
          <w:szCs w:val="22"/>
        </w:rPr>
        <w:t xml:space="preserve"> shows the proposed funding levels and sources for </w:t>
      </w:r>
      <w:r w:rsidR="00BC36D0">
        <w:rPr>
          <w:rStyle w:val="sdaf1"/>
          <w:rFonts w:ascii="Times New Roman" w:hAnsi="Times New Roman" w:cs="Times New Roman"/>
          <w:sz w:val="22"/>
          <w:szCs w:val="22"/>
        </w:rPr>
        <w:t xml:space="preserve">EE programs for </w:t>
      </w:r>
      <w:r w:rsidR="004E0F12">
        <w:rPr>
          <w:rStyle w:val="sdaf1"/>
          <w:rFonts w:ascii="Times New Roman" w:hAnsi="Times New Roman" w:cs="Times New Roman"/>
          <w:sz w:val="22"/>
          <w:szCs w:val="22"/>
        </w:rPr>
        <w:t>2011 to 2013</w:t>
      </w:r>
      <w:r w:rsidR="004E0F12">
        <w:t>.</w:t>
      </w:r>
      <w:r w:rsidR="004E0F12" w:rsidRPr="00DE35FE">
        <w:rPr>
          <w:rStyle w:val="FootnoteReference"/>
          <w:sz w:val="22"/>
        </w:rPr>
        <w:footnoteReference w:id="236"/>
      </w:r>
    </w:p>
    <w:p w:rsidR="00FE15E2" w:rsidRPr="00BB0BB7" w:rsidRDefault="00FE15E2" w:rsidP="00BC36D0">
      <w:pPr>
        <w:pStyle w:val="Caption"/>
      </w:pPr>
      <w:bookmarkStart w:id="630" w:name="_Ref266539849"/>
      <w:bookmarkStart w:id="631" w:name="_Toc271552431"/>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11</w:t>
      </w:r>
      <w:r w:rsidR="00832C7A">
        <w:fldChar w:fldCharType="end"/>
      </w:r>
      <w:bookmarkEnd w:id="630"/>
      <w:r w:rsidR="00B5729E">
        <w:br/>
        <w:t>Maine’s Proposed Funding Levels and Sources</w:t>
      </w:r>
      <w:r w:rsidR="00BC36D0">
        <w:br/>
      </w:r>
      <w:r w:rsidR="00B5729E">
        <w:t>for Energy-Efficiency Programs,</w:t>
      </w:r>
      <w:r w:rsidR="00BC36D0">
        <w:t xml:space="preserve"> </w:t>
      </w:r>
      <w:r w:rsidR="00B5729E">
        <w:t>2011 to 2013</w:t>
      </w:r>
      <w:bookmarkEnd w:id="631"/>
    </w:p>
    <w:tbl>
      <w:tblPr>
        <w:tblStyle w:val="LightList-Accent6"/>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115" w:type="dxa"/>
          <w:bottom w:w="43" w:type="dxa"/>
          <w:right w:w="115" w:type="dxa"/>
        </w:tblCellMar>
        <w:tblLook w:val="04A0"/>
      </w:tblPr>
      <w:tblGrid>
        <w:gridCol w:w="2664"/>
        <w:gridCol w:w="1503"/>
      </w:tblGrid>
      <w:tr w:rsidR="00B5729E" w:rsidRPr="00E754BE" w:rsidTr="00B5729E">
        <w:trPr>
          <w:cnfStyle w:val="100000000000"/>
          <w:jc w:val="center"/>
        </w:trPr>
        <w:tc>
          <w:tcPr>
            <w:cnfStyle w:val="001000000000"/>
            <w:tcW w:w="2664" w:type="dxa"/>
            <w:shd w:val="clear" w:color="auto" w:fill="FBCE76" w:themeFill="background2" w:themeFillTint="99"/>
            <w:vAlign w:val="center"/>
          </w:tcPr>
          <w:p w:rsidR="00164A74" w:rsidRDefault="00B5729E" w:rsidP="00BC36D0">
            <w:pPr>
              <w:keepNext/>
              <w:keepLines/>
              <w:spacing w:after="0"/>
              <w:jc w:val="center"/>
              <w:rPr>
                <w:rFonts w:ascii="Arial" w:hAnsi="Arial" w:cs="Arial"/>
                <w:b w:val="0"/>
                <w:bCs w:val="0"/>
                <w:color w:val="000000" w:themeColor="text1"/>
                <w:sz w:val="18"/>
                <w:szCs w:val="18"/>
              </w:rPr>
            </w:pPr>
            <w:r w:rsidRPr="00E754BE">
              <w:rPr>
                <w:rFonts w:ascii="Arial" w:hAnsi="Arial" w:cs="Arial"/>
                <w:color w:val="000000" w:themeColor="text1"/>
                <w:sz w:val="18"/>
                <w:szCs w:val="18"/>
              </w:rPr>
              <w:t>Proposed Funding Sources</w:t>
            </w:r>
          </w:p>
        </w:tc>
        <w:tc>
          <w:tcPr>
            <w:tcW w:w="1503" w:type="dxa"/>
            <w:shd w:val="clear" w:color="auto" w:fill="FBCE76" w:themeFill="background2" w:themeFillTint="99"/>
            <w:vAlign w:val="center"/>
          </w:tcPr>
          <w:p w:rsidR="00164A74" w:rsidRDefault="00B5729E" w:rsidP="00BC36D0">
            <w:pPr>
              <w:keepNext/>
              <w:keepLines/>
              <w:spacing w:after="0"/>
              <w:jc w:val="center"/>
              <w:cnfStyle w:val="100000000000"/>
              <w:rPr>
                <w:rFonts w:ascii="Arial" w:hAnsi="Arial" w:cs="Arial"/>
                <w:b w:val="0"/>
                <w:bCs w:val="0"/>
                <w:color w:val="000000" w:themeColor="text1"/>
                <w:sz w:val="18"/>
                <w:szCs w:val="18"/>
              </w:rPr>
            </w:pPr>
            <w:r w:rsidRPr="00E754BE">
              <w:rPr>
                <w:rFonts w:ascii="Arial" w:hAnsi="Arial" w:cs="Arial"/>
                <w:color w:val="000000" w:themeColor="text1"/>
                <w:sz w:val="18"/>
                <w:szCs w:val="18"/>
              </w:rPr>
              <w:t>Amount</w:t>
            </w:r>
            <w:r w:rsidR="00671D68">
              <w:rPr>
                <w:rFonts w:ascii="Arial" w:hAnsi="Arial" w:cs="Arial"/>
                <w:color w:val="000000" w:themeColor="text1"/>
                <w:sz w:val="18"/>
                <w:szCs w:val="18"/>
              </w:rPr>
              <w:br/>
              <w:t>(millions)</w:t>
            </w:r>
          </w:p>
        </w:tc>
      </w:tr>
      <w:tr w:rsidR="00B5729E" w:rsidRPr="00E754BE" w:rsidTr="000D4146">
        <w:trPr>
          <w:cnfStyle w:val="000000100000"/>
          <w:jc w:val="center"/>
        </w:trPr>
        <w:tc>
          <w:tcPr>
            <w:cnfStyle w:val="001000000000"/>
            <w:tcW w:w="2664" w:type="dxa"/>
            <w:tcBorders>
              <w:top w:val="none" w:sz="0" w:space="0" w:color="auto"/>
              <w:left w:val="none" w:sz="0" w:space="0" w:color="auto"/>
              <w:bottom w:val="none" w:sz="0" w:space="0" w:color="auto"/>
            </w:tcBorders>
            <w:vAlign w:val="center"/>
          </w:tcPr>
          <w:p w:rsidR="00B5729E" w:rsidRPr="00AF6541" w:rsidRDefault="00B5729E" w:rsidP="00015CB2">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S</w:t>
            </w:r>
            <w:r w:rsidR="00015CB2">
              <w:rPr>
                <w:rFonts w:ascii="Arial" w:hAnsi="Arial" w:cs="Arial"/>
                <w:color w:val="000000" w:themeColor="text1"/>
                <w:sz w:val="18"/>
                <w:szCs w:val="18"/>
              </w:rPr>
              <w:t xml:space="preserve">ystem </w:t>
            </w:r>
            <w:r>
              <w:rPr>
                <w:rFonts w:ascii="Arial" w:hAnsi="Arial" w:cs="Arial"/>
                <w:color w:val="000000" w:themeColor="text1"/>
                <w:sz w:val="18"/>
                <w:szCs w:val="18"/>
              </w:rPr>
              <w:t>b</w:t>
            </w:r>
            <w:r w:rsidRPr="00AF6541">
              <w:rPr>
                <w:rFonts w:ascii="Arial" w:hAnsi="Arial" w:cs="Arial"/>
                <w:color w:val="000000" w:themeColor="text1"/>
                <w:sz w:val="18"/>
                <w:szCs w:val="18"/>
              </w:rPr>
              <w:t xml:space="preserve">enefits </w:t>
            </w:r>
            <w:r>
              <w:rPr>
                <w:rFonts w:ascii="Arial" w:hAnsi="Arial" w:cs="Arial"/>
                <w:color w:val="000000" w:themeColor="text1"/>
                <w:sz w:val="18"/>
                <w:szCs w:val="18"/>
              </w:rPr>
              <w:t>c</w:t>
            </w:r>
            <w:r w:rsidRPr="00AF6541">
              <w:rPr>
                <w:rFonts w:ascii="Arial" w:hAnsi="Arial" w:cs="Arial"/>
                <w:color w:val="000000" w:themeColor="text1"/>
                <w:sz w:val="18"/>
                <w:szCs w:val="18"/>
              </w:rPr>
              <w:t>harge</w:t>
            </w:r>
          </w:p>
        </w:tc>
        <w:tc>
          <w:tcPr>
            <w:tcW w:w="1503" w:type="dxa"/>
            <w:tcBorders>
              <w:top w:val="none" w:sz="0" w:space="0" w:color="auto"/>
              <w:bottom w:val="none" w:sz="0" w:space="0" w:color="auto"/>
              <w:right w:val="none" w:sz="0" w:space="0" w:color="auto"/>
            </w:tcBorders>
            <w:tcMar>
              <w:left w:w="0" w:type="dxa"/>
              <w:right w:w="432" w:type="dxa"/>
            </w:tcMar>
            <w:vAlign w:val="center"/>
          </w:tcPr>
          <w:p w:rsidR="00B5729E" w:rsidRPr="00E754BE" w:rsidRDefault="00B5729E" w:rsidP="00BC36D0">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$60</w:t>
            </w:r>
          </w:p>
        </w:tc>
      </w:tr>
      <w:tr w:rsidR="00B5729E" w:rsidRPr="00E754BE" w:rsidTr="00777495">
        <w:trPr>
          <w:jc w:val="center"/>
        </w:trPr>
        <w:tc>
          <w:tcPr>
            <w:cnfStyle w:val="001000000000"/>
            <w:tcW w:w="2664" w:type="dxa"/>
            <w:shd w:val="clear" w:color="auto" w:fill="FDEED1" w:themeFill="background2" w:themeFillTint="33"/>
            <w:vAlign w:val="center"/>
          </w:tcPr>
          <w:p w:rsidR="00B5729E" w:rsidRPr="00AF6541" w:rsidRDefault="00B5729E" w:rsidP="00BC36D0">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FCM revenues</w:t>
            </w:r>
          </w:p>
        </w:tc>
        <w:tc>
          <w:tcPr>
            <w:tcW w:w="1503" w:type="dxa"/>
            <w:shd w:val="clear" w:color="auto" w:fill="FDEED1" w:themeFill="background2" w:themeFillTint="33"/>
            <w:tcMar>
              <w:left w:w="0" w:type="dxa"/>
              <w:right w:w="432" w:type="dxa"/>
            </w:tcMar>
            <w:vAlign w:val="center"/>
          </w:tcPr>
          <w:p w:rsidR="00B5729E" w:rsidRPr="00E754BE" w:rsidRDefault="00B5729E" w:rsidP="00BC36D0">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$6</w:t>
            </w:r>
          </w:p>
        </w:tc>
      </w:tr>
      <w:tr w:rsidR="00B5729E" w:rsidRPr="00E754BE" w:rsidTr="000D4146">
        <w:trPr>
          <w:cnfStyle w:val="000000100000"/>
          <w:jc w:val="center"/>
        </w:trPr>
        <w:tc>
          <w:tcPr>
            <w:cnfStyle w:val="001000000000"/>
            <w:tcW w:w="2664" w:type="dxa"/>
            <w:tcBorders>
              <w:top w:val="none" w:sz="0" w:space="0" w:color="auto"/>
              <w:left w:val="none" w:sz="0" w:space="0" w:color="auto"/>
              <w:bottom w:val="none" w:sz="0" w:space="0" w:color="auto"/>
            </w:tcBorders>
            <w:vAlign w:val="center"/>
          </w:tcPr>
          <w:p w:rsidR="00B5729E" w:rsidRPr="00AF6541" w:rsidRDefault="00B5729E" w:rsidP="00BC36D0">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RGGI revenues</w:t>
            </w:r>
          </w:p>
        </w:tc>
        <w:tc>
          <w:tcPr>
            <w:tcW w:w="1503" w:type="dxa"/>
            <w:tcBorders>
              <w:top w:val="none" w:sz="0" w:space="0" w:color="auto"/>
              <w:bottom w:val="none" w:sz="0" w:space="0" w:color="auto"/>
              <w:right w:val="none" w:sz="0" w:space="0" w:color="auto"/>
            </w:tcBorders>
            <w:tcMar>
              <w:left w:w="0" w:type="dxa"/>
              <w:right w:w="432" w:type="dxa"/>
            </w:tcMar>
            <w:vAlign w:val="center"/>
          </w:tcPr>
          <w:p w:rsidR="00B5729E" w:rsidRPr="00E754BE" w:rsidRDefault="00B5729E" w:rsidP="00BC36D0">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$25</w:t>
            </w:r>
          </w:p>
        </w:tc>
      </w:tr>
      <w:tr w:rsidR="00B5729E" w:rsidRPr="00E754BE" w:rsidTr="00777495">
        <w:trPr>
          <w:jc w:val="center"/>
        </w:trPr>
        <w:tc>
          <w:tcPr>
            <w:cnfStyle w:val="001000000000"/>
            <w:tcW w:w="2664" w:type="dxa"/>
            <w:shd w:val="clear" w:color="auto" w:fill="FDEED1" w:themeFill="background2" w:themeFillTint="33"/>
            <w:vAlign w:val="center"/>
          </w:tcPr>
          <w:p w:rsidR="00B5729E" w:rsidRPr="005D3D10" w:rsidRDefault="005D3D10" w:rsidP="005D3D10">
            <w:pPr>
              <w:keepNext/>
              <w:keepLines/>
              <w:spacing w:after="0"/>
              <w:rPr>
                <w:rFonts w:ascii="Arial" w:hAnsi="Arial" w:cs="Arial"/>
                <w:i/>
                <w:color w:val="000000" w:themeColor="text1"/>
                <w:sz w:val="18"/>
                <w:szCs w:val="18"/>
                <w:highlight w:val="yellow"/>
              </w:rPr>
            </w:pPr>
            <w:r w:rsidRPr="005D3D10">
              <w:rPr>
                <w:rFonts w:ascii="Arial" w:hAnsi="Arial" w:cs="Arial"/>
                <w:i/>
                <w:color w:val="000000" w:themeColor="text1"/>
                <w:sz w:val="18"/>
                <w:szCs w:val="18"/>
              </w:rPr>
              <w:t xml:space="preserve">American Recovery and Reinvestment Act </w:t>
            </w:r>
          </w:p>
        </w:tc>
        <w:tc>
          <w:tcPr>
            <w:tcW w:w="1503" w:type="dxa"/>
            <w:shd w:val="clear" w:color="auto" w:fill="FDEED1" w:themeFill="background2" w:themeFillTint="33"/>
            <w:tcMar>
              <w:left w:w="0" w:type="dxa"/>
              <w:right w:w="432" w:type="dxa"/>
            </w:tcMar>
            <w:vAlign w:val="center"/>
          </w:tcPr>
          <w:p w:rsidR="00B5729E" w:rsidRPr="00E754BE" w:rsidRDefault="00B5729E" w:rsidP="00BC36D0">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$62</w:t>
            </w:r>
          </w:p>
        </w:tc>
      </w:tr>
      <w:tr w:rsidR="00B5729E" w:rsidRPr="00E754BE" w:rsidTr="000D4146">
        <w:trPr>
          <w:cnfStyle w:val="000000100000"/>
          <w:jc w:val="center"/>
        </w:trPr>
        <w:tc>
          <w:tcPr>
            <w:cnfStyle w:val="001000000000"/>
            <w:tcW w:w="2664" w:type="dxa"/>
            <w:tcBorders>
              <w:top w:val="none" w:sz="0" w:space="0" w:color="auto"/>
              <w:left w:val="none" w:sz="0" w:space="0" w:color="auto"/>
              <w:bottom w:val="none" w:sz="0" w:space="0" w:color="auto"/>
            </w:tcBorders>
            <w:vAlign w:val="center"/>
          </w:tcPr>
          <w:p w:rsidR="00B5729E" w:rsidRPr="00B5729E" w:rsidRDefault="00B5729E" w:rsidP="00BC36D0">
            <w:pPr>
              <w:keepNext/>
              <w:keepLines/>
              <w:spacing w:after="0"/>
              <w:rPr>
                <w:rFonts w:ascii="Arial" w:hAnsi="Arial" w:cs="Arial"/>
                <w:color w:val="000000" w:themeColor="text1"/>
                <w:sz w:val="18"/>
                <w:szCs w:val="18"/>
                <w:highlight w:val="yellow"/>
              </w:rPr>
            </w:pPr>
            <w:r w:rsidRPr="005D3D10">
              <w:rPr>
                <w:rFonts w:ascii="Arial" w:hAnsi="Arial" w:cs="Arial"/>
                <w:color w:val="000000" w:themeColor="text1"/>
                <w:sz w:val="18"/>
                <w:szCs w:val="18"/>
              </w:rPr>
              <w:t xml:space="preserve">DOE </w:t>
            </w:r>
            <w:r w:rsidR="00E54EE9" w:rsidRPr="005D3D10">
              <w:rPr>
                <w:rFonts w:ascii="Arial" w:hAnsi="Arial" w:cs="Arial"/>
                <w:color w:val="000000" w:themeColor="text1"/>
                <w:sz w:val="18"/>
                <w:szCs w:val="18"/>
              </w:rPr>
              <w:t>grants</w:t>
            </w:r>
          </w:p>
        </w:tc>
        <w:tc>
          <w:tcPr>
            <w:tcW w:w="1503" w:type="dxa"/>
            <w:tcBorders>
              <w:top w:val="none" w:sz="0" w:space="0" w:color="auto"/>
              <w:bottom w:val="none" w:sz="0" w:space="0" w:color="auto"/>
              <w:right w:val="none" w:sz="0" w:space="0" w:color="auto"/>
            </w:tcBorders>
            <w:tcMar>
              <w:left w:w="0" w:type="dxa"/>
              <w:right w:w="432" w:type="dxa"/>
            </w:tcMar>
            <w:vAlign w:val="center"/>
          </w:tcPr>
          <w:p w:rsidR="00B5729E" w:rsidRPr="00E754BE" w:rsidRDefault="00B5729E" w:rsidP="00BC36D0">
            <w:pPr>
              <w:keepNext/>
              <w:keepLines/>
              <w:spacing w:after="0"/>
              <w:jc w:val="right"/>
              <w:cnfStyle w:val="000000100000"/>
              <w:rPr>
                <w:rFonts w:ascii="Arial" w:hAnsi="Arial" w:cs="Arial"/>
                <w:color w:val="000000" w:themeColor="text1"/>
                <w:sz w:val="18"/>
                <w:szCs w:val="18"/>
              </w:rPr>
            </w:pPr>
            <w:r w:rsidRPr="00E754BE">
              <w:rPr>
                <w:rFonts w:ascii="Arial" w:hAnsi="Arial" w:cs="Arial"/>
                <w:color w:val="000000" w:themeColor="text1"/>
                <w:sz w:val="18"/>
                <w:szCs w:val="18"/>
              </w:rPr>
              <w:t>$1</w:t>
            </w:r>
          </w:p>
        </w:tc>
      </w:tr>
      <w:tr w:rsidR="00B5729E" w:rsidRPr="00E754BE" w:rsidTr="00777495">
        <w:trPr>
          <w:jc w:val="center"/>
        </w:trPr>
        <w:tc>
          <w:tcPr>
            <w:cnfStyle w:val="001000000000"/>
            <w:tcW w:w="2664" w:type="dxa"/>
            <w:shd w:val="clear" w:color="auto" w:fill="FDEED1" w:themeFill="background2" w:themeFillTint="33"/>
            <w:vAlign w:val="center"/>
          </w:tcPr>
          <w:p w:rsidR="00B5729E" w:rsidRPr="00AF6541" w:rsidRDefault="00B5729E" w:rsidP="00BC36D0">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Solar/</w:t>
            </w:r>
            <w:r>
              <w:rPr>
                <w:rFonts w:ascii="Arial" w:hAnsi="Arial" w:cs="Arial"/>
                <w:color w:val="000000" w:themeColor="text1"/>
                <w:sz w:val="18"/>
                <w:szCs w:val="18"/>
              </w:rPr>
              <w:t>w</w:t>
            </w:r>
            <w:r w:rsidRPr="00AF6541">
              <w:rPr>
                <w:rFonts w:ascii="Arial" w:hAnsi="Arial" w:cs="Arial"/>
                <w:color w:val="000000" w:themeColor="text1"/>
                <w:sz w:val="18"/>
                <w:szCs w:val="18"/>
              </w:rPr>
              <w:t xml:space="preserve">ind </w:t>
            </w:r>
            <w:r>
              <w:rPr>
                <w:rFonts w:ascii="Arial" w:hAnsi="Arial" w:cs="Arial"/>
                <w:color w:val="000000" w:themeColor="text1"/>
                <w:sz w:val="18"/>
                <w:szCs w:val="18"/>
              </w:rPr>
              <w:t>r</w:t>
            </w:r>
            <w:r w:rsidRPr="00AF6541">
              <w:rPr>
                <w:rFonts w:ascii="Arial" w:hAnsi="Arial" w:cs="Arial"/>
                <w:color w:val="000000" w:themeColor="text1"/>
                <w:sz w:val="18"/>
                <w:szCs w:val="18"/>
              </w:rPr>
              <w:t>ebates</w:t>
            </w:r>
          </w:p>
        </w:tc>
        <w:tc>
          <w:tcPr>
            <w:tcW w:w="1503" w:type="dxa"/>
            <w:shd w:val="clear" w:color="auto" w:fill="FDEED1" w:themeFill="background2" w:themeFillTint="33"/>
            <w:tcMar>
              <w:left w:w="0" w:type="dxa"/>
              <w:right w:w="432" w:type="dxa"/>
            </w:tcMar>
            <w:vAlign w:val="center"/>
          </w:tcPr>
          <w:p w:rsidR="00B5729E" w:rsidRPr="00E754BE" w:rsidRDefault="00B5729E" w:rsidP="00BC36D0">
            <w:pPr>
              <w:keepNext/>
              <w:keepLines/>
              <w:spacing w:after="0"/>
              <w:jc w:val="right"/>
              <w:cnfStyle w:val="000000000000"/>
              <w:rPr>
                <w:rFonts w:ascii="Arial" w:hAnsi="Arial" w:cs="Arial"/>
                <w:color w:val="000000" w:themeColor="text1"/>
                <w:sz w:val="18"/>
                <w:szCs w:val="18"/>
              </w:rPr>
            </w:pPr>
            <w:r w:rsidRPr="00E754BE">
              <w:rPr>
                <w:rFonts w:ascii="Arial" w:hAnsi="Arial" w:cs="Arial"/>
                <w:color w:val="000000" w:themeColor="text1"/>
                <w:sz w:val="18"/>
                <w:szCs w:val="18"/>
              </w:rPr>
              <w:t>$2</w:t>
            </w:r>
          </w:p>
        </w:tc>
      </w:tr>
      <w:tr w:rsidR="00B5729E" w:rsidRPr="00E754BE" w:rsidTr="000D4146">
        <w:trPr>
          <w:cnfStyle w:val="000000100000"/>
          <w:jc w:val="center"/>
        </w:trPr>
        <w:tc>
          <w:tcPr>
            <w:cnfStyle w:val="001000000000"/>
            <w:tcW w:w="2664" w:type="dxa"/>
            <w:tcBorders>
              <w:top w:val="none" w:sz="0" w:space="0" w:color="auto"/>
              <w:left w:val="none" w:sz="0" w:space="0" w:color="auto"/>
              <w:bottom w:val="none" w:sz="0" w:space="0" w:color="auto"/>
            </w:tcBorders>
            <w:shd w:val="clear" w:color="auto" w:fill="FBCE76" w:themeFill="background2" w:themeFillTint="99"/>
            <w:vAlign w:val="center"/>
          </w:tcPr>
          <w:p w:rsidR="00B5729E" w:rsidRPr="00AF6541" w:rsidRDefault="00B5729E" w:rsidP="00BC36D0">
            <w:pPr>
              <w:keepNext/>
              <w:keepLines/>
              <w:spacing w:after="0"/>
              <w:rPr>
                <w:rFonts w:ascii="Arial" w:hAnsi="Arial" w:cs="Arial"/>
                <w:color w:val="000000" w:themeColor="text1"/>
                <w:sz w:val="18"/>
                <w:szCs w:val="18"/>
              </w:rPr>
            </w:pPr>
            <w:r w:rsidRPr="00AF6541">
              <w:rPr>
                <w:rFonts w:ascii="Arial" w:hAnsi="Arial" w:cs="Arial"/>
                <w:color w:val="000000" w:themeColor="text1"/>
                <w:sz w:val="18"/>
                <w:szCs w:val="18"/>
              </w:rPr>
              <w:t>Total</w:t>
            </w:r>
          </w:p>
        </w:tc>
        <w:tc>
          <w:tcPr>
            <w:tcW w:w="1503" w:type="dxa"/>
            <w:tcBorders>
              <w:top w:val="none" w:sz="0" w:space="0" w:color="auto"/>
              <w:bottom w:val="none" w:sz="0" w:space="0" w:color="auto"/>
              <w:right w:val="none" w:sz="0" w:space="0" w:color="auto"/>
            </w:tcBorders>
            <w:shd w:val="clear" w:color="auto" w:fill="FBCE76" w:themeFill="background2" w:themeFillTint="99"/>
            <w:tcMar>
              <w:left w:w="0" w:type="dxa"/>
              <w:right w:w="432" w:type="dxa"/>
            </w:tcMar>
            <w:vAlign w:val="center"/>
          </w:tcPr>
          <w:p w:rsidR="00164A74" w:rsidRPr="00BC36D0" w:rsidRDefault="00B5729E" w:rsidP="00BC36D0">
            <w:pPr>
              <w:keepNext/>
              <w:keepLines/>
              <w:spacing w:after="0"/>
              <w:jc w:val="right"/>
              <w:cnfStyle w:val="000000100000"/>
              <w:rPr>
                <w:rFonts w:ascii="Arial" w:eastAsia="Arial" w:hAnsi="Arial" w:cs="Arial"/>
                <w:color w:val="000000" w:themeColor="text1"/>
                <w:sz w:val="18"/>
                <w:szCs w:val="18"/>
              </w:rPr>
            </w:pPr>
            <w:r w:rsidRPr="00BC36D0">
              <w:rPr>
                <w:rFonts w:ascii="Arial" w:hAnsi="Arial" w:cs="Arial"/>
                <w:color w:val="000000" w:themeColor="text1"/>
                <w:sz w:val="18"/>
                <w:szCs w:val="18"/>
              </w:rPr>
              <w:t>$156</w:t>
            </w:r>
          </w:p>
        </w:tc>
      </w:tr>
    </w:tbl>
    <w:p w:rsidR="004E0F12" w:rsidRDefault="00BC36D0" w:rsidP="00BC36D0">
      <w:pPr>
        <w:tabs>
          <w:tab w:val="left" w:pos="3817"/>
        </w:tabs>
      </w:pPr>
      <w:r>
        <w:tab/>
      </w:r>
    </w:p>
    <w:p w:rsidR="004001CC" w:rsidRPr="00D32AE4" w:rsidRDefault="004001CC" w:rsidP="00073277">
      <w:r>
        <w:t>Maine’s legislative efficiency goals include the following:</w:t>
      </w:r>
    </w:p>
    <w:p w:rsidR="004001CC" w:rsidRPr="00BB0BB7" w:rsidRDefault="004001CC" w:rsidP="00F227A0">
      <w:pPr>
        <w:pStyle w:val="Bullet-Solid"/>
      </w:pPr>
      <w:r w:rsidRPr="00D3526C">
        <w:t xml:space="preserve">Weatherize 100% of Maine residences and 50% of Maine businesses by 2030. </w:t>
      </w:r>
    </w:p>
    <w:p w:rsidR="004001CC" w:rsidRPr="00BB0BB7" w:rsidRDefault="004001CC" w:rsidP="00F227A0">
      <w:pPr>
        <w:pStyle w:val="Bullet-Solid"/>
      </w:pPr>
      <w:r w:rsidRPr="00D3526C">
        <w:t>Achieve 30% electric energy savings, 30% natural gas savings</w:t>
      </w:r>
      <w:r>
        <w:t>,</w:t>
      </w:r>
      <w:r w:rsidRPr="00D3526C">
        <w:t xml:space="preserve"> and 20% heating fuels savings by 2020. </w:t>
      </w:r>
    </w:p>
    <w:p w:rsidR="004001CC" w:rsidRPr="00BB0BB7" w:rsidRDefault="004001CC" w:rsidP="00F227A0">
      <w:pPr>
        <w:pStyle w:val="Bullet-Solid"/>
      </w:pPr>
      <w:r w:rsidRPr="00D3526C">
        <w:t>Capture all cost-effective energy</w:t>
      </w:r>
      <w:r>
        <w:t>-</w:t>
      </w:r>
      <w:r w:rsidRPr="00D3526C">
        <w:t>efficiency resources available for electric and natural gas ratepayers.</w:t>
      </w:r>
      <w:r w:rsidRPr="00D3526C">
        <w:rPr>
          <w:b/>
          <w:bCs/>
        </w:rPr>
        <w:t xml:space="preserve"> </w:t>
      </w:r>
    </w:p>
    <w:p w:rsidR="004001CC" w:rsidRPr="00BB0BB7" w:rsidRDefault="004001CC" w:rsidP="00F227A0">
      <w:pPr>
        <w:pStyle w:val="Bullet-Solid"/>
      </w:pPr>
      <w:r w:rsidRPr="00D3526C">
        <w:t>Reduce greenhouse gas emissions from heating and cooling loads in Maine to at least 10% below 1990 levels by 2020, and ultimately 75 to 85% below 2003 levels.</w:t>
      </w:r>
      <w:r w:rsidRPr="00DE35FE">
        <w:rPr>
          <w:rStyle w:val="FootnoteReference"/>
          <w:sz w:val="22"/>
        </w:rPr>
        <w:footnoteReference w:id="237"/>
      </w:r>
      <w:r w:rsidRPr="00D3526C">
        <w:t xml:space="preserve"> </w:t>
      </w:r>
    </w:p>
    <w:p w:rsidR="00B462A6" w:rsidRDefault="004001CC">
      <w:pPr>
        <w:pStyle w:val="Heading3"/>
      </w:pPr>
      <w:bookmarkStart w:id="632" w:name="_Toc271632291"/>
      <w:r>
        <w:t>State Energy-Efficiency Reductions Summary in 2020</w:t>
      </w:r>
      <w:bookmarkEnd w:id="632"/>
    </w:p>
    <w:p w:rsidR="004001CC" w:rsidRPr="00D32AE4" w:rsidRDefault="00832C7A" w:rsidP="00073277">
      <w:r>
        <w:rPr>
          <w:highlight w:val="yellow"/>
        </w:rPr>
        <w:fldChar w:fldCharType="begin"/>
      </w:r>
      <w:r w:rsidR="00367A16">
        <w:rPr>
          <w:highlight w:val="yellow"/>
        </w:rPr>
        <w:instrText xml:space="preserve"> REF _Ref262123278 \h </w:instrText>
      </w:r>
      <w:r>
        <w:rPr>
          <w:highlight w:val="yellow"/>
        </w:rPr>
      </w:r>
      <w:r>
        <w:rPr>
          <w:highlight w:val="yellow"/>
        </w:rPr>
        <w:fldChar w:fldCharType="separate"/>
      </w:r>
      <w:r w:rsidR="00E5699E">
        <w:t xml:space="preserve">Table </w:t>
      </w:r>
      <w:r w:rsidR="00E5699E">
        <w:rPr>
          <w:noProof/>
        </w:rPr>
        <w:t>8</w:t>
      </w:r>
      <w:r w:rsidR="00E5699E">
        <w:noBreakHyphen/>
      </w:r>
      <w:r w:rsidR="00E5699E">
        <w:rPr>
          <w:noProof/>
        </w:rPr>
        <w:t>12</w:t>
      </w:r>
      <w:r>
        <w:rPr>
          <w:highlight w:val="yellow"/>
        </w:rPr>
        <w:fldChar w:fldCharType="end"/>
      </w:r>
      <w:r w:rsidR="004001CC" w:rsidRPr="001B5B11">
        <w:t xml:space="preserve"> </w:t>
      </w:r>
      <w:r w:rsidR="00D4331C" w:rsidRPr="00D4331C">
        <w:t xml:space="preserve">illustrates </w:t>
      </w:r>
      <w:r w:rsidR="003330EA">
        <w:t xml:space="preserve">various projected </w:t>
      </w:r>
      <w:r w:rsidR="00945606">
        <w:t>reduc</w:t>
      </w:r>
      <w:r w:rsidR="003330EA">
        <w:t xml:space="preserve">tions in </w:t>
      </w:r>
      <w:r w:rsidR="00945606">
        <w:t>electric energy</w:t>
      </w:r>
      <w:r w:rsidR="003330EA">
        <w:t xml:space="preserve"> use </w:t>
      </w:r>
      <w:r w:rsidR="00DB16B5">
        <w:t xml:space="preserve">by </w:t>
      </w:r>
      <w:r w:rsidR="00D4331C" w:rsidRPr="00D4331C">
        <w:t xml:space="preserve">state </w:t>
      </w:r>
      <w:r w:rsidR="003A0BED">
        <w:t>based on</w:t>
      </w:r>
      <w:r w:rsidR="00D4331C" w:rsidRPr="00D4331C">
        <w:t xml:space="preserve"> RSP10’s 2020 forecast of annual electric energy use.</w:t>
      </w:r>
    </w:p>
    <w:p w:rsidR="00E5442B" w:rsidRDefault="00367A16">
      <w:pPr>
        <w:pStyle w:val="Caption"/>
        <w:rPr>
          <w:rFonts w:ascii="Times New Roman" w:hAnsi="Times New Roman" w:cs="Times New Roman"/>
        </w:rPr>
      </w:pPr>
      <w:bookmarkStart w:id="633" w:name="_Ref262123278"/>
      <w:bookmarkStart w:id="634" w:name="_Toc271552432"/>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12</w:t>
      </w:r>
      <w:r w:rsidR="00832C7A">
        <w:fldChar w:fldCharType="end"/>
      </w:r>
      <w:bookmarkEnd w:id="633"/>
      <w:r w:rsidR="004001CC">
        <w:br/>
      </w:r>
      <w:r w:rsidR="003330EA">
        <w:t xml:space="preserve">Projected </w:t>
      </w:r>
      <w:r w:rsidR="004001CC">
        <w:t>Reduc</w:t>
      </w:r>
      <w:r w:rsidR="003330EA">
        <w:t xml:space="preserve">tions in </w:t>
      </w:r>
      <w:r w:rsidR="00945606">
        <w:t>Elect</w:t>
      </w:r>
      <w:r w:rsidR="00F93B75">
        <w:t>r</w:t>
      </w:r>
      <w:r w:rsidR="00945606">
        <w:t xml:space="preserve">ic Energy </w:t>
      </w:r>
      <w:r w:rsidR="003330EA">
        <w:t>Use</w:t>
      </w:r>
      <w:r w:rsidR="00F93B75">
        <w:br/>
      </w:r>
      <w:r w:rsidR="00121D8B">
        <w:t>B</w:t>
      </w:r>
      <w:r w:rsidR="004001CC">
        <w:t xml:space="preserve">ased on the RSP </w:t>
      </w:r>
      <w:r w:rsidR="00D4331C" w:rsidRPr="00D4331C">
        <w:t>Forecast</w:t>
      </w:r>
      <w:r w:rsidR="004001CC">
        <w:t xml:space="preserve"> of 2020 </w:t>
      </w:r>
      <w:r w:rsidR="00D06EA1">
        <w:t xml:space="preserve">State </w:t>
      </w:r>
      <w:r w:rsidR="004001CC">
        <w:t>Loads</w:t>
      </w:r>
      <w:r w:rsidR="00A047CC">
        <w:t xml:space="preserve"> (GWh)</w:t>
      </w:r>
      <w:bookmarkEnd w:id="634"/>
    </w:p>
    <w:tbl>
      <w:tblPr>
        <w:tblW w:w="6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tblPr>
      <w:tblGrid>
        <w:gridCol w:w="859"/>
        <w:gridCol w:w="871"/>
        <w:gridCol w:w="998"/>
        <w:gridCol w:w="998"/>
        <w:gridCol w:w="998"/>
        <w:gridCol w:w="998"/>
        <w:gridCol w:w="998"/>
      </w:tblGrid>
      <w:tr w:rsidR="00F93B75" w:rsidRPr="006340D6" w:rsidTr="000D4146">
        <w:trPr>
          <w:cantSplit/>
          <w:trHeight w:val="253"/>
          <w:jc w:val="center"/>
        </w:trPr>
        <w:tc>
          <w:tcPr>
            <w:tcW w:w="0" w:type="auto"/>
            <w:vMerge w:val="restart"/>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State</w:t>
            </w:r>
          </w:p>
        </w:tc>
        <w:tc>
          <w:tcPr>
            <w:tcW w:w="0" w:type="auto"/>
            <w:gridSpan w:val="6"/>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Pr>
                <w:rFonts w:ascii="Arial" w:hAnsi="Arial" w:cs="Arial"/>
                <w:b/>
                <w:sz w:val="18"/>
                <w:szCs w:val="18"/>
              </w:rPr>
              <w:t>Percentage Reduction of Load Forecast</w:t>
            </w:r>
          </w:p>
        </w:tc>
      </w:tr>
      <w:tr w:rsidR="00F93B75" w:rsidRPr="006340D6" w:rsidTr="000D4146">
        <w:trPr>
          <w:cantSplit/>
          <w:jc w:val="center"/>
        </w:trPr>
        <w:tc>
          <w:tcPr>
            <w:tcW w:w="0" w:type="auto"/>
            <w:vMerge/>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5%</w:t>
            </w: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10%</w:t>
            </w: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15%</w:t>
            </w: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20%</w:t>
            </w: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25%</w:t>
            </w:r>
          </w:p>
        </w:tc>
        <w:tc>
          <w:tcPr>
            <w:tcW w:w="0" w:type="auto"/>
            <w:shd w:val="clear" w:color="auto" w:fill="FBCE76" w:themeFill="background2" w:themeFillTint="99"/>
            <w:noWrap/>
            <w:tcMar>
              <w:top w:w="43" w:type="dxa"/>
              <w:left w:w="115" w:type="dxa"/>
              <w:bottom w:w="43" w:type="dxa"/>
              <w:right w:w="115" w:type="dxa"/>
            </w:tcMar>
            <w:vAlign w:val="center"/>
            <w:hideMark/>
          </w:tcPr>
          <w:p w:rsidR="00F93B75" w:rsidRPr="006340D6" w:rsidRDefault="00F93B75" w:rsidP="00D640BC">
            <w:pPr>
              <w:keepNext/>
              <w:keepLines/>
              <w:spacing w:after="0"/>
              <w:jc w:val="center"/>
              <w:rPr>
                <w:rFonts w:ascii="Arial" w:hAnsi="Arial" w:cs="Arial"/>
                <w:b/>
                <w:sz w:val="18"/>
                <w:szCs w:val="18"/>
              </w:rPr>
            </w:pPr>
            <w:r w:rsidRPr="006340D6">
              <w:rPr>
                <w:rFonts w:ascii="Arial" w:hAnsi="Arial" w:cs="Arial"/>
                <w:b/>
                <w:sz w:val="18"/>
                <w:szCs w:val="18"/>
              </w:rPr>
              <w:t>30%</w:t>
            </w:r>
          </w:p>
        </w:tc>
      </w:tr>
      <w:tr w:rsidR="004001CC" w:rsidRPr="006340D6" w:rsidTr="000D4146">
        <w:trPr>
          <w:cantSplit/>
          <w:jc w:val="center"/>
        </w:trPr>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CT</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1,735</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3,471</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5,206</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6,941</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8,677</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10,412</w:t>
            </w:r>
          </w:p>
        </w:tc>
      </w:tr>
      <w:tr w:rsidR="004001CC" w:rsidRPr="006340D6" w:rsidTr="000D4146">
        <w:trPr>
          <w:cantSplit/>
          <w:jc w:val="center"/>
        </w:trPr>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MA</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3,361</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6,721</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10,082</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13,442</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16,803</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20,164</w:t>
            </w:r>
          </w:p>
        </w:tc>
      </w:tr>
      <w:tr w:rsidR="004001CC" w:rsidRPr="006340D6" w:rsidTr="000D4146">
        <w:trPr>
          <w:cantSplit/>
          <w:jc w:val="center"/>
        </w:trPr>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ME</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655</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1,310</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1,964</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2,619</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3,274</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3,929</w:t>
            </w:r>
          </w:p>
        </w:tc>
      </w:tr>
      <w:tr w:rsidR="004001CC" w:rsidRPr="006340D6" w:rsidTr="000D4146">
        <w:trPr>
          <w:cantSplit/>
          <w:jc w:val="center"/>
        </w:trPr>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NH</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655</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1,311</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1,966</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2,621</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3,277</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3,932</w:t>
            </w:r>
          </w:p>
        </w:tc>
      </w:tr>
      <w:tr w:rsidR="004001CC" w:rsidRPr="006340D6" w:rsidTr="000D4146">
        <w:trPr>
          <w:cantSplit/>
          <w:jc w:val="center"/>
        </w:trPr>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RI</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446</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892</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1,337</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1,783</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2,229</w:t>
            </w:r>
          </w:p>
        </w:tc>
        <w:tc>
          <w:tcPr>
            <w:tcW w:w="0" w:type="auto"/>
            <w:shd w:val="clear" w:color="auto" w:fill="auto"/>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2,675</w:t>
            </w:r>
          </w:p>
        </w:tc>
      </w:tr>
      <w:tr w:rsidR="004001CC" w:rsidRPr="006340D6" w:rsidTr="000D4146">
        <w:trPr>
          <w:cantSplit/>
          <w:jc w:val="center"/>
        </w:trPr>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VT</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342</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683</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1,025</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1,366</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1,708</w:t>
            </w:r>
          </w:p>
        </w:tc>
        <w:tc>
          <w:tcPr>
            <w:tcW w:w="0" w:type="auto"/>
            <w:shd w:val="clear" w:color="auto" w:fill="FDEED1" w:themeFill="background2" w:themeFillTint="33"/>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sz w:val="18"/>
                <w:szCs w:val="18"/>
              </w:rPr>
            </w:pPr>
            <w:r w:rsidRPr="006340D6">
              <w:rPr>
                <w:rFonts w:ascii="Arial" w:hAnsi="Arial" w:cs="Arial"/>
                <w:sz w:val="18"/>
                <w:szCs w:val="18"/>
              </w:rPr>
              <w:t>2,049</w:t>
            </w:r>
          </w:p>
        </w:tc>
      </w:tr>
      <w:tr w:rsidR="004001CC" w:rsidRPr="006340D6" w:rsidTr="000D4146">
        <w:trPr>
          <w:cantSplit/>
          <w:jc w:val="center"/>
        </w:trPr>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rPr>
                <w:rFonts w:ascii="Arial" w:hAnsi="Arial" w:cs="Arial"/>
                <w:b/>
                <w:sz w:val="18"/>
                <w:szCs w:val="18"/>
              </w:rPr>
            </w:pPr>
            <w:r w:rsidRPr="006340D6">
              <w:rPr>
                <w:rFonts w:ascii="Arial" w:hAnsi="Arial" w:cs="Arial"/>
                <w:b/>
                <w:sz w:val="18"/>
                <w:szCs w:val="18"/>
              </w:rPr>
              <w:t>Total</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7,193</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14,387</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21,580</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28,774</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35,967</w:t>
            </w:r>
          </w:p>
        </w:tc>
        <w:tc>
          <w:tcPr>
            <w:tcW w:w="0" w:type="auto"/>
            <w:shd w:val="clear" w:color="auto" w:fill="FBCE76" w:themeFill="background2" w:themeFillTint="99"/>
            <w:noWrap/>
            <w:tcMar>
              <w:top w:w="43" w:type="dxa"/>
              <w:left w:w="115" w:type="dxa"/>
              <w:bottom w:w="43" w:type="dxa"/>
              <w:right w:w="115" w:type="dxa"/>
            </w:tcMar>
            <w:vAlign w:val="center"/>
            <w:hideMark/>
          </w:tcPr>
          <w:p w:rsidR="004001CC" w:rsidRPr="006340D6" w:rsidRDefault="004001CC" w:rsidP="00D640BC">
            <w:pPr>
              <w:keepNext/>
              <w:keepLines/>
              <w:spacing w:after="0"/>
              <w:jc w:val="right"/>
              <w:rPr>
                <w:rFonts w:ascii="Arial" w:hAnsi="Arial" w:cs="Arial"/>
                <w:b/>
                <w:sz w:val="18"/>
                <w:szCs w:val="18"/>
              </w:rPr>
            </w:pPr>
            <w:r w:rsidRPr="006340D6">
              <w:rPr>
                <w:rFonts w:ascii="Arial" w:hAnsi="Arial" w:cs="Arial"/>
                <w:b/>
                <w:sz w:val="18"/>
                <w:szCs w:val="18"/>
              </w:rPr>
              <w:t>43,160</w:t>
            </w:r>
          </w:p>
        </w:tc>
      </w:tr>
    </w:tbl>
    <w:p w:rsidR="001B3090" w:rsidRDefault="001B3090"/>
    <w:p w:rsidR="004001CC" w:rsidRDefault="00832C7A" w:rsidP="00073277">
      <w:fldSimple w:instr=" REF _Ref262123406 \h  \* MERGEFORMAT ">
        <w:r w:rsidR="00E5699E" w:rsidRPr="00367A16">
          <w:t xml:space="preserve">Table </w:t>
        </w:r>
        <w:r w:rsidR="00E5699E">
          <w:rPr>
            <w:noProof/>
          </w:rPr>
          <w:t>8</w:t>
        </w:r>
        <w:r w:rsidR="00E5699E">
          <w:rPr>
            <w:noProof/>
          </w:rPr>
          <w:noBreakHyphen/>
          <w:t>13</w:t>
        </w:r>
      </w:fldSimple>
      <w:r w:rsidR="00BC7F25" w:rsidRPr="00F21BE4">
        <w:t xml:space="preserve"> provides some basic information about the state programs and their current or recent EE plans.</w:t>
      </w:r>
    </w:p>
    <w:p w:rsidR="0031359B" w:rsidRDefault="00367A16">
      <w:pPr>
        <w:pStyle w:val="Caption"/>
        <w:suppressLineNumbers/>
        <w:suppressAutoHyphens/>
      </w:pPr>
      <w:bookmarkStart w:id="635" w:name="_Ref262123406"/>
      <w:bookmarkStart w:id="636" w:name="_Toc271552433"/>
      <w:r w:rsidRPr="00367A16">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13</w:t>
      </w:r>
      <w:r w:rsidR="00832C7A">
        <w:fldChar w:fldCharType="end"/>
      </w:r>
      <w:bookmarkEnd w:id="635"/>
      <w:r w:rsidR="004001CC" w:rsidRPr="00367A16">
        <w:br/>
        <w:t xml:space="preserve">Key Facts on </w:t>
      </w:r>
      <w:r w:rsidR="003963C6">
        <w:t xml:space="preserve">the </w:t>
      </w:r>
      <w:r w:rsidR="004001CC" w:rsidRPr="00367A16">
        <w:t>New England States</w:t>
      </w:r>
      <w:r w:rsidR="00E26E7D">
        <w:t>’</w:t>
      </w:r>
      <w:r w:rsidR="003963C6">
        <w:t xml:space="preserve"> </w:t>
      </w:r>
      <w:r w:rsidR="004001CC" w:rsidRPr="00367A16">
        <w:t>Energy-Efficiency Programs</w:t>
      </w:r>
      <w:r>
        <w:t xml:space="preserve"> </w:t>
      </w:r>
      <w:r w:rsidR="004001CC" w:rsidRPr="00367A16">
        <w:t>and Goals</w:t>
      </w:r>
      <w:bookmarkEnd w:id="636"/>
    </w:p>
    <w:tbl>
      <w:tblPr>
        <w:tblStyle w:val="MediumShading1-Accent12"/>
        <w:tblW w:w="10364" w:type="dxa"/>
        <w:tblInd w:w="18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076"/>
        <w:gridCol w:w="1358"/>
        <w:gridCol w:w="1540"/>
        <w:gridCol w:w="1394"/>
        <w:gridCol w:w="1396"/>
        <w:gridCol w:w="1401"/>
        <w:gridCol w:w="1199"/>
      </w:tblGrid>
      <w:tr w:rsidR="00194F11" w:rsidRPr="008772AA" w:rsidTr="008D39A1">
        <w:trPr>
          <w:cnfStyle w:val="100000000000"/>
          <w:trHeight w:val="321"/>
        </w:trPr>
        <w:tc>
          <w:tcPr>
            <w:cnfStyle w:val="001000000100"/>
            <w:tcW w:w="2076" w:type="dxa"/>
            <w:shd w:val="clear" w:color="auto" w:fill="FBCE76" w:themeFill="background2" w:themeFillTint="99"/>
            <w:noWrap/>
            <w:tcMar>
              <w:top w:w="43" w:type="dxa"/>
              <w:left w:w="58" w:type="dxa"/>
              <w:bottom w:w="43" w:type="dxa"/>
              <w:right w:w="58" w:type="dxa"/>
            </w:tcMar>
            <w:hideMark/>
          </w:tcPr>
          <w:p w:rsidR="00BA5816" w:rsidRPr="008772AA" w:rsidRDefault="00BA5816" w:rsidP="00564A22">
            <w:pPr>
              <w:keepNext/>
              <w:suppressLineNumbers/>
              <w:suppressAutoHyphens/>
              <w:spacing w:after="0" w:line="240" w:lineRule="auto"/>
              <w:rPr>
                <w:rFonts w:ascii="Arial" w:eastAsia="Times New Roman" w:hAnsi="Arial" w:cs="Arial"/>
                <w:iCs/>
                <w:color w:val="000000" w:themeColor="text1"/>
                <w:sz w:val="16"/>
                <w:szCs w:val="16"/>
              </w:rPr>
            </w:pPr>
          </w:p>
        </w:tc>
        <w:tc>
          <w:tcPr>
            <w:tcW w:w="1358"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100000000000"/>
              <w:rPr>
                <w:rFonts w:ascii="Arial" w:hAnsi="Arial" w:cs="Arial"/>
                <w:b w:val="0"/>
                <w:bCs w:val="0"/>
                <w:color w:val="000000" w:themeColor="text1"/>
                <w:sz w:val="16"/>
                <w:szCs w:val="16"/>
              </w:rPr>
            </w:pPr>
            <w:r w:rsidRPr="008772AA">
              <w:rPr>
                <w:rFonts w:ascii="Arial" w:hAnsi="Arial" w:cs="Arial"/>
                <w:color w:val="000000" w:themeColor="text1"/>
                <w:sz w:val="16"/>
                <w:szCs w:val="16"/>
              </w:rPr>
              <w:t>CT</w:t>
            </w:r>
            <w:r w:rsidR="00103A26">
              <w:rPr>
                <w:rFonts w:ascii="Arial" w:hAnsi="Arial" w:cs="Arial"/>
                <w:color w:val="000000" w:themeColor="text1"/>
                <w:sz w:val="16"/>
                <w:szCs w:val="16"/>
                <w:vertAlign w:val="superscript"/>
              </w:rPr>
              <w:t>(a</w:t>
            </w:r>
            <w:r w:rsidR="00B23659">
              <w:rPr>
                <w:rFonts w:ascii="Arial" w:hAnsi="Arial" w:cs="Arial"/>
                <w:color w:val="000000" w:themeColor="text1"/>
                <w:sz w:val="16"/>
                <w:szCs w:val="16"/>
                <w:vertAlign w:val="superscript"/>
              </w:rPr>
              <w:t>, b</w:t>
            </w:r>
            <w:r w:rsidR="00103A26">
              <w:rPr>
                <w:rFonts w:ascii="Arial" w:hAnsi="Arial" w:cs="Arial"/>
                <w:color w:val="000000" w:themeColor="text1"/>
                <w:sz w:val="16"/>
                <w:szCs w:val="16"/>
                <w:vertAlign w:val="superscript"/>
              </w:rPr>
              <w:t>)</w:t>
            </w:r>
          </w:p>
        </w:tc>
        <w:tc>
          <w:tcPr>
            <w:tcW w:w="1540" w:type="dxa"/>
            <w:shd w:val="clear" w:color="auto" w:fill="FBCE76" w:themeFill="background2" w:themeFillTint="99"/>
            <w:noWrap/>
            <w:tcMar>
              <w:top w:w="43" w:type="dxa"/>
              <w:left w:w="58" w:type="dxa"/>
              <w:bottom w:w="43" w:type="dxa"/>
              <w:right w:w="58" w:type="dxa"/>
            </w:tcMar>
            <w:hideMark/>
          </w:tcPr>
          <w:p w:rsidR="006B57F7" w:rsidRDefault="004001CC">
            <w:pPr>
              <w:keepNext/>
              <w:suppressLineNumbers/>
              <w:suppressAutoHyphens/>
              <w:spacing w:after="0" w:line="240" w:lineRule="auto"/>
              <w:cnfStyle w:val="100000000000"/>
              <w:rPr>
                <w:rFonts w:ascii="Arial" w:eastAsia="Times New Roman" w:hAnsi="Arial" w:cs="Arial"/>
                <w:b w:val="0"/>
                <w:bCs w:val="0"/>
                <w:iCs/>
                <w:color w:val="000000" w:themeColor="text1"/>
                <w:sz w:val="16"/>
                <w:szCs w:val="16"/>
              </w:rPr>
            </w:pPr>
            <w:r w:rsidRPr="008772AA">
              <w:rPr>
                <w:rFonts w:ascii="Arial" w:hAnsi="Arial" w:cs="Arial"/>
                <w:color w:val="000000" w:themeColor="text1"/>
                <w:sz w:val="16"/>
                <w:szCs w:val="16"/>
              </w:rPr>
              <w:t>MA</w:t>
            </w:r>
            <w:r w:rsidR="00852DF8">
              <w:rPr>
                <w:rFonts w:ascii="Arial" w:hAnsi="Arial" w:cs="Arial"/>
                <w:color w:val="000000" w:themeColor="text1"/>
                <w:sz w:val="16"/>
                <w:szCs w:val="16"/>
                <w:vertAlign w:val="superscript"/>
              </w:rPr>
              <w:t>(</w:t>
            </w:r>
            <w:r w:rsidR="00B23659">
              <w:rPr>
                <w:rFonts w:ascii="Arial" w:hAnsi="Arial" w:cs="Arial"/>
                <w:color w:val="000000" w:themeColor="text1"/>
                <w:sz w:val="16"/>
                <w:szCs w:val="16"/>
                <w:vertAlign w:val="superscript"/>
              </w:rPr>
              <w:t>c</w:t>
            </w:r>
            <w:r w:rsidR="00852DF8" w:rsidRPr="00852DF8">
              <w:rPr>
                <w:rFonts w:ascii="Arial" w:hAnsi="Arial" w:cs="Arial"/>
                <w:color w:val="000000" w:themeColor="text1"/>
                <w:sz w:val="16"/>
                <w:szCs w:val="16"/>
                <w:vertAlign w:val="superscript"/>
              </w:rPr>
              <w:t>)</w:t>
            </w:r>
          </w:p>
        </w:tc>
        <w:tc>
          <w:tcPr>
            <w:tcW w:w="1394" w:type="dxa"/>
            <w:shd w:val="clear" w:color="auto" w:fill="FBCE76" w:themeFill="background2" w:themeFillTint="99"/>
            <w:noWrap/>
            <w:tcMar>
              <w:top w:w="43" w:type="dxa"/>
              <w:left w:w="58" w:type="dxa"/>
              <w:bottom w:w="43" w:type="dxa"/>
              <w:right w:w="58" w:type="dxa"/>
            </w:tcMar>
            <w:hideMark/>
          </w:tcPr>
          <w:p w:rsidR="006B57F7" w:rsidRDefault="004001CC">
            <w:pPr>
              <w:keepNext/>
              <w:suppressLineNumbers/>
              <w:suppressAutoHyphens/>
              <w:spacing w:after="0" w:line="240" w:lineRule="auto"/>
              <w:cnfStyle w:val="100000000000"/>
              <w:rPr>
                <w:rFonts w:ascii="Arial" w:eastAsia="Times New Roman" w:hAnsi="Arial" w:cs="Arial"/>
                <w:b w:val="0"/>
                <w:bCs w:val="0"/>
                <w:iCs/>
                <w:color w:val="000000" w:themeColor="text1"/>
                <w:sz w:val="16"/>
                <w:szCs w:val="16"/>
              </w:rPr>
            </w:pPr>
            <w:r w:rsidRPr="008772AA">
              <w:rPr>
                <w:rFonts w:ascii="Arial" w:hAnsi="Arial" w:cs="Arial"/>
                <w:color w:val="000000" w:themeColor="text1"/>
                <w:sz w:val="16"/>
                <w:szCs w:val="16"/>
              </w:rPr>
              <w:t>RI</w:t>
            </w:r>
            <w:r w:rsidR="00852DF8">
              <w:rPr>
                <w:rFonts w:ascii="Arial" w:hAnsi="Arial" w:cs="Arial"/>
                <w:color w:val="000000" w:themeColor="text1"/>
                <w:sz w:val="16"/>
                <w:szCs w:val="16"/>
                <w:vertAlign w:val="superscript"/>
              </w:rPr>
              <w:t>(</w:t>
            </w:r>
            <w:r w:rsidR="00B23659">
              <w:rPr>
                <w:rFonts w:ascii="Arial" w:hAnsi="Arial" w:cs="Arial"/>
                <w:color w:val="000000" w:themeColor="text1"/>
                <w:sz w:val="16"/>
                <w:szCs w:val="16"/>
                <w:vertAlign w:val="superscript"/>
              </w:rPr>
              <w:t>d</w:t>
            </w:r>
            <w:r w:rsidR="00852DF8" w:rsidRPr="00852DF8">
              <w:rPr>
                <w:rFonts w:ascii="Arial" w:hAnsi="Arial" w:cs="Arial"/>
                <w:color w:val="000000" w:themeColor="text1"/>
                <w:sz w:val="16"/>
                <w:szCs w:val="16"/>
                <w:vertAlign w:val="superscript"/>
              </w:rPr>
              <w:t>)</w:t>
            </w:r>
          </w:p>
        </w:tc>
        <w:tc>
          <w:tcPr>
            <w:tcW w:w="1396"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100000000000"/>
              <w:rPr>
                <w:rFonts w:ascii="Arial" w:hAnsi="Arial" w:cs="Arial"/>
                <w:b w:val="0"/>
                <w:bCs w:val="0"/>
                <w:color w:val="000000" w:themeColor="text1"/>
                <w:sz w:val="16"/>
                <w:szCs w:val="16"/>
              </w:rPr>
            </w:pPr>
            <w:r w:rsidRPr="008772AA">
              <w:rPr>
                <w:rFonts w:ascii="Arial" w:hAnsi="Arial" w:cs="Arial"/>
                <w:color w:val="000000" w:themeColor="text1"/>
                <w:sz w:val="16"/>
                <w:szCs w:val="16"/>
              </w:rPr>
              <w:t>VT</w:t>
            </w:r>
            <w:r w:rsidR="00852DF8" w:rsidRPr="00852DF8">
              <w:rPr>
                <w:rFonts w:ascii="Arial" w:hAnsi="Arial" w:cs="Arial"/>
                <w:color w:val="000000" w:themeColor="text1"/>
                <w:sz w:val="16"/>
                <w:szCs w:val="16"/>
                <w:vertAlign w:val="superscript"/>
              </w:rPr>
              <w:t>(</w:t>
            </w:r>
            <w:r w:rsidR="00B23659">
              <w:rPr>
                <w:rFonts w:ascii="Arial" w:hAnsi="Arial" w:cs="Arial"/>
                <w:color w:val="000000" w:themeColor="text1"/>
                <w:sz w:val="16"/>
                <w:szCs w:val="16"/>
                <w:vertAlign w:val="superscript"/>
              </w:rPr>
              <w:t>e</w:t>
            </w:r>
            <w:r w:rsidR="00852DF8" w:rsidRPr="00852DF8">
              <w:rPr>
                <w:rFonts w:ascii="Arial" w:hAnsi="Arial" w:cs="Arial"/>
                <w:color w:val="000000" w:themeColor="text1"/>
                <w:sz w:val="16"/>
                <w:szCs w:val="16"/>
                <w:vertAlign w:val="superscript"/>
              </w:rPr>
              <w:t>)</w:t>
            </w:r>
          </w:p>
        </w:tc>
        <w:tc>
          <w:tcPr>
            <w:tcW w:w="1401"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100000000000"/>
              <w:rPr>
                <w:rFonts w:ascii="Arial" w:hAnsi="Arial" w:cs="Arial"/>
                <w:b w:val="0"/>
                <w:bCs w:val="0"/>
                <w:color w:val="000000" w:themeColor="text1"/>
                <w:sz w:val="16"/>
                <w:szCs w:val="16"/>
              </w:rPr>
            </w:pPr>
            <w:r w:rsidRPr="008772AA">
              <w:rPr>
                <w:rFonts w:ascii="Arial" w:hAnsi="Arial" w:cs="Arial"/>
                <w:color w:val="000000" w:themeColor="text1"/>
                <w:sz w:val="16"/>
                <w:szCs w:val="16"/>
              </w:rPr>
              <w:t>NH</w:t>
            </w:r>
            <w:r w:rsidR="00852DF8" w:rsidRPr="00852DF8">
              <w:rPr>
                <w:rFonts w:ascii="Arial" w:hAnsi="Arial" w:cs="Arial"/>
                <w:color w:val="000000" w:themeColor="text1"/>
                <w:sz w:val="16"/>
                <w:szCs w:val="16"/>
                <w:vertAlign w:val="superscript"/>
              </w:rPr>
              <w:t>(</w:t>
            </w:r>
            <w:r w:rsidR="00B23659">
              <w:rPr>
                <w:rFonts w:ascii="Arial" w:hAnsi="Arial" w:cs="Arial"/>
                <w:color w:val="000000" w:themeColor="text1"/>
                <w:sz w:val="16"/>
                <w:szCs w:val="16"/>
                <w:vertAlign w:val="superscript"/>
              </w:rPr>
              <w:t>f</w:t>
            </w:r>
            <w:r w:rsidR="00852DF8" w:rsidRPr="00852DF8">
              <w:rPr>
                <w:rFonts w:ascii="Arial" w:hAnsi="Arial" w:cs="Arial"/>
                <w:color w:val="000000" w:themeColor="text1"/>
                <w:sz w:val="16"/>
                <w:szCs w:val="16"/>
                <w:vertAlign w:val="superscript"/>
              </w:rPr>
              <w:t>)</w:t>
            </w:r>
          </w:p>
        </w:tc>
        <w:tc>
          <w:tcPr>
            <w:tcW w:w="1199" w:type="dxa"/>
            <w:shd w:val="clear" w:color="auto" w:fill="FBCE76" w:themeFill="background2" w:themeFillTint="99"/>
            <w:noWrap/>
            <w:tcMar>
              <w:top w:w="43" w:type="dxa"/>
              <w:left w:w="58" w:type="dxa"/>
              <w:bottom w:w="43" w:type="dxa"/>
              <w:right w:w="58" w:type="dxa"/>
            </w:tcMar>
            <w:hideMark/>
          </w:tcPr>
          <w:p w:rsidR="006B57F7" w:rsidRDefault="004001CC">
            <w:pPr>
              <w:keepNext/>
              <w:suppressLineNumbers/>
              <w:suppressAutoHyphens/>
              <w:spacing w:after="0" w:line="240" w:lineRule="auto"/>
              <w:cnfStyle w:val="100000000000"/>
              <w:rPr>
                <w:rFonts w:ascii="Arial" w:eastAsia="Times New Roman" w:hAnsi="Arial" w:cs="Arial"/>
                <w:b w:val="0"/>
                <w:bCs w:val="0"/>
                <w:iCs/>
                <w:color w:val="000000" w:themeColor="text1"/>
                <w:sz w:val="16"/>
                <w:szCs w:val="16"/>
              </w:rPr>
            </w:pPr>
            <w:r w:rsidRPr="008772AA">
              <w:rPr>
                <w:rFonts w:ascii="Arial" w:hAnsi="Arial" w:cs="Arial"/>
                <w:color w:val="000000" w:themeColor="text1"/>
                <w:sz w:val="16"/>
                <w:szCs w:val="16"/>
              </w:rPr>
              <w:t>ME</w:t>
            </w:r>
            <w:r w:rsidR="00852DF8">
              <w:rPr>
                <w:rFonts w:ascii="Arial" w:hAnsi="Arial" w:cs="Arial"/>
                <w:color w:val="000000" w:themeColor="text1"/>
                <w:sz w:val="16"/>
                <w:szCs w:val="16"/>
                <w:vertAlign w:val="superscript"/>
              </w:rPr>
              <w:t>(</w:t>
            </w:r>
            <w:r w:rsidR="00B23659">
              <w:rPr>
                <w:rFonts w:ascii="Arial" w:hAnsi="Arial" w:cs="Arial"/>
                <w:color w:val="000000" w:themeColor="text1"/>
                <w:sz w:val="16"/>
                <w:szCs w:val="16"/>
                <w:vertAlign w:val="superscript"/>
              </w:rPr>
              <w:t>g</w:t>
            </w:r>
            <w:r w:rsidR="00852DF8" w:rsidRPr="00852DF8">
              <w:rPr>
                <w:rFonts w:ascii="Arial" w:hAnsi="Arial" w:cs="Arial"/>
                <w:color w:val="000000" w:themeColor="text1"/>
                <w:sz w:val="16"/>
                <w:szCs w:val="16"/>
                <w:vertAlign w:val="superscript"/>
              </w:rPr>
              <w:t>)</w:t>
            </w:r>
          </w:p>
        </w:tc>
      </w:tr>
      <w:tr w:rsidR="00194F11" w:rsidRPr="008772AA" w:rsidTr="008D39A1">
        <w:trPr>
          <w:cnfStyle w:val="000000100000"/>
        </w:trPr>
        <w:tc>
          <w:tcPr>
            <w:cnfStyle w:val="001000000000"/>
            <w:tcW w:w="2076"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 xml:space="preserve">Program </w:t>
            </w:r>
            <w:r w:rsidR="00194F11" w:rsidRPr="008772AA">
              <w:rPr>
                <w:rFonts w:ascii="Arial" w:hAnsi="Arial" w:cs="Arial"/>
                <w:sz w:val="16"/>
                <w:szCs w:val="16"/>
              </w:rPr>
              <w:t>n</w:t>
            </w:r>
            <w:r w:rsidRPr="008772AA">
              <w:rPr>
                <w:rFonts w:ascii="Arial" w:hAnsi="Arial" w:cs="Arial"/>
                <w:sz w:val="16"/>
                <w:szCs w:val="16"/>
              </w:rPr>
              <w:t>ame</w:t>
            </w:r>
          </w:p>
        </w:tc>
        <w:tc>
          <w:tcPr>
            <w:tcW w:w="1358"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540"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394"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396"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Efficiency Vermont (EV)</w:t>
            </w:r>
          </w:p>
        </w:tc>
        <w:tc>
          <w:tcPr>
            <w:tcW w:w="1401" w:type="dxa"/>
            <w:noWrap/>
            <w:tcMar>
              <w:top w:w="43" w:type="dxa"/>
              <w:left w:w="58" w:type="dxa"/>
              <w:bottom w:w="43" w:type="dxa"/>
              <w:right w:w="58" w:type="dxa"/>
            </w:tcMar>
            <w:hideMark/>
          </w:tcPr>
          <w:p w:rsidR="00BA5816" w:rsidRPr="008772AA" w:rsidRDefault="00463209" w:rsidP="00564A22">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CORE</w:t>
            </w:r>
          </w:p>
        </w:tc>
        <w:tc>
          <w:tcPr>
            <w:tcW w:w="1199"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Efficiency Maine</w:t>
            </w:r>
            <w:r w:rsidR="00463209">
              <w:rPr>
                <w:rFonts w:ascii="Arial" w:hAnsi="Arial" w:cs="Arial"/>
                <w:sz w:val="16"/>
                <w:szCs w:val="16"/>
              </w:rPr>
              <w:t xml:space="preserve"> Trust</w:t>
            </w:r>
          </w:p>
        </w:tc>
      </w:tr>
      <w:tr w:rsidR="00194F11" w:rsidRPr="008772AA" w:rsidTr="008D39A1">
        <w:trPr>
          <w:cnfStyle w:val="000000010000"/>
        </w:trPr>
        <w:tc>
          <w:tcPr>
            <w:cnfStyle w:val="001000000000"/>
            <w:tcW w:w="2076" w:type="dxa"/>
            <w:shd w:val="clear" w:color="auto" w:fill="FDEED1" w:themeFill="background2" w:themeFillTint="33"/>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 xml:space="preserve">Program </w:t>
            </w:r>
            <w:r w:rsidR="00194F11" w:rsidRPr="008772AA">
              <w:rPr>
                <w:rFonts w:ascii="Arial" w:hAnsi="Arial" w:cs="Arial"/>
                <w:sz w:val="16"/>
                <w:szCs w:val="16"/>
              </w:rPr>
              <w:t>p</w:t>
            </w:r>
            <w:r w:rsidRPr="008772AA">
              <w:rPr>
                <w:rFonts w:ascii="Arial" w:hAnsi="Arial" w:cs="Arial"/>
                <w:sz w:val="16"/>
                <w:szCs w:val="16"/>
              </w:rPr>
              <w:t>lan (y</w:t>
            </w:r>
            <w:r w:rsidR="00CC577D" w:rsidRPr="008772AA">
              <w:rPr>
                <w:rFonts w:ascii="Arial" w:hAnsi="Arial" w:cs="Arial"/>
                <w:sz w:val="16"/>
                <w:szCs w:val="16"/>
              </w:rPr>
              <w:t>ea</w:t>
            </w:r>
            <w:r w:rsidRPr="008772AA">
              <w:rPr>
                <w:rFonts w:ascii="Arial" w:hAnsi="Arial" w:cs="Arial"/>
                <w:sz w:val="16"/>
                <w:szCs w:val="16"/>
              </w:rPr>
              <w:t>rs)</w:t>
            </w:r>
          </w:p>
        </w:tc>
        <w:tc>
          <w:tcPr>
            <w:tcW w:w="1358" w:type="dxa"/>
            <w:shd w:val="clear" w:color="auto" w:fill="FDEED1" w:themeFill="background2" w:themeFillTint="33"/>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1</w:t>
            </w:r>
          </w:p>
        </w:tc>
        <w:tc>
          <w:tcPr>
            <w:tcW w:w="1540" w:type="dxa"/>
            <w:shd w:val="clear" w:color="auto" w:fill="FDEED1" w:themeFill="background2" w:themeFillTint="33"/>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w:t>
            </w:r>
          </w:p>
        </w:tc>
        <w:tc>
          <w:tcPr>
            <w:tcW w:w="1394" w:type="dxa"/>
            <w:shd w:val="clear" w:color="auto" w:fill="FDEED1" w:themeFill="background2" w:themeFillTint="33"/>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 for planning/</w:t>
            </w:r>
            <w:r w:rsidR="00691A56" w:rsidRPr="008772AA">
              <w:rPr>
                <w:rFonts w:ascii="Arial" w:hAnsi="Arial" w:cs="Arial"/>
                <w:sz w:val="16"/>
                <w:szCs w:val="16"/>
              </w:rPr>
              <w:br/>
            </w:r>
            <w:r w:rsidRPr="008772AA">
              <w:rPr>
                <w:rFonts w:ascii="Arial" w:hAnsi="Arial" w:cs="Arial"/>
                <w:sz w:val="16"/>
                <w:szCs w:val="16"/>
              </w:rPr>
              <w:t>1 for procurement</w:t>
            </w:r>
          </w:p>
        </w:tc>
        <w:tc>
          <w:tcPr>
            <w:tcW w:w="1396" w:type="dxa"/>
            <w:shd w:val="clear" w:color="auto" w:fill="FDEED1" w:themeFill="background2" w:themeFillTint="33"/>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w:t>
            </w:r>
            <w:r w:rsidR="00691A56" w:rsidRPr="008772AA">
              <w:rPr>
                <w:rFonts w:ascii="Arial" w:hAnsi="Arial" w:cs="Arial"/>
                <w:sz w:val="16"/>
                <w:szCs w:val="16"/>
              </w:rPr>
              <w:t>-</w:t>
            </w:r>
            <w:r w:rsidRPr="008772AA">
              <w:rPr>
                <w:rFonts w:ascii="Arial" w:hAnsi="Arial" w:cs="Arial"/>
                <w:sz w:val="16"/>
                <w:szCs w:val="16"/>
              </w:rPr>
              <w:t>y</w:t>
            </w:r>
            <w:r w:rsidR="00420DFD">
              <w:rPr>
                <w:rFonts w:ascii="Arial" w:hAnsi="Arial" w:cs="Arial"/>
                <w:sz w:val="16"/>
                <w:szCs w:val="16"/>
              </w:rPr>
              <w:t>ea</w:t>
            </w:r>
            <w:r w:rsidRPr="008772AA">
              <w:rPr>
                <w:rFonts w:ascii="Arial" w:hAnsi="Arial" w:cs="Arial"/>
                <w:sz w:val="16"/>
                <w:szCs w:val="16"/>
              </w:rPr>
              <w:t>r contract for EE services</w:t>
            </w:r>
          </w:p>
        </w:tc>
        <w:tc>
          <w:tcPr>
            <w:tcW w:w="1401" w:type="dxa"/>
            <w:shd w:val="clear" w:color="auto" w:fill="FDEED1" w:themeFill="background2" w:themeFillTint="33"/>
            <w:noWrap/>
            <w:tcMar>
              <w:top w:w="43" w:type="dxa"/>
              <w:left w:w="58" w:type="dxa"/>
              <w:bottom w:w="43" w:type="dxa"/>
              <w:right w:w="58" w:type="dxa"/>
            </w:tcMar>
            <w:hideMark/>
          </w:tcPr>
          <w:p w:rsidR="00BA5816" w:rsidRPr="008772AA" w:rsidRDefault="00015CB2" w:rsidP="00564A22">
            <w:pPr>
              <w:keepNext/>
              <w:suppressLineNumbers/>
              <w:suppressAutoHyphens/>
              <w:spacing w:after="0" w:line="240" w:lineRule="auto"/>
              <w:cnfStyle w:val="000000010000"/>
              <w:rPr>
                <w:rFonts w:ascii="Arial" w:hAnsi="Arial" w:cs="Arial"/>
                <w:sz w:val="16"/>
                <w:szCs w:val="16"/>
              </w:rPr>
            </w:pPr>
            <w:r>
              <w:rPr>
                <w:rFonts w:ascii="Arial" w:hAnsi="Arial" w:cs="Arial"/>
                <w:sz w:val="16"/>
                <w:szCs w:val="16"/>
              </w:rPr>
              <w:t>1</w:t>
            </w:r>
          </w:p>
        </w:tc>
        <w:tc>
          <w:tcPr>
            <w:tcW w:w="1199" w:type="dxa"/>
            <w:shd w:val="clear" w:color="auto" w:fill="FDEED1" w:themeFill="background2" w:themeFillTint="33"/>
            <w:noWrap/>
            <w:tcMar>
              <w:top w:w="43" w:type="dxa"/>
              <w:left w:w="58" w:type="dxa"/>
              <w:bottom w:w="43" w:type="dxa"/>
              <w:right w:w="58" w:type="dxa"/>
            </w:tcMar>
            <w:hideMark/>
          </w:tcPr>
          <w:p w:rsidR="00BA5816" w:rsidRPr="008772AA" w:rsidRDefault="00463209" w:rsidP="00564A22">
            <w:pPr>
              <w:keepNext/>
              <w:suppressLineNumbers/>
              <w:suppressAutoHyphens/>
              <w:spacing w:after="0" w:line="240" w:lineRule="auto"/>
              <w:cnfStyle w:val="000000010000"/>
              <w:rPr>
                <w:rFonts w:ascii="Arial" w:hAnsi="Arial" w:cs="Arial"/>
                <w:sz w:val="16"/>
                <w:szCs w:val="16"/>
              </w:rPr>
            </w:pPr>
            <w:r>
              <w:rPr>
                <w:rFonts w:ascii="Arial" w:hAnsi="Arial" w:cs="Arial"/>
                <w:sz w:val="16"/>
                <w:szCs w:val="16"/>
              </w:rPr>
              <w:t>3</w:t>
            </w:r>
          </w:p>
        </w:tc>
      </w:tr>
      <w:tr w:rsidR="00194F11" w:rsidRPr="008772AA" w:rsidTr="008D39A1">
        <w:trPr>
          <w:cnfStyle w:val="000000100000"/>
        </w:trPr>
        <w:tc>
          <w:tcPr>
            <w:cnfStyle w:val="001000000000"/>
            <w:tcW w:w="2076"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 xml:space="preserve">Electric </w:t>
            </w:r>
            <w:r w:rsidR="00194F11" w:rsidRPr="008772AA">
              <w:rPr>
                <w:rFonts w:ascii="Arial" w:hAnsi="Arial" w:cs="Arial"/>
                <w:sz w:val="16"/>
                <w:szCs w:val="16"/>
              </w:rPr>
              <w:t>u</w:t>
            </w:r>
            <w:r w:rsidRPr="008772AA">
              <w:rPr>
                <w:rFonts w:ascii="Arial" w:hAnsi="Arial" w:cs="Arial"/>
                <w:sz w:val="16"/>
                <w:szCs w:val="16"/>
              </w:rPr>
              <w:t xml:space="preserve">tility </w:t>
            </w:r>
            <w:r w:rsidR="00194F11" w:rsidRPr="008772AA">
              <w:rPr>
                <w:rFonts w:ascii="Arial" w:hAnsi="Arial" w:cs="Arial"/>
                <w:sz w:val="16"/>
                <w:szCs w:val="16"/>
              </w:rPr>
              <w:t>p</w:t>
            </w:r>
            <w:r w:rsidR="00691A56" w:rsidRPr="008772AA">
              <w:rPr>
                <w:rFonts w:ascii="Arial" w:hAnsi="Arial" w:cs="Arial"/>
                <w:sz w:val="16"/>
                <w:szCs w:val="16"/>
              </w:rPr>
              <w:t>articipants</w:t>
            </w:r>
          </w:p>
        </w:tc>
        <w:tc>
          <w:tcPr>
            <w:tcW w:w="1358"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D63053">
              <w:rPr>
                <w:rFonts w:ascii="Arial" w:hAnsi="Arial" w:cs="Arial"/>
                <w:sz w:val="16"/>
                <w:szCs w:val="16"/>
              </w:rPr>
              <w:t xml:space="preserve">2 + </w:t>
            </w:r>
            <w:r w:rsidR="00D63053" w:rsidRPr="00D63053">
              <w:rPr>
                <w:rFonts w:ascii="Arial" w:hAnsi="Arial" w:cs="Arial"/>
                <w:sz w:val="16"/>
                <w:szCs w:val="16"/>
              </w:rPr>
              <w:t>municipal utilities</w:t>
            </w:r>
          </w:p>
        </w:tc>
        <w:tc>
          <w:tcPr>
            <w:tcW w:w="1540"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4</w:t>
            </w:r>
            <w:r w:rsidR="003C3DB2">
              <w:rPr>
                <w:rFonts w:ascii="Arial" w:hAnsi="Arial" w:cs="Arial"/>
                <w:sz w:val="16"/>
                <w:szCs w:val="16"/>
              </w:rPr>
              <w:t xml:space="preserve"> + 1 municipal aggregator</w:t>
            </w:r>
          </w:p>
        </w:tc>
        <w:tc>
          <w:tcPr>
            <w:tcW w:w="1394"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w:t>
            </w:r>
          </w:p>
        </w:tc>
        <w:tc>
          <w:tcPr>
            <w:tcW w:w="1396"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Statewide</w:t>
            </w:r>
          </w:p>
        </w:tc>
        <w:tc>
          <w:tcPr>
            <w:tcW w:w="1401"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4</w:t>
            </w:r>
          </w:p>
        </w:tc>
        <w:tc>
          <w:tcPr>
            <w:tcW w:w="1199"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Statewide</w:t>
            </w:r>
          </w:p>
        </w:tc>
      </w:tr>
      <w:tr w:rsidR="00194F11" w:rsidRPr="008772AA" w:rsidTr="008D39A1">
        <w:trPr>
          <w:cnfStyle w:val="000000010000"/>
        </w:trPr>
        <w:tc>
          <w:tcPr>
            <w:cnfStyle w:val="001000000000"/>
            <w:tcW w:w="2076" w:type="dxa"/>
            <w:shd w:val="clear" w:color="auto" w:fill="FDEED1" w:themeFill="background2" w:themeFillTint="33"/>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Long</w:t>
            </w:r>
            <w:r w:rsidR="00194F11" w:rsidRPr="008772AA">
              <w:rPr>
                <w:rFonts w:ascii="Arial" w:hAnsi="Arial" w:cs="Arial"/>
                <w:sz w:val="16"/>
                <w:szCs w:val="16"/>
              </w:rPr>
              <w:t>-t</w:t>
            </w:r>
            <w:r w:rsidRPr="008772AA">
              <w:rPr>
                <w:rFonts w:ascii="Arial" w:hAnsi="Arial" w:cs="Arial"/>
                <w:sz w:val="16"/>
                <w:szCs w:val="16"/>
              </w:rPr>
              <w:t xml:space="preserve">erm EE </w:t>
            </w:r>
            <w:r w:rsidR="00194F11" w:rsidRPr="008772AA">
              <w:rPr>
                <w:rFonts w:ascii="Arial" w:hAnsi="Arial" w:cs="Arial"/>
                <w:sz w:val="16"/>
                <w:szCs w:val="16"/>
              </w:rPr>
              <w:t>g</w:t>
            </w:r>
            <w:r w:rsidRPr="008772AA">
              <w:rPr>
                <w:rFonts w:ascii="Arial" w:hAnsi="Arial" w:cs="Arial"/>
                <w:sz w:val="16"/>
                <w:szCs w:val="16"/>
              </w:rPr>
              <w:t>oal</w:t>
            </w:r>
          </w:p>
        </w:tc>
        <w:tc>
          <w:tcPr>
            <w:tcW w:w="1358" w:type="dxa"/>
            <w:shd w:val="clear" w:color="auto" w:fill="FDEED1" w:themeFill="background2" w:themeFillTint="33"/>
            <w:tcMar>
              <w:top w:w="43" w:type="dxa"/>
              <w:left w:w="58" w:type="dxa"/>
              <w:bottom w:w="43" w:type="dxa"/>
              <w:right w:w="58" w:type="dxa"/>
            </w:tcMar>
            <w:hideMark/>
          </w:tcPr>
          <w:p w:rsidR="00BA5816" w:rsidRPr="008772AA" w:rsidRDefault="00BA5816" w:rsidP="00564A22">
            <w:pPr>
              <w:keepNext/>
              <w:suppressLineNumbers/>
              <w:suppressAutoHyphens/>
              <w:spacing w:after="0" w:line="240" w:lineRule="auto"/>
              <w:cnfStyle w:val="000000010000"/>
              <w:rPr>
                <w:rFonts w:ascii="Arial" w:hAnsi="Arial" w:cs="Arial"/>
                <w:sz w:val="16"/>
                <w:szCs w:val="16"/>
              </w:rPr>
            </w:pPr>
          </w:p>
        </w:tc>
        <w:tc>
          <w:tcPr>
            <w:tcW w:w="1540" w:type="dxa"/>
            <w:shd w:val="clear" w:color="auto" w:fill="FDEED1" w:themeFill="background2" w:themeFillTint="33"/>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25% reduction</w:t>
            </w:r>
            <w:r w:rsidR="00194F11" w:rsidRPr="008772AA">
              <w:rPr>
                <w:rFonts w:ascii="Arial" w:hAnsi="Arial" w:cs="Arial"/>
                <w:sz w:val="16"/>
                <w:szCs w:val="16"/>
              </w:rPr>
              <w:br/>
            </w:r>
            <w:r w:rsidRPr="008772AA">
              <w:rPr>
                <w:rFonts w:ascii="Arial" w:hAnsi="Arial" w:cs="Arial"/>
                <w:sz w:val="16"/>
                <w:szCs w:val="16"/>
              </w:rPr>
              <w:t>by 2020</w:t>
            </w:r>
          </w:p>
        </w:tc>
        <w:tc>
          <w:tcPr>
            <w:tcW w:w="1394" w:type="dxa"/>
            <w:shd w:val="clear" w:color="auto" w:fill="FDEED1" w:themeFill="background2" w:themeFillTint="33"/>
            <w:tcMar>
              <w:top w:w="43" w:type="dxa"/>
              <w:left w:w="58" w:type="dxa"/>
              <w:bottom w:w="43" w:type="dxa"/>
              <w:right w:w="58" w:type="dxa"/>
            </w:tcMar>
            <w:hideMark/>
          </w:tcPr>
          <w:p w:rsidR="00BA5816" w:rsidRPr="008772AA" w:rsidRDefault="00BA5816" w:rsidP="00564A22">
            <w:pPr>
              <w:keepNext/>
              <w:suppressLineNumbers/>
              <w:suppressAutoHyphens/>
              <w:spacing w:after="0" w:line="240" w:lineRule="auto"/>
              <w:cnfStyle w:val="000000010000"/>
              <w:rPr>
                <w:rFonts w:ascii="Arial" w:hAnsi="Arial" w:cs="Arial"/>
                <w:sz w:val="16"/>
                <w:szCs w:val="16"/>
              </w:rPr>
            </w:pPr>
          </w:p>
        </w:tc>
        <w:tc>
          <w:tcPr>
            <w:tcW w:w="1396" w:type="dxa"/>
            <w:shd w:val="clear" w:color="auto" w:fill="FDEED1" w:themeFill="background2" w:themeFillTint="33"/>
            <w:tcMar>
              <w:top w:w="43" w:type="dxa"/>
              <w:left w:w="58" w:type="dxa"/>
              <w:bottom w:w="43" w:type="dxa"/>
              <w:right w:w="58" w:type="dxa"/>
            </w:tcMar>
            <w:hideMark/>
          </w:tcPr>
          <w:p w:rsidR="00BA5816" w:rsidRPr="008772AA" w:rsidRDefault="00BA5816" w:rsidP="00564A22">
            <w:pPr>
              <w:keepNext/>
              <w:suppressLineNumbers/>
              <w:suppressAutoHyphens/>
              <w:spacing w:after="0" w:line="240" w:lineRule="auto"/>
              <w:cnfStyle w:val="000000010000"/>
              <w:rPr>
                <w:rFonts w:ascii="Arial" w:hAnsi="Arial" w:cs="Arial"/>
                <w:sz w:val="16"/>
                <w:szCs w:val="16"/>
              </w:rPr>
            </w:pPr>
          </w:p>
        </w:tc>
        <w:tc>
          <w:tcPr>
            <w:tcW w:w="1401" w:type="dxa"/>
            <w:shd w:val="clear" w:color="auto" w:fill="FDEED1" w:themeFill="background2" w:themeFillTint="33"/>
            <w:tcMar>
              <w:top w:w="43" w:type="dxa"/>
              <w:left w:w="58" w:type="dxa"/>
              <w:bottom w:w="43" w:type="dxa"/>
              <w:right w:w="58" w:type="dxa"/>
            </w:tcMar>
            <w:hideMark/>
          </w:tcPr>
          <w:p w:rsidR="00BA5816" w:rsidRPr="008772AA" w:rsidRDefault="00BA5816" w:rsidP="00564A22">
            <w:pPr>
              <w:keepNext/>
              <w:suppressLineNumbers/>
              <w:suppressAutoHyphens/>
              <w:spacing w:after="0" w:line="240" w:lineRule="auto"/>
              <w:cnfStyle w:val="000000010000"/>
              <w:rPr>
                <w:rFonts w:ascii="Arial" w:hAnsi="Arial" w:cs="Arial"/>
                <w:sz w:val="16"/>
                <w:szCs w:val="16"/>
              </w:rPr>
            </w:pPr>
          </w:p>
        </w:tc>
        <w:tc>
          <w:tcPr>
            <w:tcW w:w="1199" w:type="dxa"/>
            <w:shd w:val="clear" w:color="auto" w:fill="FDEED1" w:themeFill="background2" w:themeFillTint="33"/>
            <w:tcMar>
              <w:top w:w="43" w:type="dxa"/>
              <w:left w:w="58" w:type="dxa"/>
              <w:bottom w:w="43" w:type="dxa"/>
              <w:right w:w="58" w:type="dxa"/>
            </w:tcMar>
            <w:hideMark/>
          </w:tcPr>
          <w:p w:rsidR="00BA5816" w:rsidRPr="008772AA" w:rsidRDefault="00463209" w:rsidP="00564A22">
            <w:pPr>
              <w:keepNext/>
              <w:suppressLineNumbers/>
              <w:suppressAutoHyphens/>
              <w:spacing w:after="0" w:line="240" w:lineRule="auto"/>
              <w:cnfStyle w:val="000000010000"/>
              <w:rPr>
                <w:rFonts w:ascii="Arial" w:hAnsi="Arial" w:cs="Arial"/>
                <w:sz w:val="16"/>
                <w:szCs w:val="16"/>
              </w:rPr>
            </w:pPr>
            <w:r>
              <w:rPr>
                <w:rFonts w:ascii="Arial" w:hAnsi="Arial" w:cs="Arial"/>
                <w:sz w:val="16"/>
                <w:szCs w:val="16"/>
              </w:rPr>
              <w:t>3</w:t>
            </w:r>
            <w:r w:rsidRPr="008772AA">
              <w:rPr>
                <w:rFonts w:ascii="Arial" w:hAnsi="Arial" w:cs="Arial"/>
                <w:sz w:val="16"/>
                <w:szCs w:val="16"/>
              </w:rPr>
              <w:t xml:space="preserve">0% </w:t>
            </w:r>
            <w:r>
              <w:rPr>
                <w:rFonts w:ascii="Arial" w:hAnsi="Arial" w:cs="Arial"/>
                <w:sz w:val="16"/>
                <w:szCs w:val="16"/>
              </w:rPr>
              <w:t>electric energy savings by 2020</w:t>
            </w:r>
          </w:p>
        </w:tc>
      </w:tr>
      <w:tr w:rsidR="00194F11" w:rsidRPr="008772AA" w:rsidTr="008D39A1">
        <w:trPr>
          <w:cnfStyle w:val="000000100000"/>
        </w:trPr>
        <w:tc>
          <w:tcPr>
            <w:cnfStyle w:val="001000000000"/>
            <w:tcW w:w="2076"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 xml:space="preserve">Annual MWh </w:t>
            </w:r>
            <w:r w:rsidR="00194F11" w:rsidRPr="008772AA">
              <w:rPr>
                <w:rFonts w:ascii="Arial" w:hAnsi="Arial" w:cs="Arial"/>
                <w:sz w:val="16"/>
                <w:szCs w:val="16"/>
              </w:rPr>
              <w:t>s</w:t>
            </w:r>
            <w:r w:rsidRPr="008772AA">
              <w:rPr>
                <w:rFonts w:ascii="Arial" w:hAnsi="Arial" w:cs="Arial"/>
                <w:sz w:val="16"/>
                <w:szCs w:val="16"/>
              </w:rPr>
              <w:t>aved</w:t>
            </w:r>
          </w:p>
        </w:tc>
        <w:tc>
          <w:tcPr>
            <w:tcW w:w="1358"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237,000 (2009)</w:t>
            </w:r>
          </w:p>
        </w:tc>
        <w:tc>
          <w:tcPr>
            <w:tcW w:w="1540" w:type="dxa"/>
            <w:noWrap/>
            <w:tcMar>
              <w:top w:w="43" w:type="dxa"/>
              <w:left w:w="58" w:type="dxa"/>
              <w:bottom w:w="43" w:type="dxa"/>
              <w:right w:w="58" w:type="dxa"/>
            </w:tcMar>
            <w:hideMark/>
          </w:tcPr>
          <w:p w:rsidR="001B3090" w:rsidRDefault="00987991">
            <w:pPr>
              <w:keepNext/>
              <w:suppressLineNumbers/>
              <w:suppressAutoHyphens/>
              <w:spacing w:after="0" w:line="240" w:lineRule="auto"/>
              <w:cnfStyle w:val="000000100000"/>
              <w:rPr>
                <w:rFonts w:ascii="Arial" w:eastAsia="Arial" w:hAnsi="Arial" w:cs="Arial"/>
                <w:sz w:val="16"/>
                <w:szCs w:val="16"/>
              </w:rPr>
            </w:pPr>
            <w:r w:rsidRPr="00987991">
              <w:rPr>
                <w:rFonts w:ascii="Arial" w:hAnsi="Arial" w:cs="Arial"/>
                <w:sz w:val="16"/>
                <w:szCs w:val="16"/>
              </w:rPr>
              <w:t>2,625,083</w:t>
            </w:r>
            <w:r w:rsidRPr="00987991">
              <w:rPr>
                <w:rFonts w:ascii="Arial" w:hAnsi="Arial" w:cs="Arial"/>
                <w:sz w:val="16"/>
                <w:szCs w:val="16"/>
              </w:rPr>
              <w:br/>
              <w:t>(2010–2012)</w:t>
            </w:r>
          </w:p>
        </w:tc>
        <w:tc>
          <w:tcPr>
            <w:tcW w:w="1394" w:type="dxa"/>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xml:space="preserve">79,331 (NGrid </w:t>
            </w:r>
            <w:r w:rsidR="00463209">
              <w:rPr>
                <w:rFonts w:ascii="Arial" w:hAnsi="Arial" w:cs="Arial"/>
                <w:sz w:val="16"/>
                <w:szCs w:val="16"/>
              </w:rPr>
              <w:t xml:space="preserve">estimate </w:t>
            </w:r>
            <w:r w:rsidRPr="008772AA">
              <w:rPr>
                <w:rFonts w:ascii="Arial" w:hAnsi="Arial" w:cs="Arial"/>
                <w:sz w:val="16"/>
                <w:szCs w:val="16"/>
              </w:rPr>
              <w:t xml:space="preserve">2009) </w:t>
            </w:r>
          </w:p>
        </w:tc>
        <w:tc>
          <w:tcPr>
            <w:tcW w:w="1396" w:type="dxa"/>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360,000</w:t>
            </w:r>
            <w:r w:rsidR="00194F11" w:rsidRPr="008772AA">
              <w:rPr>
                <w:rFonts w:ascii="Arial" w:hAnsi="Arial" w:cs="Arial"/>
                <w:sz w:val="16"/>
                <w:szCs w:val="16"/>
              </w:rPr>
              <w:br/>
            </w:r>
            <w:r w:rsidRPr="008772AA">
              <w:rPr>
                <w:rFonts w:ascii="Arial" w:hAnsi="Arial" w:cs="Arial"/>
                <w:sz w:val="16"/>
                <w:szCs w:val="16"/>
              </w:rPr>
              <w:t>(av</w:t>
            </w:r>
            <w:r w:rsidR="00194F11" w:rsidRPr="008772AA">
              <w:rPr>
                <w:rFonts w:ascii="Arial" w:hAnsi="Arial" w:cs="Arial"/>
                <w:sz w:val="16"/>
                <w:szCs w:val="16"/>
              </w:rPr>
              <w:t>g</w:t>
            </w:r>
            <w:r w:rsidRPr="008772AA">
              <w:rPr>
                <w:rFonts w:ascii="Arial" w:hAnsi="Arial" w:cs="Arial"/>
                <w:sz w:val="16"/>
                <w:szCs w:val="16"/>
              </w:rPr>
              <w:t>. 2009</w:t>
            </w:r>
            <w:r w:rsidR="00194F11" w:rsidRPr="008772AA">
              <w:rPr>
                <w:rFonts w:ascii="Arial" w:hAnsi="Arial" w:cs="Arial"/>
                <w:sz w:val="16"/>
                <w:szCs w:val="16"/>
              </w:rPr>
              <w:t>–</w:t>
            </w:r>
            <w:r w:rsidRPr="008772AA">
              <w:rPr>
                <w:rFonts w:ascii="Arial" w:hAnsi="Arial" w:cs="Arial"/>
                <w:sz w:val="16"/>
                <w:szCs w:val="16"/>
              </w:rPr>
              <w:t>2011)</w:t>
            </w:r>
            <w:r w:rsidR="0076739E">
              <w:rPr>
                <w:rFonts w:ascii="Arial" w:hAnsi="Arial" w:cs="Arial"/>
                <w:sz w:val="16"/>
                <w:szCs w:val="16"/>
              </w:rPr>
              <w:t xml:space="preserve"> </w:t>
            </w:r>
            <w:r w:rsidRPr="008772AA">
              <w:rPr>
                <w:rFonts w:ascii="Arial" w:hAnsi="Arial" w:cs="Arial"/>
                <w:sz w:val="16"/>
                <w:szCs w:val="16"/>
              </w:rPr>
              <w:t xml:space="preserve">     </w:t>
            </w:r>
          </w:p>
        </w:tc>
        <w:tc>
          <w:tcPr>
            <w:tcW w:w="1401"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78,537 (2007)</w:t>
            </w:r>
          </w:p>
        </w:tc>
        <w:tc>
          <w:tcPr>
            <w:tcW w:w="1199" w:type="dxa"/>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107,517 (2008)</w:t>
            </w:r>
          </w:p>
        </w:tc>
      </w:tr>
      <w:tr w:rsidR="00463209" w:rsidRPr="008772AA" w:rsidTr="008D39A1">
        <w:trPr>
          <w:cnfStyle w:val="000000010000"/>
        </w:trPr>
        <w:tc>
          <w:tcPr>
            <w:cnfStyle w:val="001000000000"/>
            <w:tcW w:w="2076" w:type="dxa"/>
            <w:shd w:val="clear" w:color="auto" w:fill="FDEED1" w:themeFill="background2" w:themeFillTint="33"/>
            <w:noWrap/>
            <w:tcMar>
              <w:top w:w="43" w:type="dxa"/>
              <w:left w:w="58" w:type="dxa"/>
              <w:bottom w:w="43" w:type="dxa"/>
              <w:right w:w="58" w:type="dxa"/>
            </w:tcMar>
            <w:hideMark/>
          </w:tcPr>
          <w:p w:rsidR="00463209" w:rsidRPr="008772AA" w:rsidRDefault="00463209" w:rsidP="008D39A1">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Peak MW reduction</w:t>
            </w:r>
            <w:r w:rsidR="008D39A1">
              <w:rPr>
                <w:rFonts w:ascii="Arial" w:hAnsi="Arial" w:cs="Arial"/>
                <w:sz w:val="16"/>
                <w:szCs w:val="16"/>
              </w:rPr>
              <w:br/>
            </w:r>
            <w:r w:rsidRPr="008772AA">
              <w:rPr>
                <w:rFonts w:ascii="Arial" w:hAnsi="Arial" w:cs="Arial"/>
                <w:sz w:val="16"/>
                <w:szCs w:val="16"/>
              </w:rPr>
              <w:t>(</w:t>
            </w:r>
            <w:r>
              <w:rPr>
                <w:rFonts w:ascii="Arial" w:hAnsi="Arial" w:cs="Arial"/>
                <w:sz w:val="16"/>
                <w:szCs w:val="16"/>
              </w:rPr>
              <w:t>s</w:t>
            </w:r>
            <w:r w:rsidRPr="008772AA">
              <w:rPr>
                <w:rFonts w:ascii="Arial" w:hAnsi="Arial" w:cs="Arial"/>
                <w:sz w:val="16"/>
                <w:szCs w:val="16"/>
              </w:rPr>
              <w:t>um)</w:t>
            </w:r>
          </w:p>
        </w:tc>
        <w:tc>
          <w:tcPr>
            <w:tcW w:w="1358" w:type="dxa"/>
            <w:shd w:val="clear" w:color="auto" w:fill="FDEED1" w:themeFill="background2" w:themeFillTint="33"/>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37</w:t>
            </w:r>
            <w:r>
              <w:rPr>
                <w:rFonts w:ascii="Arial" w:hAnsi="Arial" w:cs="Arial"/>
                <w:sz w:val="16"/>
                <w:szCs w:val="16"/>
              </w:rPr>
              <w:br/>
            </w:r>
            <w:r w:rsidRPr="008772AA">
              <w:rPr>
                <w:rFonts w:ascii="Arial" w:hAnsi="Arial" w:cs="Arial"/>
                <w:sz w:val="16"/>
                <w:szCs w:val="16"/>
              </w:rPr>
              <w:t>(2009</w:t>
            </w:r>
            <w:r w:rsidR="003A0BED">
              <w:rPr>
                <w:rFonts w:ascii="Arial" w:hAnsi="Arial" w:cs="Arial"/>
                <w:sz w:val="16"/>
                <w:szCs w:val="16"/>
              </w:rPr>
              <w:t>,</w:t>
            </w:r>
            <w:r w:rsidRPr="008772AA">
              <w:rPr>
                <w:rFonts w:ascii="Arial" w:hAnsi="Arial" w:cs="Arial"/>
                <w:sz w:val="16"/>
                <w:szCs w:val="16"/>
              </w:rPr>
              <w:t xml:space="preserve"> excludes</w:t>
            </w:r>
            <w:r w:rsidRPr="008772AA">
              <w:rPr>
                <w:rFonts w:ascii="Arial" w:hAnsi="Arial" w:cs="Arial"/>
                <w:sz w:val="16"/>
                <w:szCs w:val="16"/>
              </w:rPr>
              <w:br/>
              <w:t xml:space="preserve">FCM </w:t>
            </w:r>
            <w:r w:rsidR="003426F4">
              <w:rPr>
                <w:rFonts w:ascii="Arial" w:hAnsi="Arial" w:cs="Arial"/>
                <w:sz w:val="16"/>
                <w:szCs w:val="16"/>
              </w:rPr>
              <w:t>demand resources</w:t>
            </w:r>
            <w:r w:rsidRPr="008772AA">
              <w:rPr>
                <w:rFonts w:ascii="Arial" w:hAnsi="Arial" w:cs="Arial"/>
                <w:sz w:val="16"/>
                <w:szCs w:val="16"/>
              </w:rPr>
              <w:t xml:space="preserve">) </w:t>
            </w:r>
          </w:p>
        </w:tc>
        <w:tc>
          <w:tcPr>
            <w:tcW w:w="1540" w:type="dxa"/>
            <w:shd w:val="clear" w:color="auto" w:fill="FDEED1" w:themeFill="background2" w:themeFillTint="33"/>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010000"/>
              <w:rPr>
                <w:rFonts w:ascii="Arial" w:hAnsi="Arial" w:cs="Arial"/>
                <w:sz w:val="16"/>
                <w:szCs w:val="16"/>
              </w:rPr>
            </w:pPr>
            <w:r w:rsidRPr="00987991">
              <w:rPr>
                <w:rFonts w:ascii="Arial" w:hAnsi="Arial" w:cs="Arial"/>
                <w:sz w:val="16"/>
                <w:szCs w:val="16"/>
              </w:rPr>
              <w:t> </w:t>
            </w:r>
          </w:p>
        </w:tc>
        <w:tc>
          <w:tcPr>
            <w:tcW w:w="1394" w:type="dxa"/>
            <w:shd w:val="clear" w:color="auto" w:fill="FDEED1" w:themeFill="background2" w:themeFillTint="33"/>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xml:space="preserve">12.5 (NGrid </w:t>
            </w:r>
            <w:r w:rsidR="003426F4">
              <w:rPr>
                <w:rFonts w:ascii="Arial" w:hAnsi="Arial" w:cs="Arial"/>
                <w:sz w:val="16"/>
                <w:szCs w:val="16"/>
              </w:rPr>
              <w:t>p</w:t>
            </w:r>
            <w:r w:rsidRPr="008772AA">
              <w:rPr>
                <w:rFonts w:ascii="Arial" w:hAnsi="Arial" w:cs="Arial"/>
                <w:sz w:val="16"/>
                <w:szCs w:val="16"/>
              </w:rPr>
              <w:t>lanned</w:t>
            </w:r>
            <w:r w:rsidR="003A0BED">
              <w:rPr>
                <w:rFonts w:ascii="Arial" w:hAnsi="Arial" w:cs="Arial"/>
                <w:sz w:val="16"/>
                <w:szCs w:val="16"/>
              </w:rPr>
              <w:t>,</w:t>
            </w:r>
            <w:r w:rsidRPr="008772AA">
              <w:rPr>
                <w:rFonts w:ascii="Arial" w:hAnsi="Arial" w:cs="Arial"/>
                <w:sz w:val="16"/>
                <w:szCs w:val="16"/>
              </w:rPr>
              <w:t xml:space="preserve"> 2009) </w:t>
            </w:r>
          </w:p>
        </w:tc>
        <w:tc>
          <w:tcPr>
            <w:tcW w:w="1396"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50</w:t>
            </w:r>
          </w:p>
        </w:tc>
        <w:tc>
          <w:tcPr>
            <w:tcW w:w="1401"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199"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25</w:t>
            </w:r>
          </w:p>
        </w:tc>
      </w:tr>
      <w:tr w:rsidR="00463209" w:rsidRPr="008772AA" w:rsidTr="008D39A1">
        <w:trPr>
          <w:cnfStyle w:val="000000100000"/>
        </w:trPr>
        <w:tc>
          <w:tcPr>
            <w:cnfStyle w:val="001000000000"/>
            <w:tcW w:w="2076"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Annual costs</w:t>
            </w:r>
            <w:r>
              <w:rPr>
                <w:rFonts w:ascii="Arial" w:hAnsi="Arial" w:cs="Arial"/>
                <w:sz w:val="16"/>
                <w:szCs w:val="16"/>
              </w:rPr>
              <w:br/>
            </w:r>
            <w:r w:rsidRPr="008772AA">
              <w:rPr>
                <w:rFonts w:ascii="Arial" w:hAnsi="Arial" w:cs="Arial"/>
                <w:sz w:val="16"/>
                <w:szCs w:val="16"/>
              </w:rPr>
              <w:t>($ million)</w:t>
            </w:r>
          </w:p>
        </w:tc>
        <w:tc>
          <w:tcPr>
            <w:tcW w:w="1358"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73.4 (2009)</w:t>
            </w:r>
          </w:p>
        </w:tc>
        <w:tc>
          <w:tcPr>
            <w:tcW w:w="1540" w:type="dxa"/>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100000"/>
              <w:rPr>
                <w:rFonts w:ascii="Arial" w:hAnsi="Arial" w:cs="Arial"/>
                <w:sz w:val="16"/>
                <w:szCs w:val="16"/>
              </w:rPr>
            </w:pPr>
            <w:r w:rsidRPr="00987991">
              <w:rPr>
                <w:rFonts w:ascii="Arial" w:hAnsi="Arial" w:cs="Arial"/>
                <w:sz w:val="16"/>
                <w:szCs w:val="16"/>
              </w:rPr>
              <w:t> </w:t>
            </w:r>
          </w:p>
        </w:tc>
        <w:tc>
          <w:tcPr>
            <w:tcW w:w="1394" w:type="dxa"/>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32.7</w:t>
            </w:r>
            <w:r>
              <w:rPr>
                <w:rFonts w:ascii="Arial" w:hAnsi="Arial" w:cs="Arial"/>
                <w:sz w:val="16"/>
                <w:szCs w:val="16"/>
              </w:rPr>
              <w:br/>
            </w:r>
            <w:r w:rsidRPr="008772AA">
              <w:rPr>
                <w:rFonts w:ascii="Arial" w:hAnsi="Arial" w:cs="Arial"/>
                <w:sz w:val="16"/>
                <w:szCs w:val="16"/>
              </w:rPr>
              <w:t>(</w:t>
            </w:r>
            <w:r w:rsidR="003426F4">
              <w:rPr>
                <w:rFonts w:ascii="Arial" w:hAnsi="Arial" w:cs="Arial"/>
                <w:sz w:val="16"/>
                <w:szCs w:val="16"/>
              </w:rPr>
              <w:t>p</w:t>
            </w:r>
            <w:r w:rsidRPr="008772AA">
              <w:rPr>
                <w:rFonts w:ascii="Arial" w:hAnsi="Arial" w:cs="Arial"/>
                <w:sz w:val="16"/>
                <w:szCs w:val="16"/>
              </w:rPr>
              <w:t>roposed</w:t>
            </w:r>
            <w:r w:rsidR="003A0BED">
              <w:rPr>
                <w:rFonts w:ascii="Arial" w:hAnsi="Arial" w:cs="Arial"/>
                <w:sz w:val="16"/>
                <w:szCs w:val="16"/>
              </w:rPr>
              <w:t>,</w:t>
            </w:r>
            <w:r w:rsidRPr="008772AA">
              <w:rPr>
                <w:rFonts w:ascii="Arial" w:hAnsi="Arial" w:cs="Arial"/>
                <w:sz w:val="16"/>
                <w:szCs w:val="16"/>
              </w:rPr>
              <w:t xml:space="preserve"> 2009)</w:t>
            </w:r>
          </w:p>
        </w:tc>
        <w:tc>
          <w:tcPr>
            <w:tcW w:w="1396"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401"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30.3 (2009)</w:t>
            </w:r>
          </w:p>
        </w:tc>
        <w:tc>
          <w:tcPr>
            <w:tcW w:w="1199"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31.8</w:t>
            </w:r>
          </w:p>
        </w:tc>
      </w:tr>
      <w:tr w:rsidR="00463209" w:rsidRPr="008772AA" w:rsidTr="008D39A1">
        <w:trPr>
          <w:cnfStyle w:val="000000010000"/>
        </w:trPr>
        <w:tc>
          <w:tcPr>
            <w:cnfStyle w:val="001000000000"/>
            <w:tcW w:w="2076" w:type="dxa"/>
            <w:shd w:val="clear" w:color="auto" w:fill="FDEED1" w:themeFill="background2" w:themeFillTint="33"/>
            <w:noWrap/>
            <w:tcMar>
              <w:top w:w="43" w:type="dxa"/>
              <w:left w:w="58" w:type="dxa"/>
              <w:bottom w:w="43" w:type="dxa"/>
              <w:right w:w="58" w:type="dxa"/>
            </w:tcMar>
            <w:hideMark/>
          </w:tcPr>
          <w:p w:rsidR="00463209" w:rsidRPr="00BC36D0" w:rsidRDefault="00463209" w:rsidP="00015282">
            <w:pPr>
              <w:keepNext/>
              <w:suppressLineNumbers/>
              <w:suppressAutoHyphens/>
              <w:spacing w:after="0" w:line="240" w:lineRule="auto"/>
              <w:rPr>
                <w:rFonts w:ascii="Arial" w:hAnsi="Arial" w:cs="Arial"/>
                <w:b w:val="0"/>
                <w:bCs w:val="0"/>
                <w:sz w:val="16"/>
                <w:szCs w:val="16"/>
              </w:rPr>
            </w:pPr>
            <w:r w:rsidRPr="00BC36D0">
              <w:rPr>
                <w:rFonts w:ascii="Arial" w:hAnsi="Arial" w:cs="Arial"/>
                <w:sz w:val="16"/>
                <w:szCs w:val="16"/>
              </w:rPr>
              <w:t>Funding</w:t>
            </w:r>
            <w:r w:rsidR="00340DD2">
              <w:rPr>
                <w:rFonts w:ascii="Arial" w:hAnsi="Arial" w:cs="Arial"/>
                <w:sz w:val="16"/>
                <w:szCs w:val="16"/>
              </w:rPr>
              <w:t xml:space="preserve"> </w:t>
            </w:r>
            <w:r w:rsidR="00015282">
              <w:rPr>
                <w:rFonts w:ascii="Arial" w:hAnsi="Arial" w:cs="Arial"/>
                <w:sz w:val="16"/>
                <w:szCs w:val="16"/>
              </w:rPr>
              <w:t>p</w:t>
            </w:r>
            <w:r w:rsidR="00340DD2">
              <w:rPr>
                <w:rFonts w:ascii="Arial" w:hAnsi="Arial" w:cs="Arial"/>
                <w:sz w:val="16"/>
                <w:szCs w:val="16"/>
              </w:rPr>
              <w:t>eriod</w:t>
            </w:r>
          </w:p>
        </w:tc>
        <w:tc>
          <w:tcPr>
            <w:tcW w:w="1358" w:type="dxa"/>
            <w:shd w:val="clear" w:color="auto" w:fill="FDEED1" w:themeFill="background2" w:themeFillTint="33"/>
            <w:noWrap/>
            <w:tcMar>
              <w:top w:w="43" w:type="dxa"/>
              <w:left w:w="58" w:type="dxa"/>
              <w:bottom w:w="43" w:type="dxa"/>
              <w:right w:w="58" w:type="dxa"/>
            </w:tcMar>
            <w:hideMark/>
          </w:tcPr>
          <w:p w:rsidR="00463209" w:rsidRPr="00BC36D0" w:rsidRDefault="00463209" w:rsidP="00564A22">
            <w:pPr>
              <w:keepNext/>
              <w:suppressLineNumbers/>
              <w:suppressAutoHyphens/>
              <w:spacing w:after="0" w:line="240" w:lineRule="auto"/>
              <w:cnfStyle w:val="000000010000"/>
              <w:rPr>
                <w:rFonts w:ascii="Arial" w:hAnsi="Arial" w:cs="Arial"/>
                <w:sz w:val="16"/>
                <w:szCs w:val="16"/>
              </w:rPr>
            </w:pPr>
            <w:r w:rsidRPr="00BC36D0">
              <w:rPr>
                <w:rFonts w:ascii="Arial" w:hAnsi="Arial" w:cs="Arial"/>
                <w:sz w:val="16"/>
                <w:szCs w:val="16"/>
              </w:rPr>
              <w:t>2009</w:t>
            </w:r>
          </w:p>
        </w:tc>
        <w:tc>
          <w:tcPr>
            <w:tcW w:w="1540" w:type="dxa"/>
            <w:shd w:val="clear" w:color="auto" w:fill="FDEED1" w:themeFill="background2" w:themeFillTint="33"/>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010000"/>
              <w:rPr>
                <w:rFonts w:ascii="Arial" w:hAnsi="Arial" w:cs="Arial"/>
                <w:sz w:val="16"/>
                <w:szCs w:val="16"/>
              </w:rPr>
            </w:pPr>
            <w:r w:rsidRPr="00987991">
              <w:rPr>
                <w:rFonts w:ascii="Arial" w:hAnsi="Arial" w:cs="Arial"/>
                <w:sz w:val="16"/>
                <w:szCs w:val="16"/>
              </w:rPr>
              <w:t>2010–2012</w:t>
            </w:r>
          </w:p>
        </w:tc>
        <w:tc>
          <w:tcPr>
            <w:tcW w:w="1394" w:type="dxa"/>
            <w:shd w:val="clear" w:color="auto" w:fill="FDEED1" w:themeFill="background2" w:themeFillTint="33"/>
            <w:noWrap/>
            <w:tcMar>
              <w:top w:w="43" w:type="dxa"/>
              <w:left w:w="58" w:type="dxa"/>
              <w:bottom w:w="43" w:type="dxa"/>
              <w:right w:w="58" w:type="dxa"/>
            </w:tcMar>
            <w:hideMark/>
          </w:tcPr>
          <w:p w:rsidR="00463209" w:rsidRPr="00BC36D0" w:rsidRDefault="00463209" w:rsidP="00564A22">
            <w:pPr>
              <w:keepNext/>
              <w:suppressLineNumbers/>
              <w:suppressAutoHyphens/>
              <w:spacing w:after="0" w:line="240" w:lineRule="auto"/>
              <w:cnfStyle w:val="000000010000"/>
              <w:rPr>
                <w:rFonts w:ascii="Arial" w:hAnsi="Arial" w:cs="Arial"/>
                <w:sz w:val="16"/>
                <w:szCs w:val="16"/>
              </w:rPr>
            </w:pPr>
            <w:r w:rsidRPr="00BC36D0">
              <w:rPr>
                <w:rFonts w:ascii="Arial" w:hAnsi="Arial" w:cs="Arial"/>
                <w:sz w:val="16"/>
                <w:szCs w:val="16"/>
              </w:rPr>
              <w:t>2009 </w:t>
            </w:r>
          </w:p>
        </w:tc>
        <w:tc>
          <w:tcPr>
            <w:tcW w:w="1396" w:type="dxa"/>
            <w:shd w:val="clear" w:color="auto" w:fill="FDEED1" w:themeFill="background2" w:themeFillTint="33"/>
            <w:noWrap/>
            <w:tcMar>
              <w:top w:w="43" w:type="dxa"/>
              <w:left w:w="58" w:type="dxa"/>
              <w:bottom w:w="43" w:type="dxa"/>
              <w:right w:w="58" w:type="dxa"/>
            </w:tcMar>
            <w:hideMark/>
          </w:tcPr>
          <w:p w:rsidR="00463209" w:rsidRPr="00BC36D0" w:rsidRDefault="00463209" w:rsidP="00564A22">
            <w:pPr>
              <w:keepNext/>
              <w:suppressLineNumbers/>
              <w:suppressAutoHyphens/>
              <w:spacing w:after="0" w:line="240" w:lineRule="auto"/>
              <w:cnfStyle w:val="000000010000"/>
              <w:rPr>
                <w:rFonts w:ascii="Arial" w:hAnsi="Arial" w:cs="Arial"/>
                <w:sz w:val="16"/>
                <w:szCs w:val="16"/>
              </w:rPr>
            </w:pPr>
            <w:r w:rsidRPr="00BC36D0">
              <w:rPr>
                <w:rFonts w:ascii="Arial" w:hAnsi="Arial" w:cs="Arial"/>
                <w:sz w:val="16"/>
                <w:szCs w:val="16"/>
              </w:rPr>
              <w:t>2009 </w:t>
            </w:r>
          </w:p>
        </w:tc>
        <w:tc>
          <w:tcPr>
            <w:tcW w:w="1401" w:type="dxa"/>
            <w:shd w:val="clear" w:color="auto" w:fill="FDEED1" w:themeFill="background2" w:themeFillTint="33"/>
            <w:noWrap/>
            <w:tcMar>
              <w:top w:w="43" w:type="dxa"/>
              <w:left w:w="58" w:type="dxa"/>
              <w:bottom w:w="43" w:type="dxa"/>
              <w:right w:w="58" w:type="dxa"/>
            </w:tcMar>
            <w:hideMark/>
          </w:tcPr>
          <w:p w:rsidR="007063CB" w:rsidRDefault="00463209" w:rsidP="00564A22">
            <w:pPr>
              <w:keepNext/>
              <w:suppressLineNumbers/>
              <w:suppressAutoHyphens/>
              <w:spacing w:after="0" w:line="240" w:lineRule="auto"/>
              <w:cnfStyle w:val="000000010000"/>
              <w:rPr>
                <w:rFonts w:ascii="Arial" w:hAnsi="Arial" w:cs="Arial"/>
                <w:sz w:val="16"/>
                <w:szCs w:val="16"/>
              </w:rPr>
            </w:pPr>
            <w:r w:rsidRPr="00BC36D0">
              <w:rPr>
                <w:rFonts w:ascii="Arial" w:hAnsi="Arial" w:cs="Arial"/>
                <w:sz w:val="16"/>
                <w:szCs w:val="16"/>
              </w:rPr>
              <w:t>201</w:t>
            </w:r>
            <w:r w:rsidR="00015CB2">
              <w:rPr>
                <w:rFonts w:ascii="Arial" w:hAnsi="Arial" w:cs="Arial"/>
                <w:sz w:val="16"/>
                <w:szCs w:val="16"/>
              </w:rPr>
              <w:t>0</w:t>
            </w:r>
          </w:p>
        </w:tc>
        <w:tc>
          <w:tcPr>
            <w:tcW w:w="1199"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BC36D0">
              <w:rPr>
                <w:rFonts w:ascii="Arial" w:hAnsi="Arial" w:cs="Arial"/>
                <w:sz w:val="16"/>
                <w:szCs w:val="16"/>
              </w:rPr>
              <w:t xml:space="preserve"> Proposed </w:t>
            </w:r>
            <w:r w:rsidR="004116BF" w:rsidRPr="00BC36D0">
              <w:rPr>
                <w:rFonts w:ascii="Arial" w:hAnsi="Arial" w:cs="Arial"/>
                <w:sz w:val="16"/>
                <w:szCs w:val="16"/>
              </w:rPr>
              <w:t>2011</w:t>
            </w:r>
            <w:r w:rsidR="00BC36D0" w:rsidRPr="00BC36D0">
              <w:rPr>
                <w:rFonts w:ascii="Arial" w:hAnsi="Arial" w:cs="Arial"/>
                <w:sz w:val="16"/>
                <w:szCs w:val="16"/>
              </w:rPr>
              <w:t>–</w:t>
            </w:r>
            <w:r w:rsidR="004116BF" w:rsidRPr="00BC36D0">
              <w:rPr>
                <w:rFonts w:ascii="Arial" w:hAnsi="Arial" w:cs="Arial"/>
                <w:sz w:val="16"/>
                <w:szCs w:val="16"/>
              </w:rPr>
              <w:t>2013</w:t>
            </w:r>
          </w:p>
        </w:tc>
      </w:tr>
      <w:tr w:rsidR="00463209" w:rsidRPr="008772AA" w:rsidTr="008D39A1">
        <w:trPr>
          <w:cnfStyle w:val="000000100000"/>
        </w:trPr>
        <w:tc>
          <w:tcPr>
            <w:cnfStyle w:val="001000000000"/>
            <w:tcW w:w="2076" w:type="dxa"/>
            <w:noWrap/>
            <w:tcMar>
              <w:top w:w="43" w:type="dxa"/>
              <w:left w:w="58" w:type="dxa"/>
              <w:bottom w:w="43" w:type="dxa"/>
              <w:right w:w="58" w:type="dxa"/>
            </w:tcMar>
            <w:hideMark/>
          </w:tcPr>
          <w:p w:rsidR="003F3D84" w:rsidRDefault="00987991">
            <w:pPr>
              <w:keepNext/>
              <w:suppressLineNumbers/>
              <w:suppressAutoHyphens/>
              <w:spacing w:after="0" w:line="240" w:lineRule="auto"/>
              <w:rPr>
                <w:rFonts w:ascii="Arial" w:hAnsi="Arial" w:cs="Arial"/>
                <w:b w:val="0"/>
                <w:bCs w:val="0"/>
                <w:sz w:val="16"/>
                <w:szCs w:val="16"/>
              </w:rPr>
            </w:pPr>
            <w:r w:rsidRPr="00987991">
              <w:rPr>
                <w:rFonts w:ascii="Arial" w:hAnsi="Arial" w:cs="Arial"/>
                <w:sz w:val="16"/>
                <w:szCs w:val="16"/>
              </w:rPr>
              <w:t xml:space="preserve">SBC </w:t>
            </w:r>
            <w:r w:rsidR="00190FF1">
              <w:rPr>
                <w:rFonts w:ascii="Arial" w:hAnsi="Arial" w:cs="Arial"/>
                <w:sz w:val="16"/>
                <w:szCs w:val="16"/>
              </w:rPr>
              <w:t xml:space="preserve"> rate</w:t>
            </w:r>
            <w:r w:rsidR="00D35D11">
              <w:rPr>
                <w:rFonts w:ascii="Arial" w:hAnsi="Arial" w:cs="Arial"/>
                <w:sz w:val="16"/>
                <w:szCs w:val="16"/>
              </w:rPr>
              <w:t xml:space="preserve"> </w:t>
            </w:r>
            <w:r w:rsidRPr="00987991">
              <w:rPr>
                <w:rFonts w:ascii="Arial" w:hAnsi="Arial" w:cs="Arial"/>
                <w:sz w:val="16"/>
                <w:szCs w:val="16"/>
              </w:rPr>
              <w:t>(mils/kWh)</w:t>
            </w:r>
          </w:p>
        </w:tc>
        <w:tc>
          <w:tcPr>
            <w:tcW w:w="1358"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w:t>
            </w:r>
          </w:p>
        </w:tc>
        <w:tc>
          <w:tcPr>
            <w:tcW w:w="1540" w:type="dxa"/>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100000"/>
              <w:rPr>
                <w:rFonts w:ascii="Arial" w:hAnsi="Arial" w:cs="Arial"/>
                <w:sz w:val="16"/>
                <w:szCs w:val="16"/>
              </w:rPr>
            </w:pPr>
            <w:r w:rsidRPr="00987991">
              <w:rPr>
                <w:rFonts w:ascii="Arial" w:hAnsi="Arial" w:cs="Arial"/>
                <w:sz w:val="16"/>
                <w:szCs w:val="16"/>
              </w:rPr>
              <w:t>2.5</w:t>
            </w:r>
          </w:p>
        </w:tc>
        <w:tc>
          <w:tcPr>
            <w:tcW w:w="1394" w:type="dxa"/>
            <w:noWrap/>
            <w:tcMar>
              <w:top w:w="43" w:type="dxa"/>
              <w:left w:w="58" w:type="dxa"/>
              <w:bottom w:w="43" w:type="dxa"/>
              <w:right w:w="58" w:type="dxa"/>
            </w:tcMar>
            <w:hideMark/>
          </w:tcPr>
          <w:p w:rsidR="001B3090" w:rsidRDefault="00463209">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2</w:t>
            </w:r>
          </w:p>
        </w:tc>
        <w:tc>
          <w:tcPr>
            <w:tcW w:w="1396"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Varies</w:t>
            </w:r>
          </w:p>
        </w:tc>
        <w:tc>
          <w:tcPr>
            <w:tcW w:w="1401"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1.8</w:t>
            </w:r>
          </w:p>
        </w:tc>
        <w:tc>
          <w:tcPr>
            <w:tcW w:w="1199"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1.5</w:t>
            </w:r>
          </w:p>
        </w:tc>
      </w:tr>
      <w:tr w:rsidR="001E265D" w:rsidRPr="008772AA" w:rsidTr="008D39A1">
        <w:trPr>
          <w:cnfStyle w:val="000000010000"/>
          <w:trHeight w:val="267"/>
        </w:trPr>
        <w:tc>
          <w:tcPr>
            <w:cnfStyle w:val="001000000000"/>
            <w:tcW w:w="10364" w:type="dxa"/>
            <w:gridSpan w:val="7"/>
            <w:shd w:val="clear" w:color="auto" w:fill="FDEED1" w:themeFill="background2" w:themeFillTint="33"/>
            <w:noWrap/>
            <w:tcMar>
              <w:top w:w="43" w:type="dxa"/>
              <w:left w:w="58" w:type="dxa"/>
              <w:bottom w:w="43" w:type="dxa"/>
              <w:right w:w="58" w:type="dxa"/>
            </w:tcMar>
            <w:hideMark/>
          </w:tcPr>
          <w:p w:rsidR="001E265D" w:rsidRDefault="001E265D" w:rsidP="001E265D">
            <w:pPr>
              <w:keepNext/>
              <w:suppressLineNumbers/>
              <w:suppressAutoHyphens/>
              <w:spacing w:after="0" w:line="240" w:lineRule="auto"/>
              <w:rPr>
                <w:rFonts w:ascii="Arial" w:hAnsi="Arial" w:cs="Arial"/>
                <w:sz w:val="16"/>
                <w:szCs w:val="16"/>
              </w:rPr>
            </w:pPr>
            <w:r>
              <w:rPr>
                <w:rFonts w:ascii="Arial" w:hAnsi="Arial" w:cs="Arial"/>
                <w:sz w:val="16"/>
                <w:szCs w:val="16"/>
              </w:rPr>
              <w:t xml:space="preserve">Revenue sources </w:t>
            </w:r>
            <w:r w:rsidRPr="00987991">
              <w:rPr>
                <w:rFonts w:ascii="Arial" w:hAnsi="Arial" w:cs="Arial"/>
                <w:sz w:val="16"/>
                <w:szCs w:val="16"/>
              </w:rPr>
              <w:t>($ mil</w:t>
            </w:r>
            <w:r>
              <w:rPr>
                <w:rFonts w:ascii="Arial" w:hAnsi="Arial" w:cs="Arial"/>
                <w:sz w:val="16"/>
                <w:szCs w:val="16"/>
              </w:rPr>
              <w:t>lions</w:t>
            </w:r>
            <w:r w:rsidRPr="00987991">
              <w:rPr>
                <w:rFonts w:ascii="Arial" w:hAnsi="Arial" w:cs="Arial"/>
                <w:sz w:val="16"/>
                <w:szCs w:val="16"/>
              </w:rPr>
              <w:t>)</w:t>
            </w:r>
          </w:p>
        </w:tc>
      </w:tr>
      <w:tr w:rsidR="00463209" w:rsidRPr="008772AA" w:rsidTr="008D39A1">
        <w:trPr>
          <w:cnfStyle w:val="000000100000"/>
        </w:trPr>
        <w:tc>
          <w:tcPr>
            <w:cnfStyle w:val="001000000000"/>
            <w:tcW w:w="2076" w:type="dxa"/>
            <w:noWrap/>
            <w:tcMar>
              <w:top w:w="43" w:type="dxa"/>
              <w:left w:w="58" w:type="dxa"/>
              <w:bottom w:w="43" w:type="dxa"/>
              <w:right w:w="58" w:type="dxa"/>
            </w:tcMar>
            <w:hideMark/>
          </w:tcPr>
          <w:p w:rsidR="003F3D84" w:rsidRDefault="007328EE" w:rsidP="001E265D">
            <w:pPr>
              <w:keepNext/>
              <w:suppressLineNumbers/>
              <w:suppressAutoHyphens/>
              <w:spacing w:after="0" w:line="240" w:lineRule="auto"/>
              <w:rPr>
                <w:rFonts w:ascii="Arial" w:hAnsi="Arial" w:cs="Arial"/>
                <w:b w:val="0"/>
                <w:bCs w:val="0"/>
                <w:sz w:val="16"/>
                <w:szCs w:val="16"/>
              </w:rPr>
            </w:pPr>
            <w:r>
              <w:rPr>
                <w:rFonts w:ascii="Arial" w:hAnsi="Arial" w:cs="Arial"/>
                <w:sz w:val="16"/>
                <w:szCs w:val="16"/>
              </w:rPr>
              <w:t xml:space="preserve">     </w:t>
            </w:r>
            <w:r w:rsidR="00987991" w:rsidRPr="00987991">
              <w:rPr>
                <w:rFonts w:ascii="Arial" w:hAnsi="Arial" w:cs="Arial"/>
                <w:sz w:val="16"/>
                <w:szCs w:val="16"/>
              </w:rPr>
              <w:t xml:space="preserve">SBC </w:t>
            </w:r>
          </w:p>
        </w:tc>
        <w:tc>
          <w:tcPr>
            <w:tcW w:w="1358"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9</w:t>
            </w:r>
            <w:r>
              <w:rPr>
                <w:rFonts w:ascii="Arial" w:hAnsi="Arial" w:cs="Arial"/>
                <w:sz w:val="16"/>
                <w:szCs w:val="16"/>
              </w:rPr>
              <w:t>1</w:t>
            </w:r>
          </w:p>
        </w:tc>
        <w:tc>
          <w:tcPr>
            <w:tcW w:w="1540" w:type="dxa"/>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100000"/>
              <w:rPr>
                <w:rFonts w:ascii="Arial" w:hAnsi="Arial" w:cs="Arial"/>
                <w:sz w:val="16"/>
                <w:szCs w:val="16"/>
              </w:rPr>
            </w:pPr>
            <w:r w:rsidRPr="00987991">
              <w:rPr>
                <w:rFonts w:ascii="Arial" w:hAnsi="Arial" w:cs="Arial"/>
                <w:sz w:val="16"/>
                <w:szCs w:val="16"/>
              </w:rPr>
              <w:t>364</w:t>
            </w:r>
          </w:p>
        </w:tc>
        <w:tc>
          <w:tcPr>
            <w:tcW w:w="1394"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21.8</w:t>
            </w:r>
            <w:r w:rsidRPr="008772AA">
              <w:rPr>
                <w:rFonts w:ascii="Arial" w:hAnsi="Arial" w:cs="Arial"/>
                <w:sz w:val="16"/>
                <w:szCs w:val="16"/>
              </w:rPr>
              <w:t> </w:t>
            </w:r>
          </w:p>
        </w:tc>
        <w:tc>
          <w:tcPr>
            <w:tcW w:w="1396"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Pr>
                <w:rFonts w:ascii="Arial" w:hAnsi="Arial" w:cs="Arial"/>
                <w:sz w:val="16"/>
                <w:szCs w:val="16"/>
              </w:rPr>
              <w:t>22.6</w:t>
            </w:r>
          </w:p>
        </w:tc>
        <w:tc>
          <w:tcPr>
            <w:tcW w:w="1401"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1</w:t>
            </w:r>
            <w:r w:rsidR="00190FF1">
              <w:rPr>
                <w:rFonts w:ascii="Arial" w:hAnsi="Arial" w:cs="Arial"/>
                <w:sz w:val="16"/>
                <w:szCs w:val="16"/>
              </w:rPr>
              <w:t>8.8</w:t>
            </w:r>
          </w:p>
        </w:tc>
        <w:tc>
          <w:tcPr>
            <w:tcW w:w="1199"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60</w:t>
            </w:r>
          </w:p>
        </w:tc>
      </w:tr>
      <w:tr w:rsidR="00463209" w:rsidRPr="008772AA" w:rsidTr="008D39A1">
        <w:trPr>
          <w:cnfStyle w:val="000000010000"/>
        </w:trPr>
        <w:tc>
          <w:tcPr>
            <w:cnfStyle w:val="001000000000"/>
            <w:tcW w:w="2076" w:type="dxa"/>
            <w:shd w:val="clear" w:color="auto" w:fill="auto"/>
            <w:noWrap/>
            <w:tcMar>
              <w:top w:w="43" w:type="dxa"/>
              <w:left w:w="58" w:type="dxa"/>
              <w:bottom w:w="43" w:type="dxa"/>
              <w:right w:w="58" w:type="dxa"/>
            </w:tcMar>
            <w:hideMark/>
          </w:tcPr>
          <w:p w:rsidR="00463209" w:rsidRPr="008772AA" w:rsidRDefault="007328EE" w:rsidP="00564A22">
            <w:pPr>
              <w:keepNext/>
              <w:suppressLineNumbers/>
              <w:suppressAutoHyphens/>
              <w:spacing w:after="0" w:line="240" w:lineRule="auto"/>
              <w:rPr>
                <w:rFonts w:ascii="Arial" w:hAnsi="Arial" w:cs="Arial"/>
                <w:b w:val="0"/>
                <w:bCs w:val="0"/>
                <w:sz w:val="16"/>
                <w:szCs w:val="16"/>
              </w:rPr>
            </w:pPr>
            <w:r>
              <w:rPr>
                <w:rFonts w:ascii="Arial" w:hAnsi="Arial" w:cs="Arial"/>
                <w:sz w:val="16"/>
                <w:szCs w:val="16"/>
              </w:rPr>
              <w:t xml:space="preserve">     </w:t>
            </w:r>
            <w:r w:rsidR="00463209" w:rsidRPr="008772AA">
              <w:rPr>
                <w:rFonts w:ascii="Arial" w:hAnsi="Arial" w:cs="Arial"/>
                <w:sz w:val="16"/>
                <w:szCs w:val="16"/>
              </w:rPr>
              <w:t>RGGI</w:t>
            </w:r>
          </w:p>
        </w:tc>
        <w:tc>
          <w:tcPr>
            <w:tcW w:w="1358"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17</w:t>
            </w:r>
          </w:p>
        </w:tc>
        <w:tc>
          <w:tcPr>
            <w:tcW w:w="1540" w:type="dxa"/>
            <w:shd w:val="clear" w:color="auto" w:fill="auto"/>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010000"/>
              <w:rPr>
                <w:rFonts w:ascii="Arial" w:hAnsi="Arial" w:cs="Arial"/>
                <w:sz w:val="16"/>
                <w:szCs w:val="16"/>
              </w:rPr>
            </w:pPr>
            <w:r w:rsidRPr="00987991">
              <w:rPr>
                <w:rFonts w:ascii="Arial" w:hAnsi="Arial" w:cs="Arial"/>
                <w:sz w:val="16"/>
                <w:szCs w:val="16"/>
              </w:rPr>
              <w:t>145</w:t>
            </w:r>
          </w:p>
        </w:tc>
        <w:tc>
          <w:tcPr>
            <w:tcW w:w="1394"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396"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r>
              <w:rPr>
                <w:rFonts w:ascii="Arial" w:hAnsi="Arial" w:cs="Arial"/>
                <w:sz w:val="16"/>
                <w:szCs w:val="16"/>
              </w:rPr>
              <w:t>2</w:t>
            </w:r>
          </w:p>
        </w:tc>
        <w:tc>
          <w:tcPr>
            <w:tcW w:w="1401" w:type="dxa"/>
            <w:shd w:val="clear" w:color="auto" w:fill="auto"/>
            <w:noWrap/>
            <w:tcMar>
              <w:top w:w="43" w:type="dxa"/>
              <w:left w:w="58" w:type="dxa"/>
              <w:bottom w:w="43" w:type="dxa"/>
              <w:right w:w="58" w:type="dxa"/>
            </w:tcMar>
            <w:hideMark/>
          </w:tcPr>
          <w:p w:rsidR="00463209" w:rsidRPr="008772AA" w:rsidRDefault="00190FF1" w:rsidP="00564A22">
            <w:pPr>
              <w:keepNext/>
              <w:suppressLineNumbers/>
              <w:suppressAutoHyphens/>
              <w:spacing w:after="0" w:line="240" w:lineRule="auto"/>
              <w:cnfStyle w:val="000000010000"/>
              <w:rPr>
                <w:rFonts w:ascii="Arial" w:hAnsi="Arial" w:cs="Arial"/>
                <w:sz w:val="16"/>
                <w:szCs w:val="16"/>
              </w:rPr>
            </w:pPr>
            <w:r>
              <w:rPr>
                <w:rFonts w:ascii="Arial" w:hAnsi="Arial" w:cs="Arial"/>
                <w:sz w:val="16"/>
                <w:szCs w:val="16"/>
              </w:rPr>
              <w:t>7.5</w:t>
            </w:r>
          </w:p>
        </w:tc>
        <w:tc>
          <w:tcPr>
            <w:tcW w:w="1199"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Pr>
                <w:rFonts w:ascii="Arial" w:hAnsi="Arial" w:cs="Arial"/>
                <w:sz w:val="16"/>
                <w:szCs w:val="16"/>
              </w:rPr>
              <w:t>25</w:t>
            </w:r>
          </w:p>
        </w:tc>
      </w:tr>
      <w:tr w:rsidR="00463209" w:rsidRPr="008772AA" w:rsidTr="008D39A1">
        <w:trPr>
          <w:cnfStyle w:val="000000100000"/>
        </w:trPr>
        <w:tc>
          <w:tcPr>
            <w:cnfStyle w:val="001000000000"/>
            <w:tcW w:w="2076" w:type="dxa"/>
            <w:noWrap/>
            <w:tcMar>
              <w:top w:w="43" w:type="dxa"/>
              <w:left w:w="58" w:type="dxa"/>
              <w:bottom w:w="43" w:type="dxa"/>
              <w:right w:w="58" w:type="dxa"/>
            </w:tcMar>
            <w:hideMark/>
          </w:tcPr>
          <w:p w:rsidR="00463209" w:rsidRPr="008772AA" w:rsidRDefault="007328EE" w:rsidP="00564A22">
            <w:pPr>
              <w:keepNext/>
              <w:suppressLineNumbers/>
              <w:suppressAutoHyphens/>
              <w:spacing w:after="0" w:line="240" w:lineRule="auto"/>
              <w:rPr>
                <w:rFonts w:ascii="Arial" w:hAnsi="Arial" w:cs="Arial"/>
                <w:b w:val="0"/>
                <w:bCs w:val="0"/>
                <w:sz w:val="16"/>
                <w:szCs w:val="16"/>
              </w:rPr>
            </w:pPr>
            <w:r>
              <w:rPr>
                <w:rFonts w:ascii="Arial" w:hAnsi="Arial" w:cs="Arial"/>
                <w:sz w:val="16"/>
                <w:szCs w:val="16"/>
              </w:rPr>
              <w:t xml:space="preserve">     </w:t>
            </w:r>
            <w:r w:rsidR="00463209" w:rsidRPr="008772AA">
              <w:rPr>
                <w:rFonts w:ascii="Arial" w:hAnsi="Arial" w:cs="Arial"/>
                <w:sz w:val="16"/>
                <w:szCs w:val="16"/>
              </w:rPr>
              <w:t>FCM</w:t>
            </w:r>
          </w:p>
        </w:tc>
        <w:tc>
          <w:tcPr>
            <w:tcW w:w="1358"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10</w:t>
            </w:r>
          </w:p>
        </w:tc>
        <w:tc>
          <w:tcPr>
            <w:tcW w:w="1540" w:type="dxa"/>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100000"/>
              <w:rPr>
                <w:rFonts w:ascii="Arial" w:hAnsi="Arial" w:cs="Arial"/>
                <w:sz w:val="16"/>
                <w:szCs w:val="16"/>
              </w:rPr>
            </w:pPr>
            <w:r w:rsidRPr="00987991">
              <w:rPr>
                <w:rFonts w:ascii="Arial" w:hAnsi="Arial" w:cs="Arial"/>
                <w:sz w:val="16"/>
                <w:szCs w:val="16"/>
              </w:rPr>
              <w:t>34</w:t>
            </w:r>
          </w:p>
        </w:tc>
        <w:tc>
          <w:tcPr>
            <w:tcW w:w="1394"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Pr>
                <w:rFonts w:ascii="Arial" w:hAnsi="Arial" w:cs="Arial"/>
                <w:sz w:val="16"/>
                <w:szCs w:val="16"/>
              </w:rPr>
              <w:t>1</w:t>
            </w:r>
          </w:p>
        </w:tc>
        <w:tc>
          <w:tcPr>
            <w:tcW w:w="1396"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Pr>
                <w:rFonts w:ascii="Arial" w:hAnsi="Arial" w:cs="Arial"/>
                <w:sz w:val="16"/>
                <w:szCs w:val="16"/>
              </w:rPr>
              <w:t>1.4</w:t>
            </w:r>
          </w:p>
        </w:tc>
        <w:tc>
          <w:tcPr>
            <w:tcW w:w="1401"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1.5</w:t>
            </w:r>
          </w:p>
        </w:tc>
        <w:tc>
          <w:tcPr>
            <w:tcW w:w="1199" w:type="dxa"/>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Pr>
                <w:rFonts w:ascii="Arial" w:hAnsi="Arial" w:cs="Arial"/>
                <w:sz w:val="16"/>
                <w:szCs w:val="16"/>
              </w:rPr>
              <w:t>6</w:t>
            </w:r>
          </w:p>
        </w:tc>
      </w:tr>
      <w:tr w:rsidR="00463209" w:rsidRPr="008772AA" w:rsidTr="008D39A1">
        <w:trPr>
          <w:cnfStyle w:val="000000010000"/>
        </w:trPr>
        <w:tc>
          <w:tcPr>
            <w:cnfStyle w:val="001000000000"/>
            <w:tcW w:w="2076" w:type="dxa"/>
            <w:shd w:val="clear" w:color="auto" w:fill="auto"/>
            <w:noWrap/>
            <w:tcMar>
              <w:top w:w="43" w:type="dxa"/>
              <w:left w:w="58" w:type="dxa"/>
              <w:bottom w:w="43" w:type="dxa"/>
              <w:right w:w="58" w:type="dxa"/>
            </w:tcMar>
            <w:hideMark/>
          </w:tcPr>
          <w:p w:rsidR="00463209" w:rsidRPr="008772AA" w:rsidRDefault="007328EE" w:rsidP="00564A22">
            <w:pPr>
              <w:keepNext/>
              <w:suppressLineNumbers/>
              <w:suppressAutoHyphens/>
              <w:spacing w:after="0" w:line="240" w:lineRule="auto"/>
              <w:rPr>
                <w:rFonts w:ascii="Arial" w:hAnsi="Arial" w:cs="Arial"/>
                <w:b w:val="0"/>
                <w:bCs w:val="0"/>
                <w:sz w:val="16"/>
                <w:szCs w:val="16"/>
              </w:rPr>
            </w:pPr>
            <w:r>
              <w:rPr>
                <w:rFonts w:ascii="Arial" w:hAnsi="Arial" w:cs="Arial"/>
                <w:sz w:val="16"/>
                <w:szCs w:val="16"/>
              </w:rPr>
              <w:t xml:space="preserve">     </w:t>
            </w:r>
            <w:r w:rsidR="00463209" w:rsidRPr="008772AA">
              <w:rPr>
                <w:rFonts w:ascii="Arial" w:hAnsi="Arial" w:cs="Arial"/>
                <w:sz w:val="16"/>
                <w:szCs w:val="16"/>
              </w:rPr>
              <w:t>Other</w:t>
            </w:r>
          </w:p>
        </w:tc>
        <w:tc>
          <w:tcPr>
            <w:tcW w:w="1358"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1</w:t>
            </w:r>
            <w:r>
              <w:rPr>
                <w:rFonts w:ascii="Arial" w:hAnsi="Arial" w:cs="Arial"/>
                <w:sz w:val="16"/>
                <w:szCs w:val="16"/>
              </w:rPr>
              <w:t>4</w:t>
            </w:r>
          </w:p>
        </w:tc>
        <w:tc>
          <w:tcPr>
            <w:tcW w:w="1540" w:type="dxa"/>
            <w:shd w:val="clear" w:color="auto" w:fill="auto"/>
            <w:noWrap/>
            <w:tcMar>
              <w:top w:w="43" w:type="dxa"/>
              <w:left w:w="58" w:type="dxa"/>
              <w:bottom w:w="43" w:type="dxa"/>
              <w:right w:w="58" w:type="dxa"/>
            </w:tcMar>
            <w:hideMark/>
          </w:tcPr>
          <w:p w:rsidR="00463209" w:rsidRPr="003C3DB2" w:rsidRDefault="00987991" w:rsidP="00564A22">
            <w:pPr>
              <w:keepNext/>
              <w:suppressLineNumbers/>
              <w:suppressAutoHyphens/>
              <w:spacing w:after="0" w:line="240" w:lineRule="auto"/>
              <w:cnfStyle w:val="000000010000"/>
              <w:rPr>
                <w:rFonts w:ascii="Arial" w:hAnsi="Arial" w:cs="Arial"/>
                <w:sz w:val="16"/>
                <w:szCs w:val="16"/>
              </w:rPr>
            </w:pPr>
            <w:r w:rsidRPr="00987991">
              <w:rPr>
                <w:rFonts w:ascii="Arial" w:hAnsi="Arial" w:cs="Arial"/>
                <w:sz w:val="16"/>
                <w:szCs w:val="16"/>
              </w:rPr>
              <w:t> 800</w:t>
            </w:r>
          </w:p>
        </w:tc>
        <w:tc>
          <w:tcPr>
            <w:tcW w:w="1394"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396"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401"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199" w:type="dxa"/>
            <w:shd w:val="clear" w:color="auto" w:fill="auto"/>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r>
              <w:rPr>
                <w:rFonts w:ascii="Arial" w:hAnsi="Arial" w:cs="Arial"/>
                <w:sz w:val="16"/>
                <w:szCs w:val="16"/>
              </w:rPr>
              <w:t>65</w:t>
            </w:r>
          </w:p>
        </w:tc>
      </w:tr>
      <w:tr w:rsidR="007328EE" w:rsidRPr="008772AA" w:rsidTr="008D39A1">
        <w:trPr>
          <w:cnfStyle w:val="000000100000"/>
        </w:trPr>
        <w:tc>
          <w:tcPr>
            <w:cnfStyle w:val="001000000000"/>
            <w:tcW w:w="2076" w:type="dxa"/>
            <w:shd w:val="clear" w:color="auto" w:fill="FDEED1" w:themeFill="background2" w:themeFillTint="33"/>
            <w:noWrap/>
            <w:tcMar>
              <w:top w:w="43" w:type="dxa"/>
              <w:left w:w="58" w:type="dxa"/>
              <w:bottom w:w="43" w:type="dxa"/>
              <w:right w:w="58" w:type="dxa"/>
            </w:tcMar>
            <w:hideMark/>
          </w:tcPr>
          <w:p w:rsidR="007328EE" w:rsidRPr="008772AA" w:rsidRDefault="007328EE" w:rsidP="007A4D5D">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 xml:space="preserve">Total </w:t>
            </w:r>
            <w:r>
              <w:rPr>
                <w:rFonts w:ascii="Arial" w:hAnsi="Arial" w:cs="Arial"/>
                <w:sz w:val="16"/>
                <w:szCs w:val="16"/>
              </w:rPr>
              <w:t xml:space="preserve"> revenue</w:t>
            </w:r>
          </w:p>
        </w:tc>
        <w:tc>
          <w:tcPr>
            <w:tcW w:w="1358" w:type="dxa"/>
            <w:shd w:val="clear" w:color="auto" w:fill="FDEED1" w:themeFill="background2" w:themeFillTint="33"/>
            <w:noWrap/>
            <w:tcMar>
              <w:top w:w="43" w:type="dxa"/>
              <w:left w:w="58" w:type="dxa"/>
              <w:bottom w:w="43" w:type="dxa"/>
              <w:right w:w="58" w:type="dxa"/>
            </w:tcMar>
            <w:hideMark/>
          </w:tcPr>
          <w:p w:rsidR="007328EE" w:rsidRDefault="007328EE" w:rsidP="007A4D5D">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132</w:t>
            </w:r>
          </w:p>
        </w:tc>
        <w:tc>
          <w:tcPr>
            <w:tcW w:w="1540" w:type="dxa"/>
            <w:shd w:val="clear" w:color="auto" w:fill="FDEED1" w:themeFill="background2" w:themeFillTint="33"/>
            <w:noWrap/>
            <w:tcMar>
              <w:top w:w="43" w:type="dxa"/>
              <w:left w:w="58" w:type="dxa"/>
              <w:bottom w:w="43" w:type="dxa"/>
              <w:right w:w="58" w:type="dxa"/>
            </w:tcMar>
            <w:hideMark/>
          </w:tcPr>
          <w:p w:rsidR="007328EE" w:rsidRDefault="007328EE" w:rsidP="007A4D5D">
            <w:pPr>
              <w:keepNext/>
              <w:suppressLineNumbers/>
              <w:suppressAutoHyphens/>
              <w:spacing w:after="0" w:line="240" w:lineRule="auto"/>
              <w:cnfStyle w:val="000000100000"/>
              <w:rPr>
                <w:rFonts w:ascii="Arial" w:hAnsi="Arial" w:cs="Arial"/>
                <w:sz w:val="16"/>
                <w:szCs w:val="16"/>
              </w:rPr>
            </w:pPr>
            <w:r w:rsidRPr="003542D8">
              <w:rPr>
                <w:rFonts w:ascii="Arial" w:hAnsi="Arial" w:cs="Arial"/>
                <w:sz w:val="16"/>
                <w:szCs w:val="16"/>
              </w:rPr>
              <w:t>1</w:t>
            </w:r>
            <w:r>
              <w:rPr>
                <w:rFonts w:ascii="Arial" w:hAnsi="Arial" w:cs="Arial"/>
                <w:sz w:val="16"/>
                <w:szCs w:val="16"/>
              </w:rPr>
              <w:t>,300</w:t>
            </w:r>
          </w:p>
        </w:tc>
        <w:tc>
          <w:tcPr>
            <w:tcW w:w="1394" w:type="dxa"/>
            <w:shd w:val="clear" w:color="auto" w:fill="FDEED1" w:themeFill="background2" w:themeFillTint="33"/>
            <w:noWrap/>
            <w:tcMar>
              <w:top w:w="43" w:type="dxa"/>
              <w:left w:w="58" w:type="dxa"/>
              <w:bottom w:w="43" w:type="dxa"/>
              <w:right w:w="58" w:type="dxa"/>
            </w:tcMar>
            <w:hideMark/>
          </w:tcPr>
          <w:p w:rsidR="007328EE" w:rsidRPr="008772AA" w:rsidRDefault="007328EE" w:rsidP="007A4D5D">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22.8</w:t>
            </w:r>
          </w:p>
        </w:tc>
        <w:tc>
          <w:tcPr>
            <w:tcW w:w="1396" w:type="dxa"/>
            <w:shd w:val="clear" w:color="auto" w:fill="FDEED1" w:themeFill="background2" w:themeFillTint="33"/>
            <w:noWrap/>
            <w:tcMar>
              <w:top w:w="43" w:type="dxa"/>
              <w:left w:w="58" w:type="dxa"/>
              <w:bottom w:w="43" w:type="dxa"/>
              <w:right w:w="58" w:type="dxa"/>
            </w:tcMar>
            <w:hideMark/>
          </w:tcPr>
          <w:p w:rsidR="007328EE" w:rsidRPr="008772AA" w:rsidRDefault="007328EE" w:rsidP="007A4D5D">
            <w:pPr>
              <w:keepNext/>
              <w:suppressLineNumbers/>
              <w:suppressAutoHyphens/>
              <w:spacing w:after="0" w:line="240" w:lineRule="auto"/>
              <w:cnfStyle w:val="000000100000"/>
              <w:rPr>
                <w:rFonts w:ascii="Arial" w:hAnsi="Arial" w:cs="Arial"/>
                <w:sz w:val="16"/>
                <w:szCs w:val="16"/>
              </w:rPr>
            </w:pPr>
            <w:r>
              <w:rPr>
                <w:rFonts w:ascii="Arial" w:hAnsi="Arial" w:cs="Arial"/>
                <w:sz w:val="16"/>
                <w:szCs w:val="16"/>
              </w:rPr>
              <w:t>26</w:t>
            </w:r>
          </w:p>
        </w:tc>
        <w:tc>
          <w:tcPr>
            <w:tcW w:w="1401" w:type="dxa"/>
            <w:shd w:val="clear" w:color="auto" w:fill="FDEED1" w:themeFill="background2" w:themeFillTint="33"/>
            <w:noWrap/>
            <w:tcMar>
              <w:top w:w="43" w:type="dxa"/>
              <w:left w:w="58" w:type="dxa"/>
              <w:bottom w:w="43" w:type="dxa"/>
              <w:right w:w="58" w:type="dxa"/>
            </w:tcMar>
            <w:hideMark/>
          </w:tcPr>
          <w:p w:rsidR="007328EE" w:rsidRPr="008772AA" w:rsidRDefault="007328EE" w:rsidP="007A4D5D">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2</w:t>
            </w:r>
            <w:r>
              <w:rPr>
                <w:rFonts w:ascii="Arial" w:hAnsi="Arial" w:cs="Arial"/>
                <w:sz w:val="16"/>
                <w:szCs w:val="16"/>
              </w:rPr>
              <w:t>7</w:t>
            </w:r>
            <w:r w:rsidRPr="008772AA">
              <w:rPr>
                <w:rFonts w:ascii="Arial" w:hAnsi="Arial" w:cs="Arial"/>
                <w:sz w:val="16"/>
                <w:szCs w:val="16"/>
              </w:rPr>
              <w:t>.</w:t>
            </w:r>
            <w:r>
              <w:rPr>
                <w:rFonts w:ascii="Arial" w:hAnsi="Arial" w:cs="Arial"/>
                <w:sz w:val="16"/>
                <w:szCs w:val="16"/>
              </w:rPr>
              <w:t>8</w:t>
            </w:r>
          </w:p>
        </w:tc>
        <w:tc>
          <w:tcPr>
            <w:tcW w:w="1199" w:type="dxa"/>
            <w:shd w:val="clear" w:color="auto" w:fill="FDEED1" w:themeFill="background2" w:themeFillTint="33"/>
            <w:noWrap/>
            <w:tcMar>
              <w:top w:w="43" w:type="dxa"/>
              <w:left w:w="58" w:type="dxa"/>
              <w:bottom w:w="43" w:type="dxa"/>
              <w:right w:w="58" w:type="dxa"/>
            </w:tcMar>
            <w:hideMark/>
          </w:tcPr>
          <w:p w:rsidR="007328EE" w:rsidRPr="008772AA" w:rsidRDefault="007328EE" w:rsidP="007A4D5D">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Pr>
                <w:rFonts w:ascii="Arial" w:hAnsi="Arial" w:cs="Arial"/>
                <w:sz w:val="16"/>
                <w:szCs w:val="16"/>
              </w:rPr>
              <w:t>156</w:t>
            </w:r>
          </w:p>
        </w:tc>
      </w:tr>
      <w:tr w:rsidR="00FA68CB" w:rsidRPr="008772AA" w:rsidTr="008D39A1">
        <w:trPr>
          <w:cnfStyle w:val="000000010000"/>
        </w:trPr>
        <w:tc>
          <w:tcPr>
            <w:cnfStyle w:val="001000000000"/>
            <w:tcW w:w="2076" w:type="dxa"/>
            <w:shd w:val="clear" w:color="auto" w:fill="auto"/>
            <w:noWrap/>
            <w:tcMar>
              <w:top w:w="43" w:type="dxa"/>
              <w:left w:w="58" w:type="dxa"/>
              <w:bottom w:w="43" w:type="dxa"/>
              <w:right w:w="58" w:type="dxa"/>
            </w:tcMar>
            <w:hideMark/>
          </w:tcPr>
          <w:p w:rsidR="00FA68CB" w:rsidRPr="008772AA" w:rsidRDefault="00FA68CB" w:rsidP="00B2406F">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Costs (</w:t>
            </w:r>
            <w:r>
              <w:rPr>
                <w:rFonts w:ascii="Arial" w:hAnsi="Arial" w:cs="Arial"/>
                <w:sz w:val="16"/>
                <w:szCs w:val="16"/>
              </w:rPr>
              <w:t>¢</w:t>
            </w:r>
            <w:r w:rsidRPr="008772AA">
              <w:rPr>
                <w:rFonts w:ascii="Arial" w:hAnsi="Arial" w:cs="Arial"/>
                <w:sz w:val="16"/>
                <w:szCs w:val="16"/>
              </w:rPr>
              <w:t>/kWh)</w:t>
            </w:r>
          </w:p>
        </w:tc>
        <w:tc>
          <w:tcPr>
            <w:tcW w:w="1358" w:type="dxa"/>
            <w:shd w:val="clear" w:color="auto" w:fill="auto"/>
            <w:noWrap/>
            <w:tcMar>
              <w:top w:w="43" w:type="dxa"/>
              <w:left w:w="58" w:type="dxa"/>
              <w:bottom w:w="43" w:type="dxa"/>
              <w:right w:w="58" w:type="dxa"/>
            </w:tcMar>
            <w:hideMark/>
          </w:tcPr>
          <w:p w:rsidR="00FA68CB" w:rsidRPr="008772AA" w:rsidRDefault="00FA68CB" w:rsidP="00B2406F">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 </w:t>
            </w:r>
          </w:p>
        </w:tc>
        <w:tc>
          <w:tcPr>
            <w:tcW w:w="1540" w:type="dxa"/>
            <w:shd w:val="clear" w:color="auto" w:fill="auto"/>
            <w:noWrap/>
            <w:tcMar>
              <w:top w:w="43" w:type="dxa"/>
              <w:left w:w="58" w:type="dxa"/>
              <w:bottom w:w="43" w:type="dxa"/>
              <w:right w:w="58" w:type="dxa"/>
            </w:tcMar>
            <w:hideMark/>
          </w:tcPr>
          <w:p w:rsidR="00FA68CB" w:rsidRDefault="00FA68CB" w:rsidP="00B2406F">
            <w:pPr>
              <w:keepNext/>
              <w:suppressLineNumbers/>
              <w:suppressAutoHyphens/>
              <w:spacing w:after="0" w:line="240" w:lineRule="auto"/>
              <w:cnfStyle w:val="000000010000"/>
              <w:rPr>
                <w:rFonts w:ascii="Arial" w:hAnsi="Arial" w:cs="Arial"/>
                <w:sz w:val="16"/>
                <w:szCs w:val="16"/>
              </w:rPr>
            </w:pPr>
            <w:r w:rsidRPr="00A9357A">
              <w:rPr>
                <w:rFonts w:ascii="Arial" w:hAnsi="Arial" w:cs="Arial"/>
                <w:sz w:val="16"/>
                <w:szCs w:val="16"/>
              </w:rPr>
              <w:t>4.6 (lifetime)</w:t>
            </w:r>
          </w:p>
        </w:tc>
        <w:tc>
          <w:tcPr>
            <w:tcW w:w="1394" w:type="dxa"/>
            <w:shd w:val="clear" w:color="auto" w:fill="auto"/>
            <w:noWrap/>
            <w:tcMar>
              <w:top w:w="43" w:type="dxa"/>
              <w:left w:w="58" w:type="dxa"/>
              <w:bottom w:w="43" w:type="dxa"/>
              <w:right w:w="58" w:type="dxa"/>
            </w:tcMar>
            <w:hideMark/>
          </w:tcPr>
          <w:p w:rsidR="00FA68CB" w:rsidRPr="008772AA" w:rsidRDefault="00FA68CB" w:rsidP="00B2406F">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3.6</w:t>
            </w:r>
          </w:p>
        </w:tc>
        <w:tc>
          <w:tcPr>
            <w:tcW w:w="1396" w:type="dxa"/>
            <w:shd w:val="clear" w:color="auto" w:fill="auto"/>
            <w:noWrap/>
            <w:tcMar>
              <w:top w:w="43" w:type="dxa"/>
              <w:left w:w="58" w:type="dxa"/>
              <w:bottom w:w="43" w:type="dxa"/>
              <w:right w:w="58" w:type="dxa"/>
            </w:tcMar>
            <w:hideMark/>
          </w:tcPr>
          <w:p w:rsidR="001B3090" w:rsidRDefault="00190FF1">
            <w:pPr>
              <w:keepNext/>
              <w:suppressLineNumbers/>
              <w:suppressAutoHyphens/>
              <w:spacing w:after="0" w:line="240" w:lineRule="auto"/>
              <w:cnfStyle w:val="000000010000"/>
              <w:rPr>
                <w:rFonts w:ascii="Arial" w:eastAsia="Arial" w:hAnsi="Arial" w:cs="Arial"/>
                <w:sz w:val="16"/>
                <w:szCs w:val="16"/>
              </w:rPr>
            </w:pPr>
            <w:r>
              <w:rPr>
                <w:rFonts w:ascii="Arial" w:hAnsi="Arial" w:cs="Arial"/>
                <w:sz w:val="16"/>
                <w:szCs w:val="16"/>
              </w:rPr>
              <w:t>3.7</w:t>
            </w:r>
          </w:p>
        </w:tc>
        <w:tc>
          <w:tcPr>
            <w:tcW w:w="1401" w:type="dxa"/>
            <w:shd w:val="clear" w:color="auto" w:fill="auto"/>
            <w:noWrap/>
            <w:tcMar>
              <w:top w:w="43" w:type="dxa"/>
              <w:left w:w="58" w:type="dxa"/>
              <w:bottom w:w="43" w:type="dxa"/>
              <w:right w:w="58" w:type="dxa"/>
            </w:tcMar>
            <w:hideMark/>
          </w:tcPr>
          <w:p w:rsidR="00FA68CB" w:rsidRPr="008772AA" w:rsidRDefault="00FA68CB" w:rsidP="00B2406F">
            <w:pPr>
              <w:keepNext/>
              <w:suppressLineNumbers/>
              <w:suppressAutoHyphens/>
              <w:spacing w:after="0" w:line="240" w:lineRule="auto"/>
              <w:cnfStyle w:val="000000010000"/>
              <w:rPr>
                <w:rFonts w:ascii="Arial" w:hAnsi="Arial" w:cs="Arial"/>
                <w:sz w:val="16"/>
                <w:szCs w:val="16"/>
              </w:rPr>
            </w:pPr>
            <w:r w:rsidRPr="00AE542F">
              <w:rPr>
                <w:rFonts w:ascii="Arial" w:hAnsi="Arial" w:cs="Arial"/>
                <w:sz w:val="16"/>
                <w:szCs w:val="16"/>
              </w:rPr>
              <w:t>5.5</w:t>
            </w:r>
          </w:p>
        </w:tc>
        <w:tc>
          <w:tcPr>
            <w:tcW w:w="1199" w:type="dxa"/>
            <w:shd w:val="clear" w:color="auto" w:fill="auto"/>
            <w:noWrap/>
            <w:tcMar>
              <w:top w:w="43" w:type="dxa"/>
              <w:left w:w="58" w:type="dxa"/>
              <w:bottom w:w="43" w:type="dxa"/>
              <w:right w:w="58" w:type="dxa"/>
            </w:tcMar>
            <w:hideMark/>
          </w:tcPr>
          <w:p w:rsidR="00FA68CB" w:rsidRPr="008772AA" w:rsidRDefault="00FA68CB" w:rsidP="00B2406F">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3.1</w:t>
            </w:r>
          </w:p>
        </w:tc>
      </w:tr>
      <w:tr w:rsidR="00463209" w:rsidRPr="008772AA" w:rsidTr="008D39A1">
        <w:trPr>
          <w:cnfStyle w:val="000000100000"/>
        </w:trPr>
        <w:tc>
          <w:tcPr>
            <w:cnfStyle w:val="001000000000"/>
            <w:tcW w:w="2076"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Benefit/</w:t>
            </w:r>
            <w:r w:rsidR="001E265D">
              <w:rPr>
                <w:rFonts w:ascii="Arial" w:hAnsi="Arial" w:cs="Arial"/>
                <w:sz w:val="16"/>
                <w:szCs w:val="16"/>
              </w:rPr>
              <w:t>c</w:t>
            </w:r>
            <w:r w:rsidRPr="008772AA">
              <w:rPr>
                <w:rFonts w:ascii="Arial" w:hAnsi="Arial" w:cs="Arial"/>
                <w:sz w:val="16"/>
                <w:szCs w:val="16"/>
              </w:rPr>
              <w:t>ost</w:t>
            </w:r>
          </w:p>
        </w:tc>
        <w:tc>
          <w:tcPr>
            <w:tcW w:w="1358"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4</w:t>
            </w:r>
          </w:p>
        </w:tc>
        <w:tc>
          <w:tcPr>
            <w:tcW w:w="1540"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394"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3.5</w:t>
            </w:r>
          </w:p>
        </w:tc>
        <w:tc>
          <w:tcPr>
            <w:tcW w:w="1396"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r w:rsidR="00190FF1">
              <w:rPr>
                <w:rFonts w:ascii="Arial" w:hAnsi="Arial" w:cs="Arial"/>
                <w:sz w:val="16"/>
                <w:szCs w:val="16"/>
              </w:rPr>
              <w:t>2.8</w:t>
            </w:r>
          </w:p>
        </w:tc>
        <w:tc>
          <w:tcPr>
            <w:tcW w:w="1401"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 </w:t>
            </w:r>
          </w:p>
        </w:tc>
        <w:tc>
          <w:tcPr>
            <w:tcW w:w="1199" w:type="dxa"/>
            <w:shd w:val="clear" w:color="auto" w:fill="FDEED1" w:themeFill="background2" w:themeFillTint="33"/>
            <w:noWrap/>
            <w:tcMar>
              <w:top w:w="43" w:type="dxa"/>
              <w:left w:w="58" w:type="dxa"/>
              <w:bottom w:w="43" w:type="dxa"/>
              <w:right w:w="58" w:type="dxa"/>
            </w:tcMar>
            <w:hideMark/>
          </w:tcPr>
          <w:p w:rsidR="00463209" w:rsidRPr="008772AA" w:rsidRDefault="00463209" w:rsidP="00564A22">
            <w:pPr>
              <w:keepNext/>
              <w:suppressLineNumbers/>
              <w:suppressAutoHyphens/>
              <w:spacing w:after="0" w:line="240" w:lineRule="auto"/>
              <w:cnfStyle w:val="000000100000"/>
              <w:rPr>
                <w:rFonts w:ascii="Arial" w:hAnsi="Arial" w:cs="Arial"/>
                <w:sz w:val="16"/>
                <w:szCs w:val="16"/>
              </w:rPr>
            </w:pPr>
            <w:r w:rsidRPr="008772AA">
              <w:rPr>
                <w:rFonts w:ascii="Arial" w:hAnsi="Arial" w:cs="Arial"/>
                <w:sz w:val="16"/>
                <w:szCs w:val="16"/>
              </w:rPr>
              <w:t>3.8</w:t>
            </w:r>
          </w:p>
        </w:tc>
      </w:tr>
      <w:tr w:rsidR="00194F11" w:rsidRPr="008772AA" w:rsidTr="008D39A1">
        <w:trPr>
          <w:cnfStyle w:val="000000010000"/>
        </w:trPr>
        <w:tc>
          <w:tcPr>
            <w:cnfStyle w:val="001000000000"/>
            <w:tcW w:w="2076"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rPr>
                <w:rFonts w:ascii="Arial" w:hAnsi="Arial" w:cs="Arial"/>
                <w:b w:val="0"/>
                <w:bCs w:val="0"/>
                <w:sz w:val="16"/>
                <w:szCs w:val="16"/>
              </w:rPr>
            </w:pPr>
            <w:r w:rsidRPr="008772AA">
              <w:rPr>
                <w:rFonts w:ascii="Arial" w:hAnsi="Arial" w:cs="Arial"/>
                <w:sz w:val="16"/>
                <w:szCs w:val="16"/>
              </w:rPr>
              <w:t>Accountability</w:t>
            </w:r>
          </w:p>
        </w:tc>
        <w:tc>
          <w:tcPr>
            <w:tcW w:w="1358"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ECMB/PUC</w:t>
            </w:r>
          </w:p>
        </w:tc>
        <w:tc>
          <w:tcPr>
            <w:tcW w:w="1540"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DOER/</w:t>
            </w:r>
            <w:r w:rsidR="00190FF1">
              <w:rPr>
                <w:rFonts w:ascii="Arial" w:hAnsi="Arial" w:cs="Arial"/>
                <w:sz w:val="16"/>
                <w:szCs w:val="16"/>
              </w:rPr>
              <w:br/>
            </w:r>
            <w:r w:rsidRPr="008772AA">
              <w:rPr>
                <w:rFonts w:ascii="Arial" w:hAnsi="Arial" w:cs="Arial"/>
                <w:sz w:val="16"/>
                <w:szCs w:val="16"/>
              </w:rPr>
              <w:t>EEAC/</w:t>
            </w:r>
            <w:r w:rsidR="00190FF1">
              <w:rPr>
                <w:rFonts w:ascii="Arial" w:hAnsi="Arial" w:cs="Arial"/>
                <w:sz w:val="16"/>
                <w:szCs w:val="16"/>
              </w:rPr>
              <w:br/>
            </w:r>
            <w:r w:rsidRPr="008772AA">
              <w:rPr>
                <w:rFonts w:ascii="Arial" w:hAnsi="Arial" w:cs="Arial"/>
                <w:sz w:val="16"/>
                <w:szCs w:val="16"/>
              </w:rPr>
              <w:t>DPU</w:t>
            </w:r>
          </w:p>
        </w:tc>
        <w:tc>
          <w:tcPr>
            <w:tcW w:w="1394"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PUC</w:t>
            </w:r>
          </w:p>
        </w:tc>
        <w:tc>
          <w:tcPr>
            <w:tcW w:w="1396" w:type="dxa"/>
            <w:shd w:val="clear" w:color="auto" w:fill="FBCE76" w:themeFill="background2" w:themeFillTint="99"/>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DPS annual audit</w:t>
            </w:r>
            <w:r w:rsidR="00FD2CB0" w:rsidRPr="008772AA">
              <w:rPr>
                <w:rFonts w:ascii="Arial" w:hAnsi="Arial" w:cs="Arial"/>
                <w:sz w:val="16"/>
                <w:szCs w:val="16"/>
              </w:rPr>
              <w:t>;</w:t>
            </w:r>
            <w:r w:rsidRPr="008772AA">
              <w:rPr>
                <w:rFonts w:ascii="Arial" w:hAnsi="Arial" w:cs="Arial"/>
                <w:sz w:val="16"/>
                <w:szCs w:val="16"/>
              </w:rPr>
              <w:t xml:space="preserve"> </w:t>
            </w:r>
            <w:r w:rsidR="00FD2CB0" w:rsidRPr="008772AA">
              <w:rPr>
                <w:rFonts w:ascii="Arial" w:hAnsi="Arial" w:cs="Arial"/>
                <w:sz w:val="16"/>
                <w:szCs w:val="16"/>
              </w:rPr>
              <w:t>i</w:t>
            </w:r>
            <w:r w:rsidRPr="008772AA">
              <w:rPr>
                <w:rFonts w:ascii="Arial" w:hAnsi="Arial" w:cs="Arial"/>
                <w:sz w:val="16"/>
                <w:szCs w:val="16"/>
              </w:rPr>
              <w:t>ndependent financial audit</w:t>
            </w:r>
            <w:r w:rsidR="00FD2CB0" w:rsidRPr="008772AA">
              <w:rPr>
                <w:rFonts w:ascii="Arial" w:hAnsi="Arial" w:cs="Arial"/>
                <w:sz w:val="16"/>
                <w:szCs w:val="16"/>
              </w:rPr>
              <w:t>;</w:t>
            </w:r>
            <w:r w:rsidRPr="008772AA">
              <w:rPr>
                <w:rFonts w:ascii="Arial" w:hAnsi="Arial" w:cs="Arial"/>
                <w:sz w:val="16"/>
                <w:szCs w:val="16"/>
              </w:rPr>
              <w:t xml:space="preserve"> </w:t>
            </w:r>
            <w:r w:rsidR="003426F4">
              <w:rPr>
                <w:rFonts w:ascii="Arial" w:hAnsi="Arial" w:cs="Arial"/>
                <w:sz w:val="16"/>
                <w:szCs w:val="16"/>
              </w:rPr>
              <w:t>third-</w:t>
            </w:r>
            <w:r w:rsidRPr="008772AA">
              <w:rPr>
                <w:rFonts w:ascii="Arial" w:hAnsi="Arial" w:cs="Arial"/>
                <w:sz w:val="16"/>
                <w:szCs w:val="16"/>
              </w:rPr>
              <w:t>party audit</w:t>
            </w:r>
          </w:p>
        </w:tc>
        <w:tc>
          <w:tcPr>
            <w:tcW w:w="1401" w:type="dxa"/>
            <w:shd w:val="clear" w:color="auto" w:fill="FBCE76" w:themeFill="background2" w:themeFillTint="99"/>
            <w:noWrap/>
            <w:tcMar>
              <w:top w:w="43" w:type="dxa"/>
              <w:left w:w="58" w:type="dxa"/>
              <w:bottom w:w="43" w:type="dxa"/>
              <w:right w:w="58" w:type="dxa"/>
            </w:tcMar>
            <w:hideMark/>
          </w:tcPr>
          <w:p w:rsidR="00FB7A9D" w:rsidRDefault="004001CC">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P</w:t>
            </w:r>
            <w:r w:rsidR="00782258">
              <w:rPr>
                <w:rFonts w:ascii="Arial" w:hAnsi="Arial" w:cs="Arial"/>
                <w:sz w:val="16"/>
                <w:szCs w:val="16"/>
              </w:rPr>
              <w:t>UC</w:t>
            </w:r>
          </w:p>
        </w:tc>
        <w:tc>
          <w:tcPr>
            <w:tcW w:w="1199" w:type="dxa"/>
            <w:shd w:val="clear" w:color="auto" w:fill="FBCE76" w:themeFill="background2" w:themeFillTint="99"/>
            <w:noWrap/>
            <w:tcMar>
              <w:top w:w="43" w:type="dxa"/>
              <w:left w:w="58" w:type="dxa"/>
              <w:bottom w:w="43" w:type="dxa"/>
              <w:right w:w="58" w:type="dxa"/>
            </w:tcMar>
            <w:hideMark/>
          </w:tcPr>
          <w:p w:rsidR="00BA5816" w:rsidRPr="008772AA" w:rsidRDefault="004001CC" w:rsidP="00564A22">
            <w:pPr>
              <w:keepNext/>
              <w:suppressLineNumbers/>
              <w:suppressAutoHyphens/>
              <w:spacing w:after="0" w:line="240" w:lineRule="auto"/>
              <w:cnfStyle w:val="000000010000"/>
              <w:rPr>
                <w:rFonts w:ascii="Arial" w:hAnsi="Arial" w:cs="Arial"/>
                <w:sz w:val="16"/>
                <w:szCs w:val="16"/>
              </w:rPr>
            </w:pPr>
            <w:r w:rsidRPr="008772AA">
              <w:rPr>
                <w:rFonts w:ascii="Arial" w:hAnsi="Arial" w:cs="Arial"/>
                <w:sz w:val="16"/>
                <w:szCs w:val="16"/>
              </w:rPr>
              <w:t>PUC</w:t>
            </w:r>
          </w:p>
        </w:tc>
      </w:tr>
    </w:tbl>
    <w:p w:rsidR="001B3090" w:rsidRPr="00500B16" w:rsidRDefault="003174D8">
      <w:pPr>
        <w:keepNext/>
        <w:suppressLineNumbers/>
        <w:suppressAutoHyphens/>
        <w:spacing w:before="120" w:after="80" w:line="240" w:lineRule="auto"/>
        <w:ind w:left="-187" w:right="-547" w:hanging="360"/>
        <w:rPr>
          <w:rFonts w:ascii="Arial" w:hAnsi="Arial" w:cs="Arial"/>
          <w:sz w:val="16"/>
          <w:szCs w:val="16"/>
        </w:rPr>
      </w:pPr>
      <w:r w:rsidRPr="00500B16">
        <w:rPr>
          <w:rFonts w:ascii="Arial" w:hAnsi="Arial" w:cs="Arial"/>
          <w:b/>
          <w:sz w:val="16"/>
          <w:szCs w:val="16"/>
        </w:rPr>
        <w:t xml:space="preserve"> </w:t>
      </w:r>
      <w:r w:rsidRPr="00500B16">
        <w:rPr>
          <w:rFonts w:ascii="Arial" w:hAnsi="Arial" w:cs="Arial"/>
          <w:sz w:val="16"/>
          <w:szCs w:val="16"/>
        </w:rPr>
        <w:t xml:space="preserve">(a) </w:t>
      </w:r>
      <w:r w:rsidR="00564A22" w:rsidRPr="00500B16">
        <w:rPr>
          <w:rFonts w:ascii="Arial" w:hAnsi="Arial" w:cs="Arial"/>
          <w:sz w:val="16"/>
          <w:szCs w:val="16"/>
        </w:rPr>
        <w:tab/>
      </w:r>
      <w:r w:rsidR="005B0673" w:rsidRPr="00500B16">
        <w:rPr>
          <w:rFonts w:ascii="Arial" w:hAnsi="Arial" w:cs="Arial"/>
          <w:sz w:val="16"/>
          <w:szCs w:val="16"/>
        </w:rPr>
        <w:t xml:space="preserve">Energy Conservation Management Board and CT PUC, </w:t>
      </w:r>
      <w:r w:rsidRPr="00500B16">
        <w:rPr>
          <w:rFonts w:ascii="Arial" w:hAnsi="Arial" w:cs="Arial"/>
          <w:i/>
          <w:sz w:val="16"/>
          <w:szCs w:val="16"/>
        </w:rPr>
        <w:t>An Investment in Connecticut Energy Efficiency, Report of the Energy Conservation Management Board</w:t>
      </w:r>
      <w:r w:rsidR="005B0673" w:rsidRPr="00500B16">
        <w:rPr>
          <w:rFonts w:ascii="Arial" w:hAnsi="Arial" w:cs="Arial"/>
          <w:i/>
          <w:sz w:val="16"/>
          <w:szCs w:val="16"/>
        </w:rPr>
        <w:t>:</w:t>
      </w:r>
      <w:r w:rsidRPr="00500B16">
        <w:rPr>
          <w:rFonts w:ascii="Arial" w:hAnsi="Arial" w:cs="Arial"/>
          <w:i/>
          <w:sz w:val="16"/>
          <w:szCs w:val="16"/>
        </w:rPr>
        <w:t xml:space="preserve"> Year 2009 Programs and Operations </w:t>
      </w:r>
      <w:r w:rsidRPr="00500B16">
        <w:rPr>
          <w:rFonts w:ascii="Arial" w:hAnsi="Arial" w:cs="Arial"/>
          <w:sz w:val="16"/>
          <w:szCs w:val="16"/>
        </w:rPr>
        <w:t>(March 1, 2010)</w:t>
      </w:r>
      <w:r w:rsidR="00BC36D0" w:rsidRPr="00500B16">
        <w:rPr>
          <w:rFonts w:ascii="Arial" w:hAnsi="Arial" w:cs="Arial"/>
          <w:sz w:val="16"/>
          <w:szCs w:val="16"/>
        </w:rPr>
        <w:t xml:space="preserve">; </w:t>
      </w:r>
      <w:hyperlink r:id="rId51" w:history="1">
        <w:r w:rsidRPr="00500B16">
          <w:rPr>
            <w:rFonts w:ascii="Arial" w:hAnsi="Arial" w:cs="Arial"/>
            <w:sz w:val="16"/>
            <w:szCs w:val="16"/>
          </w:rPr>
          <w:t>http://www.ctsavesenergy.org/files/Final%202009%20Legislative%20Report%202.19.10.pdf</w:t>
        </w:r>
      </w:hyperlink>
      <w:r w:rsidR="00BC36D0" w:rsidRPr="00500B16">
        <w:rPr>
          <w:rFonts w:ascii="Arial" w:hAnsi="Arial" w:cs="Arial"/>
          <w:sz w:val="16"/>
          <w:szCs w:val="16"/>
        </w:rPr>
        <w:t>.</w:t>
      </w:r>
    </w:p>
    <w:p w:rsidR="001B3090" w:rsidRPr="00500B16" w:rsidRDefault="00987991">
      <w:pPr>
        <w:keepNext/>
        <w:suppressLineNumbers/>
        <w:suppressAutoHyphens/>
        <w:spacing w:before="120" w:after="80" w:line="240" w:lineRule="auto"/>
        <w:ind w:left="-187" w:right="-547" w:hanging="360"/>
        <w:rPr>
          <w:rFonts w:ascii="Arial" w:hAnsi="Arial" w:cs="Arial"/>
          <w:sz w:val="16"/>
          <w:szCs w:val="16"/>
        </w:rPr>
      </w:pPr>
      <w:r w:rsidRPr="00500B16">
        <w:rPr>
          <w:rFonts w:ascii="Arial" w:hAnsi="Arial" w:cs="Arial"/>
          <w:sz w:val="16"/>
          <w:szCs w:val="16"/>
        </w:rPr>
        <w:t>(b)</w:t>
      </w:r>
      <w:r w:rsidR="00B23659" w:rsidRPr="00500B16">
        <w:rPr>
          <w:rFonts w:ascii="Arial" w:hAnsi="Arial" w:cs="Arial"/>
          <w:sz w:val="16"/>
          <w:szCs w:val="16"/>
        </w:rPr>
        <w:tab/>
        <w:t xml:space="preserve">Connecticut presentation at the ISO’s </w:t>
      </w:r>
      <w:r w:rsidR="00273981" w:rsidRPr="00500B16">
        <w:rPr>
          <w:rFonts w:ascii="Arial" w:hAnsi="Arial" w:cs="Arial"/>
          <w:sz w:val="16"/>
          <w:szCs w:val="16"/>
        </w:rPr>
        <w:t>Regional Energy-</w:t>
      </w:r>
      <w:r w:rsidR="00B23659" w:rsidRPr="00500B16">
        <w:rPr>
          <w:rFonts w:ascii="Arial" w:hAnsi="Arial" w:cs="Arial"/>
          <w:sz w:val="16"/>
          <w:szCs w:val="16"/>
        </w:rPr>
        <w:t xml:space="preserve">Efficiency Initiative </w:t>
      </w:r>
      <w:r w:rsidR="00273981" w:rsidRPr="00500B16">
        <w:rPr>
          <w:rFonts w:ascii="Arial" w:hAnsi="Arial" w:cs="Arial"/>
          <w:sz w:val="16"/>
          <w:szCs w:val="16"/>
        </w:rPr>
        <w:t xml:space="preserve">(REEI) </w:t>
      </w:r>
      <w:r w:rsidR="00B23659" w:rsidRPr="00500B16">
        <w:rPr>
          <w:rFonts w:ascii="Arial" w:hAnsi="Arial" w:cs="Arial"/>
          <w:sz w:val="16"/>
          <w:szCs w:val="16"/>
        </w:rPr>
        <w:t xml:space="preserve">(March 5, 2009); </w:t>
      </w:r>
      <w:hyperlink r:id="rId52" w:history="1">
        <w:r w:rsidR="00B23659" w:rsidRPr="00500B16">
          <w:rPr>
            <w:rFonts w:ascii="Arial" w:hAnsi="Arial" w:cs="Arial"/>
            <w:sz w:val="16"/>
            <w:szCs w:val="16"/>
          </w:rPr>
          <w:t>http://www.iso-ne.com/committees/comm_wkgrps/othr/reei/mtrls/index.html</w:t>
        </w:r>
      </w:hyperlink>
      <w:r w:rsidR="00B23659" w:rsidRPr="00500B16">
        <w:rPr>
          <w:rFonts w:ascii="Arial" w:hAnsi="Arial" w:cs="Arial"/>
          <w:sz w:val="16"/>
          <w:szCs w:val="16"/>
        </w:rPr>
        <w:t>.</w:t>
      </w:r>
    </w:p>
    <w:p w:rsidR="001B3090" w:rsidRPr="00500B16" w:rsidRDefault="00821C68">
      <w:pPr>
        <w:keepNext/>
        <w:suppressLineNumbers/>
        <w:suppressAutoHyphens/>
        <w:spacing w:after="80" w:line="240" w:lineRule="auto"/>
        <w:ind w:left="-187" w:right="-547" w:hanging="360"/>
        <w:rPr>
          <w:rFonts w:ascii="Arial" w:hAnsi="Arial" w:cs="Arial"/>
          <w:sz w:val="16"/>
          <w:szCs w:val="16"/>
        </w:rPr>
      </w:pPr>
      <w:r w:rsidRPr="00500B16">
        <w:rPr>
          <w:rFonts w:ascii="Arial" w:hAnsi="Arial" w:cs="Arial"/>
          <w:sz w:val="16"/>
          <w:szCs w:val="16"/>
        </w:rPr>
        <w:t>(</w:t>
      </w:r>
      <w:r w:rsidR="00B23659" w:rsidRPr="00500B16">
        <w:rPr>
          <w:rFonts w:ascii="Arial" w:hAnsi="Arial" w:cs="Arial"/>
          <w:sz w:val="16"/>
          <w:szCs w:val="16"/>
        </w:rPr>
        <w:t>c</w:t>
      </w:r>
      <w:r w:rsidRPr="00500B16">
        <w:rPr>
          <w:rFonts w:ascii="Arial" w:hAnsi="Arial" w:cs="Arial"/>
          <w:sz w:val="16"/>
          <w:szCs w:val="16"/>
        </w:rPr>
        <w:t xml:space="preserve">) </w:t>
      </w:r>
      <w:r w:rsidR="00564A22" w:rsidRPr="00500B16">
        <w:rPr>
          <w:rFonts w:ascii="Arial" w:hAnsi="Arial" w:cs="Arial"/>
          <w:sz w:val="16"/>
          <w:szCs w:val="16"/>
        </w:rPr>
        <w:tab/>
      </w:r>
      <w:r w:rsidR="00987991" w:rsidRPr="00500B16">
        <w:rPr>
          <w:rFonts w:ascii="Arial" w:hAnsi="Arial" w:cs="Arial"/>
          <w:sz w:val="16"/>
          <w:szCs w:val="16"/>
        </w:rPr>
        <w:t xml:space="preserve">Massachusetts Department of Public Utilities Order 09-116 through 09-120 (January 28, 2010); </w:t>
      </w:r>
      <w:hyperlink r:id="rId53" w:history="1">
        <w:r w:rsidR="00987991" w:rsidRPr="00500B16">
          <w:rPr>
            <w:rStyle w:val="Hyperlink"/>
            <w:rFonts w:ascii="Arial" w:hAnsi="Arial" w:cs="Arial"/>
            <w:color w:val="auto"/>
            <w:sz w:val="16"/>
            <w:szCs w:val="16"/>
            <w:u w:val="none"/>
          </w:rPr>
          <w:t>http://www.env.state.ma.us/dpu/docs/electric/09-116/12810dpuord.pdf</w:t>
        </w:r>
      </w:hyperlink>
      <w:r w:rsidR="00987991" w:rsidRPr="00500B16">
        <w:rPr>
          <w:rFonts w:ascii="Arial" w:hAnsi="Arial" w:cs="Arial"/>
          <w:sz w:val="16"/>
          <w:szCs w:val="16"/>
        </w:rPr>
        <w:t xml:space="preserve">. Also see the </w:t>
      </w:r>
      <w:r w:rsidR="00987991" w:rsidRPr="00500B16">
        <w:rPr>
          <w:rFonts w:ascii="Arial" w:hAnsi="Arial" w:cs="Arial"/>
          <w:i/>
          <w:sz w:val="16"/>
          <w:szCs w:val="16"/>
        </w:rPr>
        <w:t>2010–2012 Massachusetts Joint Statewide Three-Year Electric Energy Efficiency Plan</w:t>
      </w:r>
      <w:r w:rsidR="00987991" w:rsidRPr="00500B16">
        <w:rPr>
          <w:rFonts w:ascii="Arial" w:hAnsi="Arial" w:cs="Arial"/>
          <w:sz w:val="16"/>
          <w:szCs w:val="16"/>
        </w:rPr>
        <w:t xml:space="preserve"> (October 28, 2010); http://www.ma-eeac.org/docs/DPU-filing/ElectricPlanFinalOct09.pdf.</w:t>
      </w:r>
      <w:r w:rsidR="007E7BD8" w:rsidRPr="00500B16">
        <w:rPr>
          <w:rFonts w:ascii="Arial" w:hAnsi="Arial" w:cs="Arial"/>
          <w:sz w:val="16"/>
          <w:szCs w:val="16"/>
        </w:rPr>
        <w:t xml:space="preserve"> </w:t>
      </w:r>
    </w:p>
    <w:p w:rsidR="001B3090" w:rsidRPr="00500B16" w:rsidRDefault="00BC7F25">
      <w:pPr>
        <w:keepNext/>
        <w:suppressLineNumbers/>
        <w:suppressAutoHyphens/>
        <w:spacing w:after="80" w:line="240" w:lineRule="auto"/>
        <w:ind w:left="-187" w:right="-547" w:hanging="360"/>
        <w:rPr>
          <w:rFonts w:ascii="Arial" w:hAnsi="Arial" w:cs="Arial"/>
          <w:sz w:val="16"/>
          <w:szCs w:val="16"/>
        </w:rPr>
      </w:pPr>
      <w:r w:rsidRPr="00500B16">
        <w:rPr>
          <w:rFonts w:ascii="Arial" w:hAnsi="Arial" w:cs="Arial"/>
          <w:sz w:val="16"/>
          <w:szCs w:val="16"/>
        </w:rPr>
        <w:t>(</w:t>
      </w:r>
      <w:r w:rsidR="00B23659" w:rsidRPr="00500B16">
        <w:rPr>
          <w:rFonts w:ascii="Arial" w:hAnsi="Arial" w:cs="Arial"/>
          <w:sz w:val="16"/>
          <w:szCs w:val="16"/>
        </w:rPr>
        <w:t>d</w:t>
      </w:r>
      <w:r w:rsidRPr="00500B16">
        <w:rPr>
          <w:rFonts w:ascii="Arial" w:hAnsi="Arial" w:cs="Arial"/>
          <w:sz w:val="16"/>
          <w:szCs w:val="16"/>
        </w:rPr>
        <w:t xml:space="preserve">) </w:t>
      </w:r>
      <w:r w:rsidR="00564A22" w:rsidRPr="00500B16">
        <w:rPr>
          <w:rFonts w:ascii="Arial" w:hAnsi="Arial" w:cs="Arial"/>
          <w:sz w:val="16"/>
          <w:szCs w:val="16"/>
        </w:rPr>
        <w:tab/>
      </w:r>
      <w:r w:rsidRPr="00500B16">
        <w:rPr>
          <w:rFonts w:ascii="Arial" w:hAnsi="Arial" w:cs="Arial"/>
          <w:sz w:val="16"/>
          <w:szCs w:val="16"/>
        </w:rPr>
        <w:t>Nicholas S. Ucci</w:t>
      </w:r>
      <w:r w:rsidR="00C66C97" w:rsidRPr="00500B16">
        <w:rPr>
          <w:rFonts w:ascii="Arial" w:hAnsi="Arial" w:cs="Arial"/>
          <w:sz w:val="16"/>
          <w:szCs w:val="16"/>
        </w:rPr>
        <w:t xml:space="preserve"> (</w:t>
      </w:r>
      <w:r w:rsidRPr="00500B16">
        <w:rPr>
          <w:rFonts w:ascii="Arial" w:hAnsi="Arial" w:cs="Arial"/>
          <w:sz w:val="16"/>
          <w:szCs w:val="16"/>
        </w:rPr>
        <w:t>Rhode Island Public Utilities Commission</w:t>
      </w:r>
      <w:r w:rsidR="00C66C97" w:rsidRPr="00500B16">
        <w:rPr>
          <w:rFonts w:ascii="Arial" w:hAnsi="Arial" w:cs="Arial"/>
          <w:sz w:val="16"/>
          <w:szCs w:val="16"/>
        </w:rPr>
        <w:t>)</w:t>
      </w:r>
      <w:r w:rsidRPr="00500B16">
        <w:rPr>
          <w:rFonts w:ascii="Arial" w:hAnsi="Arial" w:cs="Arial"/>
          <w:sz w:val="16"/>
          <w:szCs w:val="16"/>
        </w:rPr>
        <w:t xml:space="preserve">, </w:t>
      </w:r>
      <w:r w:rsidR="00C66C97" w:rsidRPr="00500B16">
        <w:rPr>
          <w:rFonts w:ascii="Arial" w:hAnsi="Arial" w:cs="Arial"/>
          <w:sz w:val="16"/>
          <w:szCs w:val="16"/>
        </w:rPr>
        <w:t xml:space="preserve">in letter </w:t>
      </w:r>
      <w:r w:rsidRPr="00500B16">
        <w:rPr>
          <w:rFonts w:ascii="Arial" w:hAnsi="Arial" w:cs="Arial"/>
          <w:sz w:val="16"/>
          <w:szCs w:val="16"/>
        </w:rPr>
        <w:t>to Eric Wilkinson</w:t>
      </w:r>
      <w:r w:rsidR="00C66C97" w:rsidRPr="00500B16">
        <w:rPr>
          <w:rFonts w:ascii="Arial" w:hAnsi="Arial" w:cs="Arial"/>
          <w:sz w:val="16"/>
          <w:szCs w:val="16"/>
        </w:rPr>
        <w:t xml:space="preserve"> (</w:t>
      </w:r>
      <w:r w:rsidR="008D39A1" w:rsidRPr="00500B16">
        <w:rPr>
          <w:rFonts w:ascii="Arial" w:hAnsi="Arial" w:cs="Arial"/>
          <w:sz w:val="16"/>
          <w:szCs w:val="16"/>
        </w:rPr>
        <w:t>ISO New England</w:t>
      </w:r>
      <w:r w:rsidR="00C66C97" w:rsidRPr="00500B16">
        <w:rPr>
          <w:rFonts w:ascii="Arial" w:hAnsi="Arial" w:cs="Arial"/>
          <w:sz w:val="16"/>
          <w:szCs w:val="16"/>
        </w:rPr>
        <w:t xml:space="preserve">), </w:t>
      </w:r>
      <w:r w:rsidRPr="00500B16">
        <w:rPr>
          <w:rFonts w:ascii="Arial" w:hAnsi="Arial" w:cs="Arial"/>
          <w:sz w:val="16"/>
          <w:szCs w:val="16"/>
        </w:rPr>
        <w:t>March 3, 2009</w:t>
      </w:r>
      <w:r w:rsidR="00C66C97" w:rsidRPr="00500B16">
        <w:rPr>
          <w:rFonts w:ascii="Arial" w:hAnsi="Arial" w:cs="Arial"/>
          <w:sz w:val="16"/>
          <w:szCs w:val="16"/>
        </w:rPr>
        <w:t>,</w:t>
      </w:r>
      <w:r w:rsidRPr="00500B16">
        <w:rPr>
          <w:rFonts w:ascii="Arial" w:hAnsi="Arial" w:cs="Arial"/>
          <w:sz w:val="16"/>
          <w:szCs w:val="16"/>
        </w:rPr>
        <w:t xml:space="preserve"> with </w:t>
      </w:r>
      <w:r w:rsidR="00C66C97" w:rsidRPr="00500B16">
        <w:rPr>
          <w:rFonts w:ascii="Arial" w:hAnsi="Arial" w:cs="Arial"/>
          <w:sz w:val="16"/>
          <w:szCs w:val="16"/>
        </w:rPr>
        <w:t>a</w:t>
      </w:r>
      <w:r w:rsidRPr="00500B16">
        <w:rPr>
          <w:rFonts w:ascii="Arial" w:hAnsi="Arial" w:cs="Arial"/>
          <w:sz w:val="16"/>
          <w:szCs w:val="16"/>
        </w:rPr>
        <w:t xml:space="preserve">ttachment: </w:t>
      </w:r>
      <w:r w:rsidRPr="00500B16">
        <w:rPr>
          <w:rFonts w:ascii="Arial" w:hAnsi="Arial" w:cs="Arial"/>
          <w:i/>
          <w:sz w:val="16"/>
          <w:szCs w:val="16"/>
        </w:rPr>
        <w:t xml:space="preserve">2009 Energy </w:t>
      </w:r>
      <w:r w:rsidR="00821C68" w:rsidRPr="00500B16">
        <w:rPr>
          <w:rFonts w:ascii="Arial" w:hAnsi="Arial" w:cs="Arial"/>
          <w:i/>
          <w:sz w:val="16"/>
          <w:szCs w:val="16"/>
        </w:rPr>
        <w:t>Efficiency Program Plan Summary</w:t>
      </w:r>
      <w:r w:rsidR="00821C68" w:rsidRPr="00500B16">
        <w:rPr>
          <w:rFonts w:ascii="Arial" w:hAnsi="Arial" w:cs="Arial"/>
          <w:sz w:val="16"/>
          <w:szCs w:val="16"/>
        </w:rPr>
        <w:t>.</w:t>
      </w:r>
    </w:p>
    <w:p w:rsidR="001B3090" w:rsidRPr="00500B16" w:rsidRDefault="00821C68">
      <w:pPr>
        <w:keepNext/>
        <w:suppressLineNumbers/>
        <w:suppressAutoHyphens/>
        <w:spacing w:after="80" w:line="240" w:lineRule="auto"/>
        <w:ind w:left="-187" w:right="-547" w:hanging="360"/>
        <w:rPr>
          <w:rFonts w:ascii="Arial" w:hAnsi="Arial" w:cs="Arial"/>
          <w:sz w:val="16"/>
          <w:szCs w:val="16"/>
        </w:rPr>
      </w:pPr>
      <w:r w:rsidRPr="00500B16">
        <w:rPr>
          <w:rFonts w:ascii="Arial" w:hAnsi="Arial" w:cs="Arial"/>
          <w:sz w:val="16"/>
          <w:szCs w:val="16"/>
        </w:rPr>
        <w:t>(</w:t>
      </w:r>
      <w:r w:rsidR="00B23659" w:rsidRPr="00500B16">
        <w:rPr>
          <w:rFonts w:ascii="Arial" w:hAnsi="Arial" w:cs="Arial"/>
          <w:sz w:val="16"/>
          <w:szCs w:val="16"/>
        </w:rPr>
        <w:t>e</w:t>
      </w:r>
      <w:r w:rsidRPr="00500B16">
        <w:rPr>
          <w:rFonts w:ascii="Arial" w:hAnsi="Arial" w:cs="Arial"/>
          <w:sz w:val="16"/>
          <w:szCs w:val="16"/>
        </w:rPr>
        <w:t xml:space="preserve">) </w:t>
      </w:r>
      <w:r w:rsidR="00564A22" w:rsidRPr="00500B16">
        <w:rPr>
          <w:rFonts w:ascii="Arial" w:hAnsi="Arial" w:cs="Arial"/>
          <w:sz w:val="16"/>
          <w:szCs w:val="16"/>
        </w:rPr>
        <w:tab/>
      </w:r>
      <w:r w:rsidRPr="00500B16">
        <w:rPr>
          <w:rFonts w:ascii="Arial" w:hAnsi="Arial" w:cs="Arial"/>
          <w:sz w:val="16"/>
          <w:szCs w:val="16"/>
        </w:rPr>
        <w:t xml:space="preserve">Efficiency Vermont </w:t>
      </w:r>
      <w:r w:rsidR="00B23659" w:rsidRPr="00500B16">
        <w:rPr>
          <w:rFonts w:ascii="Arial" w:hAnsi="Arial" w:cs="Arial"/>
          <w:sz w:val="16"/>
          <w:szCs w:val="16"/>
        </w:rPr>
        <w:t>p</w:t>
      </w:r>
      <w:r w:rsidRPr="00500B16">
        <w:rPr>
          <w:rFonts w:ascii="Arial" w:hAnsi="Arial" w:cs="Arial"/>
          <w:sz w:val="16"/>
          <w:szCs w:val="16"/>
        </w:rPr>
        <w:t xml:space="preserve">resentation at </w:t>
      </w:r>
      <w:r w:rsidR="00BC36D0" w:rsidRPr="00500B16">
        <w:rPr>
          <w:rFonts w:ascii="Arial" w:hAnsi="Arial" w:cs="Arial"/>
          <w:sz w:val="16"/>
          <w:szCs w:val="16"/>
        </w:rPr>
        <w:t xml:space="preserve">the </w:t>
      </w:r>
      <w:r w:rsidRPr="00500B16">
        <w:rPr>
          <w:rFonts w:ascii="Arial" w:hAnsi="Arial" w:cs="Arial"/>
          <w:sz w:val="16"/>
          <w:szCs w:val="16"/>
        </w:rPr>
        <w:t>ISO</w:t>
      </w:r>
      <w:r w:rsidR="00BC36D0" w:rsidRPr="00500B16">
        <w:rPr>
          <w:rFonts w:ascii="Arial" w:hAnsi="Arial" w:cs="Arial"/>
          <w:sz w:val="16"/>
          <w:szCs w:val="16"/>
        </w:rPr>
        <w:t xml:space="preserve">’s </w:t>
      </w:r>
      <w:r w:rsidRPr="00500B16">
        <w:rPr>
          <w:rFonts w:ascii="Arial" w:hAnsi="Arial" w:cs="Arial"/>
          <w:sz w:val="16"/>
          <w:szCs w:val="16"/>
        </w:rPr>
        <w:t>R</w:t>
      </w:r>
      <w:r w:rsidR="00273981" w:rsidRPr="00500B16">
        <w:rPr>
          <w:rFonts w:ascii="Arial" w:hAnsi="Arial" w:cs="Arial"/>
          <w:sz w:val="16"/>
          <w:szCs w:val="16"/>
        </w:rPr>
        <w:t xml:space="preserve">EEI. </w:t>
      </w:r>
      <w:r w:rsidR="00F21BE4" w:rsidRPr="00500B16">
        <w:rPr>
          <w:rFonts w:ascii="Arial" w:hAnsi="Arial" w:cs="Arial"/>
          <w:sz w:val="16"/>
          <w:szCs w:val="16"/>
        </w:rPr>
        <w:t xml:space="preserve">Also, </w:t>
      </w:r>
      <w:r w:rsidR="005B0673" w:rsidRPr="00500B16">
        <w:rPr>
          <w:rFonts w:ascii="Arial" w:hAnsi="Arial" w:cs="Arial"/>
          <w:sz w:val="16"/>
          <w:szCs w:val="16"/>
        </w:rPr>
        <w:t xml:space="preserve">ACEEE’s </w:t>
      </w:r>
      <w:r w:rsidR="00F21BE4" w:rsidRPr="00500B16">
        <w:rPr>
          <w:rFonts w:ascii="Arial" w:hAnsi="Arial" w:cs="Arial"/>
          <w:sz w:val="16"/>
          <w:szCs w:val="16"/>
        </w:rPr>
        <w:t>Vermont Utility Sector Policies (2010); http://www.aceee.org/energy/state/vermont/vt_utility.htm.</w:t>
      </w:r>
    </w:p>
    <w:p w:rsidR="001B3090" w:rsidRPr="00500B16" w:rsidRDefault="003174D8">
      <w:pPr>
        <w:keepNext/>
        <w:suppressLineNumbers/>
        <w:suppressAutoHyphens/>
        <w:spacing w:after="80" w:line="240" w:lineRule="auto"/>
        <w:ind w:left="-187" w:right="-547" w:hanging="360"/>
        <w:rPr>
          <w:rFonts w:ascii="Arial" w:hAnsi="Arial" w:cs="Arial"/>
          <w:sz w:val="16"/>
          <w:szCs w:val="16"/>
        </w:rPr>
      </w:pPr>
      <w:r w:rsidRPr="00500B16">
        <w:rPr>
          <w:rFonts w:ascii="Arial" w:hAnsi="Arial" w:cs="Arial"/>
          <w:sz w:val="16"/>
          <w:szCs w:val="16"/>
        </w:rPr>
        <w:t>(</w:t>
      </w:r>
      <w:r w:rsidR="00B23659" w:rsidRPr="00500B16">
        <w:rPr>
          <w:rFonts w:ascii="Arial" w:hAnsi="Arial" w:cs="Arial"/>
          <w:sz w:val="16"/>
          <w:szCs w:val="16"/>
        </w:rPr>
        <w:t>f</w:t>
      </w:r>
      <w:r w:rsidRPr="00500B16">
        <w:rPr>
          <w:rFonts w:ascii="Arial" w:hAnsi="Arial" w:cs="Arial"/>
          <w:sz w:val="16"/>
          <w:szCs w:val="16"/>
        </w:rPr>
        <w:t xml:space="preserve">) </w:t>
      </w:r>
      <w:r w:rsidR="00564A22" w:rsidRPr="00500B16">
        <w:rPr>
          <w:rFonts w:ascii="Arial" w:hAnsi="Arial" w:cs="Arial"/>
          <w:sz w:val="16"/>
          <w:szCs w:val="16"/>
        </w:rPr>
        <w:tab/>
      </w:r>
      <w:r w:rsidRPr="00500B16">
        <w:rPr>
          <w:rFonts w:ascii="Arial" w:hAnsi="Arial" w:cs="Arial"/>
          <w:sz w:val="16"/>
          <w:szCs w:val="16"/>
        </w:rPr>
        <w:t xml:space="preserve">New Hampshire </w:t>
      </w:r>
      <w:r w:rsidR="00B23659" w:rsidRPr="00500B16">
        <w:rPr>
          <w:rFonts w:ascii="Arial" w:hAnsi="Arial" w:cs="Arial"/>
          <w:sz w:val="16"/>
          <w:szCs w:val="16"/>
        </w:rPr>
        <w:t>p</w:t>
      </w:r>
      <w:r w:rsidRPr="00500B16">
        <w:rPr>
          <w:rFonts w:ascii="Arial" w:hAnsi="Arial" w:cs="Arial"/>
          <w:sz w:val="16"/>
          <w:szCs w:val="16"/>
        </w:rPr>
        <w:t>resentation at</w:t>
      </w:r>
      <w:r w:rsidR="003426F4" w:rsidRPr="00500B16">
        <w:rPr>
          <w:rFonts w:ascii="Arial" w:hAnsi="Arial" w:cs="Arial"/>
          <w:sz w:val="16"/>
          <w:szCs w:val="16"/>
        </w:rPr>
        <w:t xml:space="preserve"> the</w:t>
      </w:r>
      <w:r w:rsidRPr="00500B16">
        <w:rPr>
          <w:rFonts w:ascii="Arial" w:hAnsi="Arial" w:cs="Arial"/>
          <w:sz w:val="16"/>
          <w:szCs w:val="16"/>
        </w:rPr>
        <w:t xml:space="preserve"> ISO</w:t>
      </w:r>
      <w:r w:rsidR="003426F4" w:rsidRPr="00500B16">
        <w:rPr>
          <w:rFonts w:ascii="Arial" w:hAnsi="Arial" w:cs="Arial"/>
          <w:sz w:val="16"/>
          <w:szCs w:val="16"/>
        </w:rPr>
        <w:t xml:space="preserve">’s </w:t>
      </w:r>
      <w:r w:rsidRPr="00500B16">
        <w:rPr>
          <w:rFonts w:ascii="Arial" w:hAnsi="Arial" w:cs="Arial"/>
          <w:sz w:val="16"/>
          <w:szCs w:val="16"/>
        </w:rPr>
        <w:t>R</w:t>
      </w:r>
      <w:r w:rsidR="00273981" w:rsidRPr="00500B16">
        <w:rPr>
          <w:rFonts w:ascii="Arial" w:hAnsi="Arial" w:cs="Arial"/>
          <w:sz w:val="16"/>
          <w:szCs w:val="16"/>
        </w:rPr>
        <w:t>EEI.</w:t>
      </w:r>
      <w:r w:rsidRPr="00500B16">
        <w:rPr>
          <w:rFonts w:ascii="Arial" w:hAnsi="Arial" w:cs="Arial"/>
          <w:sz w:val="16"/>
          <w:szCs w:val="16"/>
        </w:rPr>
        <w:t xml:space="preserve"> </w:t>
      </w:r>
    </w:p>
    <w:p w:rsidR="001B3090" w:rsidRPr="00500B16" w:rsidRDefault="00821C68">
      <w:pPr>
        <w:keepNext/>
        <w:suppressLineNumbers/>
        <w:suppressAutoHyphens/>
        <w:spacing w:after="0" w:line="240" w:lineRule="auto"/>
        <w:ind w:left="-187" w:right="-547" w:hanging="360"/>
        <w:rPr>
          <w:rFonts w:ascii="Arial" w:hAnsi="Arial" w:cs="Arial"/>
          <w:color w:val="000000" w:themeColor="text1"/>
          <w:sz w:val="16"/>
          <w:szCs w:val="16"/>
        </w:rPr>
      </w:pPr>
      <w:r w:rsidRPr="00500B16">
        <w:rPr>
          <w:rFonts w:ascii="Arial" w:hAnsi="Arial" w:cs="Arial"/>
          <w:sz w:val="16"/>
          <w:szCs w:val="16"/>
        </w:rPr>
        <w:t>(</w:t>
      </w:r>
      <w:r w:rsidR="00B23659" w:rsidRPr="00500B16">
        <w:rPr>
          <w:rFonts w:ascii="Arial" w:hAnsi="Arial" w:cs="Arial"/>
          <w:sz w:val="16"/>
          <w:szCs w:val="16"/>
        </w:rPr>
        <w:t>g</w:t>
      </w:r>
      <w:r w:rsidRPr="00500B16">
        <w:rPr>
          <w:rFonts w:ascii="Arial" w:hAnsi="Arial" w:cs="Arial"/>
          <w:sz w:val="16"/>
          <w:szCs w:val="16"/>
        </w:rPr>
        <w:t xml:space="preserve">) </w:t>
      </w:r>
      <w:r w:rsidR="00564A22" w:rsidRPr="00500B16">
        <w:rPr>
          <w:rFonts w:ascii="Arial" w:hAnsi="Arial" w:cs="Arial"/>
          <w:sz w:val="16"/>
          <w:szCs w:val="16"/>
        </w:rPr>
        <w:tab/>
      </w:r>
      <w:r w:rsidR="005B0673" w:rsidRPr="00500B16">
        <w:rPr>
          <w:rFonts w:ascii="Arial" w:hAnsi="Arial" w:cs="Arial"/>
          <w:sz w:val="16"/>
          <w:szCs w:val="16"/>
        </w:rPr>
        <w:t xml:space="preserve">Efficiency Maine, </w:t>
      </w:r>
      <w:r w:rsidRPr="00500B16">
        <w:rPr>
          <w:rFonts w:ascii="Arial" w:hAnsi="Arial" w:cs="Arial"/>
          <w:i/>
          <w:sz w:val="16"/>
          <w:szCs w:val="16"/>
        </w:rPr>
        <w:t>2008 Annual Report</w:t>
      </w:r>
      <w:r w:rsidR="003426F4" w:rsidRPr="00500B16">
        <w:rPr>
          <w:rFonts w:ascii="Arial" w:hAnsi="Arial" w:cs="Arial"/>
          <w:i/>
          <w:sz w:val="16"/>
          <w:szCs w:val="16"/>
        </w:rPr>
        <w:t xml:space="preserve"> </w:t>
      </w:r>
      <w:r w:rsidR="003426F4" w:rsidRPr="00500B16">
        <w:rPr>
          <w:rFonts w:ascii="Arial" w:hAnsi="Arial" w:cs="Arial"/>
          <w:sz w:val="16"/>
          <w:szCs w:val="16"/>
        </w:rPr>
        <w:t>(</w:t>
      </w:r>
      <w:r w:rsidR="007E7BD8" w:rsidRPr="00500B16">
        <w:rPr>
          <w:rFonts w:ascii="Arial" w:hAnsi="Arial" w:cs="Arial"/>
          <w:sz w:val="16"/>
          <w:szCs w:val="16"/>
        </w:rPr>
        <w:t>December 5, 2008</w:t>
      </w:r>
      <w:r w:rsidR="003426F4" w:rsidRPr="00500B16">
        <w:rPr>
          <w:rFonts w:ascii="Arial" w:hAnsi="Arial" w:cs="Arial"/>
          <w:sz w:val="16"/>
          <w:szCs w:val="16"/>
        </w:rPr>
        <w:t xml:space="preserve">); </w:t>
      </w:r>
      <w:hyperlink r:id="rId54" w:history="1">
        <w:r w:rsidR="003A0BED" w:rsidRPr="00500B16">
          <w:rPr>
            <w:rStyle w:val="Hyperlink"/>
            <w:rFonts w:ascii="Arial" w:hAnsi="Arial" w:cs="Arial"/>
            <w:color w:val="000000" w:themeColor="text1"/>
            <w:sz w:val="16"/>
            <w:szCs w:val="16"/>
            <w:u w:val="none"/>
          </w:rPr>
          <w:t>http://www.efficiencymaine.com/pdf/EM_AnnualReport2009_FINAL.pdf. Also see the “Efficiency Maine Trust” Web site; http://www.efficiencymainetrust.org/triennial.html</w:t>
        </w:r>
        <w:r w:rsidR="003A0BED" w:rsidRPr="00500B16">
          <w:rPr>
            <w:rStyle w:val="Hyperlink"/>
            <w:rFonts w:ascii="Arial" w:hAnsi="Arial" w:cs="Arial"/>
            <w:sz w:val="16"/>
            <w:szCs w:val="16"/>
            <w:u w:val="none"/>
          </w:rPr>
          <w:t>.</w:t>
        </w:r>
      </w:hyperlink>
    </w:p>
    <w:p w:rsidR="001B3090" w:rsidRDefault="001B3090">
      <w:pPr>
        <w:keepNext/>
        <w:suppressLineNumbers/>
        <w:suppressAutoHyphens/>
        <w:spacing w:after="80" w:line="240" w:lineRule="auto"/>
        <w:ind w:left="-187" w:right="-547" w:hanging="360"/>
        <w:rPr>
          <w:rFonts w:ascii="Arial" w:hAnsi="Arial" w:cs="Arial"/>
          <w:sz w:val="16"/>
          <w:szCs w:val="16"/>
        </w:rPr>
      </w:pPr>
    </w:p>
    <w:p w:rsidR="00F21BE4" w:rsidRDefault="00F21BE4">
      <w:pPr>
        <w:keepNext/>
        <w:suppressLineNumbers/>
        <w:suppressAutoHyphens/>
        <w:spacing w:after="0" w:line="240" w:lineRule="auto"/>
        <w:ind w:left="-360" w:right="-274"/>
        <w:rPr>
          <w:rFonts w:ascii="Arial" w:hAnsi="Arial" w:cs="Arial"/>
          <w:sz w:val="16"/>
          <w:szCs w:val="16"/>
        </w:rPr>
      </w:pPr>
    </w:p>
    <w:p w:rsidR="004001CC" w:rsidRPr="009E2A13" w:rsidRDefault="00721B7C" w:rsidP="00073277">
      <w:r>
        <w:t xml:space="preserve">EE resources that participate in the FCM are treated like traditional supply resources when </w:t>
      </w:r>
      <w:r w:rsidR="003426F4">
        <w:t xml:space="preserve">the </w:t>
      </w:r>
      <w:r>
        <w:t>ISO calculates the ICR (see</w:t>
      </w:r>
      <w:r w:rsidR="003426F4">
        <w:t xml:space="preserve"> Section</w:t>
      </w:r>
      <w:r>
        <w:t xml:space="preserve"> </w:t>
      </w:r>
      <w:r w:rsidR="00832C7A">
        <w:fldChar w:fldCharType="begin"/>
      </w:r>
      <w:r w:rsidR="003426F4">
        <w:instrText xml:space="preserve"> REF _Ref266541080 \r \h </w:instrText>
      </w:r>
      <w:r w:rsidR="00832C7A">
        <w:fldChar w:fldCharType="separate"/>
      </w:r>
      <w:r w:rsidR="00E5699E">
        <w:t>4.1</w:t>
      </w:r>
      <w:r w:rsidR="00832C7A">
        <w:fldChar w:fldCharType="end"/>
      </w:r>
      <w:r>
        <w:t>)</w:t>
      </w:r>
      <w:r w:rsidR="00662103">
        <w:t xml:space="preserve">. </w:t>
      </w:r>
      <w:r>
        <w:t>However, ISO’s load forecasting methodology does not incorporate projected energy savings from EE resources that do not participate in the FCM</w:t>
      </w:r>
      <w:r w:rsidR="00662103">
        <w:t xml:space="preserve">. </w:t>
      </w:r>
      <w:r w:rsidRPr="00D3526C">
        <w:t>The ISO’s energy forecast includes new federal appliance standards that will take effect in 2013</w:t>
      </w:r>
      <w:r w:rsidRPr="00C25F29">
        <w:t xml:space="preserve"> </w:t>
      </w:r>
      <w:r>
        <w:t xml:space="preserve">and </w:t>
      </w:r>
      <w:r w:rsidRPr="009E2A13">
        <w:t>the effect of historical energy-efficiency programs as they have lowered energy consumption over time</w:t>
      </w:r>
      <w:r w:rsidR="00E84B2C">
        <w:t xml:space="preserve">. </w:t>
      </w:r>
    </w:p>
    <w:p w:rsidR="004001CC" w:rsidRDefault="004001CC" w:rsidP="00073277">
      <w:r w:rsidRPr="001B5B11">
        <w:t xml:space="preserve">New England’s state-sponsored EE programs will likely </w:t>
      </w:r>
      <w:r>
        <w:t xml:space="preserve">have an </w:t>
      </w:r>
      <w:r w:rsidRPr="001B5B11">
        <w:t xml:space="preserve">overall </w:t>
      </w:r>
      <w:r>
        <w:t xml:space="preserve">long-term impact on </w:t>
      </w:r>
      <w:r w:rsidRPr="001B5B11">
        <w:t xml:space="preserve">energy usage in the region. </w:t>
      </w:r>
      <w:r>
        <w:t xml:space="preserve">Because of </w:t>
      </w:r>
      <w:r w:rsidRPr="001B5B11">
        <w:t>the diversity in size, scope, and focus of the state-sponsored EE programs</w:t>
      </w:r>
      <w:r>
        <w:t>,</w:t>
      </w:r>
      <w:r w:rsidRPr="00C70D89">
        <w:t xml:space="preserve"> </w:t>
      </w:r>
      <w:r w:rsidRPr="001B5B11">
        <w:t>calculat</w:t>
      </w:r>
      <w:r>
        <w:t>ing</w:t>
      </w:r>
      <w:r w:rsidRPr="00C70D89">
        <w:t xml:space="preserve"> </w:t>
      </w:r>
      <w:r>
        <w:t>the</w:t>
      </w:r>
      <w:r w:rsidRPr="00C70D89">
        <w:t xml:space="preserve"> </w:t>
      </w:r>
      <w:r w:rsidRPr="001B5B11">
        <w:t>cumulative impact of these programs</w:t>
      </w:r>
      <w:r>
        <w:t xml:space="preserve"> is challenging</w:t>
      </w:r>
      <w:r w:rsidRPr="00C70D89">
        <w:t xml:space="preserve">. </w:t>
      </w:r>
      <w:r w:rsidR="00721B7C">
        <w:t xml:space="preserve">Other challenges include </w:t>
      </w:r>
      <w:r w:rsidR="00721B7C" w:rsidRPr="009E2A13">
        <w:t xml:space="preserve">double-accounting concerns, monitoring and </w:t>
      </w:r>
      <w:r w:rsidR="00721B7C" w:rsidRPr="00B069EB">
        <w:t xml:space="preserve">verification, </w:t>
      </w:r>
      <w:r w:rsidR="003F449E" w:rsidRPr="00B069EB">
        <w:t>“</w:t>
      </w:r>
      <w:r w:rsidR="00721B7C" w:rsidRPr="00B069EB">
        <w:t>fatigue</w:t>
      </w:r>
      <w:r w:rsidR="003F449E" w:rsidRPr="00B069EB">
        <w:t>”</w:t>
      </w:r>
      <w:r w:rsidR="003426F4" w:rsidRPr="00B069EB">
        <w:t xml:space="preserve"> </w:t>
      </w:r>
      <w:r w:rsidR="00821C68" w:rsidRPr="00B069EB">
        <w:t xml:space="preserve">by those </w:t>
      </w:r>
      <w:r w:rsidR="00BD5091" w:rsidRPr="00BD5091">
        <w:t xml:space="preserve">repeatedly </w:t>
      </w:r>
      <w:r w:rsidR="00BD5091" w:rsidRPr="00D63053">
        <w:t xml:space="preserve">reducing energy use and choosing </w:t>
      </w:r>
      <w:r w:rsidR="00D63053" w:rsidRPr="00D63053">
        <w:t xml:space="preserve">not </w:t>
      </w:r>
      <w:r w:rsidR="00BD5091" w:rsidRPr="00D63053">
        <w:t>to continue to reduce use, and</w:t>
      </w:r>
      <w:r w:rsidR="00721B7C" w:rsidRPr="00D63053">
        <w:t xml:space="preserve"> the diversion of EE funding. </w:t>
      </w:r>
      <w:r w:rsidRPr="00D63053">
        <w:t>The ISO will continue to work with stakeholders to gain a better understanding of these programs and their impact on the power</w:t>
      </w:r>
      <w:r w:rsidRPr="001B5B11">
        <w:t xml:space="preserve"> system.</w:t>
      </w:r>
    </w:p>
    <w:p w:rsidR="001B3090" w:rsidRDefault="004001CC">
      <w:pPr>
        <w:pStyle w:val="Heading2"/>
      </w:pPr>
      <w:bookmarkStart w:id="637" w:name="_Ref266121520"/>
      <w:bookmarkStart w:id="638" w:name="_Ref266558378"/>
      <w:bookmarkStart w:id="639" w:name="_Ref266614382"/>
      <w:bookmarkStart w:id="640" w:name="_Toc271632292"/>
      <w:r w:rsidRPr="008B3F63">
        <w:t>Renewable Portfolio Standards, Projected Requirements</w:t>
      </w:r>
      <w:r>
        <w:t>,</w:t>
      </w:r>
      <w:r w:rsidRPr="008B3F63">
        <w:t xml:space="preserve"> and Potential Supply from the I</w:t>
      </w:r>
      <w:r w:rsidRPr="00550C10">
        <w:t xml:space="preserve">SO </w:t>
      </w:r>
      <w:r w:rsidRPr="00D3526C">
        <w:rPr>
          <w:szCs w:val="24"/>
        </w:rPr>
        <w:t>Queue</w:t>
      </w:r>
      <w:bookmarkEnd w:id="637"/>
      <w:bookmarkEnd w:id="638"/>
      <w:bookmarkEnd w:id="639"/>
      <w:bookmarkEnd w:id="640"/>
      <w:r w:rsidRPr="00550C10">
        <w:t xml:space="preserve"> </w:t>
      </w:r>
    </w:p>
    <w:p w:rsidR="00382018" w:rsidRDefault="004001CC" w:rsidP="00382018">
      <w:r w:rsidRPr="00A53278">
        <w:t xml:space="preserve">Five New England states have Renewable Portfolio Standards (RPSs), and Vermont has a goal for increasing energy usage from renewable resources. These Renewable Portfolio Standards represent state policy targets to be achieved </w:t>
      </w:r>
      <w:r w:rsidR="00987991" w:rsidRPr="00A53278">
        <w:t>by retail competitive suppliers and have been summarized in previous RSP reports</w:t>
      </w:r>
      <w:r w:rsidR="00916387" w:rsidRPr="00A53278">
        <w:t>.</w:t>
      </w:r>
      <w:r w:rsidR="00916387" w:rsidRPr="00ED46DB">
        <w:rPr>
          <w:rStyle w:val="FootnoteReference"/>
          <w:sz w:val="22"/>
        </w:rPr>
        <w:footnoteReference w:id="238"/>
      </w:r>
      <w:r w:rsidR="00916387" w:rsidRPr="00ED46DB">
        <w:t xml:space="preserve"> </w:t>
      </w:r>
      <w:r w:rsidR="00916387" w:rsidRPr="00A53278">
        <w:t xml:space="preserve">The retail electricity suppliers can meet the targets in a variety of ways, as discussed in this section. </w:t>
      </w:r>
    </w:p>
    <w:p w:rsidR="00382018" w:rsidRDefault="00832C7A" w:rsidP="00073277">
      <w:pPr>
        <w:sectPr w:rsidR="00382018" w:rsidSect="00015282">
          <w:pgSz w:w="12240" w:h="15840" w:code="1"/>
          <w:pgMar w:top="1350" w:right="1440" w:bottom="1440" w:left="1440" w:header="720" w:footer="720" w:gutter="0"/>
          <w:cols w:space="720"/>
          <w:docGrid w:linePitch="360"/>
        </w:sectPr>
      </w:pPr>
      <w:r>
        <w:fldChar w:fldCharType="begin"/>
      </w:r>
      <w:r w:rsidR="00382018">
        <w:instrText xml:space="preserve"> REF _Ref229902471 \h </w:instrText>
      </w:r>
      <w:r>
        <w:fldChar w:fldCharType="separate"/>
      </w:r>
      <w:r w:rsidR="00E5699E" w:rsidRPr="00C70D89">
        <w:t>Table </w:t>
      </w:r>
      <w:r w:rsidR="00E5699E">
        <w:rPr>
          <w:noProof/>
        </w:rPr>
        <w:t>8</w:t>
      </w:r>
      <w:r w:rsidR="00E5699E">
        <w:noBreakHyphen/>
      </w:r>
      <w:r w:rsidR="00E5699E">
        <w:rPr>
          <w:noProof/>
        </w:rPr>
        <w:t>14</w:t>
      </w:r>
      <w:r>
        <w:fldChar w:fldCharType="end"/>
      </w:r>
      <w:r w:rsidR="00382018">
        <w:t xml:space="preserve"> s</w:t>
      </w:r>
      <w:r w:rsidR="00382018" w:rsidRPr="00047FD8">
        <w:t>ummar</w:t>
      </w:r>
      <w:r w:rsidR="00382018">
        <w:t>izes the t</w:t>
      </w:r>
      <w:r w:rsidR="00382018" w:rsidRPr="00047FD8">
        <w:t xml:space="preserve">echnologies </w:t>
      </w:r>
      <w:r w:rsidR="00382018">
        <w:t>d</w:t>
      </w:r>
      <w:r w:rsidR="00382018" w:rsidRPr="00047FD8">
        <w:t>esignated in Renewable Portfolio Standards in New England</w:t>
      </w:r>
      <w:r w:rsidR="00382018">
        <w:t xml:space="preserve">. </w:t>
      </w:r>
      <w:r>
        <w:fldChar w:fldCharType="begin"/>
      </w:r>
      <w:r w:rsidR="00382018">
        <w:instrText xml:space="preserve"> REF _Ref241568708 \h </w:instrText>
      </w:r>
      <w:r>
        <w:fldChar w:fldCharType="separate"/>
      </w:r>
      <w:r w:rsidR="00E5699E">
        <w:t xml:space="preserve">Table </w:t>
      </w:r>
      <w:r w:rsidR="00E5699E">
        <w:rPr>
          <w:noProof/>
        </w:rPr>
        <w:t>8</w:t>
      </w:r>
      <w:r w:rsidR="00E5699E">
        <w:noBreakHyphen/>
      </w:r>
      <w:r w:rsidR="00E5699E">
        <w:rPr>
          <w:noProof/>
        </w:rPr>
        <w:t>15</w:t>
      </w:r>
      <w:r>
        <w:fldChar w:fldCharType="end"/>
      </w:r>
      <w:r w:rsidR="00382018">
        <w:t xml:space="preserve"> shows the annual percentages of electric energy consumption by </w:t>
      </w:r>
      <w:r w:rsidR="00987991" w:rsidRPr="00987991">
        <w:t xml:space="preserve">affected LSEs for meeting the states’ RPS </w:t>
      </w:r>
      <w:r w:rsidR="00D44939">
        <w:t>c</w:t>
      </w:r>
      <w:r w:rsidR="00987991" w:rsidRPr="00987991">
        <w:t>lasses through 2020. This section highlights the RPS changes that occurred over the past year.</w:t>
      </w:r>
    </w:p>
    <w:p w:rsidR="0010594B" w:rsidRDefault="004001CC">
      <w:pPr>
        <w:pStyle w:val="Caption"/>
      </w:pPr>
      <w:bookmarkStart w:id="641" w:name="_Ref229902471"/>
      <w:bookmarkStart w:id="642" w:name="_Toc176244947"/>
      <w:bookmarkStart w:id="643" w:name="_Toc200169059"/>
      <w:bookmarkStart w:id="644" w:name="_Toc200440162"/>
      <w:bookmarkStart w:id="645" w:name="_Toc207531984"/>
      <w:bookmarkStart w:id="646" w:name="_Toc239157235"/>
      <w:bookmarkStart w:id="647" w:name="_Toc271552434"/>
      <w:r w:rsidRPr="00C70D89">
        <w:t>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14</w:t>
      </w:r>
      <w:r w:rsidR="00832C7A">
        <w:fldChar w:fldCharType="end"/>
      </w:r>
      <w:bookmarkEnd w:id="641"/>
      <w:r>
        <w:br/>
        <w:t>Summary of Technologies Designated in Renewable Portfolio Standar</w:t>
      </w:r>
      <w:bookmarkEnd w:id="642"/>
      <w:r>
        <w:t>ds in New Engla</w:t>
      </w:r>
      <w:bookmarkEnd w:id="643"/>
      <w:r>
        <w:t>nd</w:t>
      </w:r>
      <w:bookmarkEnd w:id="644"/>
      <w:bookmarkEnd w:id="645"/>
      <w:bookmarkEnd w:id="646"/>
      <w:bookmarkEnd w:id="647"/>
    </w:p>
    <w:tbl>
      <w:tblPr>
        <w:tblW w:w="14213"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3" w:type="dxa"/>
          <w:left w:w="0" w:type="dxa"/>
          <w:bottom w:w="43" w:type="dxa"/>
          <w:right w:w="0" w:type="dxa"/>
        </w:tblCellMar>
        <w:tblLook w:val="0000"/>
      </w:tblPr>
      <w:tblGrid>
        <w:gridCol w:w="2449"/>
        <w:gridCol w:w="1331"/>
        <w:gridCol w:w="970"/>
        <w:gridCol w:w="1157"/>
        <w:gridCol w:w="1065"/>
        <w:gridCol w:w="884"/>
        <w:gridCol w:w="655"/>
        <w:gridCol w:w="819"/>
        <w:gridCol w:w="839"/>
        <w:gridCol w:w="1025"/>
        <w:gridCol w:w="1011"/>
        <w:gridCol w:w="612"/>
        <w:gridCol w:w="770"/>
        <w:gridCol w:w="626"/>
      </w:tblGrid>
      <w:tr w:rsidR="004001CC" w:rsidRPr="00FD2CB0" w:rsidTr="006B484F">
        <w:trPr>
          <w:cantSplit/>
          <w:jc w:val="center"/>
        </w:trPr>
        <w:tc>
          <w:tcPr>
            <w:tcW w:w="2451" w:type="dxa"/>
            <w:vMerge w:val="restart"/>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Technology</w:t>
            </w:r>
          </w:p>
        </w:tc>
        <w:tc>
          <w:tcPr>
            <w:tcW w:w="3459" w:type="dxa"/>
            <w:gridSpan w:val="3"/>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CT Classes</w:t>
            </w:r>
          </w:p>
        </w:tc>
        <w:tc>
          <w:tcPr>
            <w:tcW w:w="2604" w:type="dxa"/>
            <w:gridSpan w:val="3"/>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MA Classes</w:t>
            </w:r>
            <w:r w:rsidRPr="00FD2CB0">
              <w:rPr>
                <w:rFonts w:ascii="Arial" w:hAnsi="Arial" w:cs="Arial"/>
                <w:b/>
                <w:sz w:val="16"/>
                <w:szCs w:val="16"/>
                <w:vertAlign w:val="superscript"/>
              </w:rPr>
              <w:t>(a)</w:t>
            </w:r>
          </w:p>
        </w:tc>
        <w:tc>
          <w:tcPr>
            <w:tcW w:w="1658" w:type="dxa"/>
            <w:gridSpan w:val="2"/>
            <w:shd w:val="clear" w:color="auto" w:fill="FBCE76" w:themeFill="background2" w:themeFillTint="99"/>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ME Classes</w:t>
            </w:r>
          </w:p>
        </w:tc>
        <w:tc>
          <w:tcPr>
            <w:tcW w:w="1025" w:type="dxa"/>
            <w:vMerge w:val="restart"/>
            <w:shd w:val="clear" w:color="auto" w:fill="FBCE76" w:themeFill="background2" w:themeFillTint="99"/>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RI</w:t>
            </w:r>
          </w:p>
        </w:tc>
        <w:tc>
          <w:tcPr>
            <w:tcW w:w="3016" w:type="dxa"/>
            <w:gridSpan w:val="4"/>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NH Classes</w:t>
            </w:r>
          </w:p>
        </w:tc>
      </w:tr>
      <w:tr w:rsidR="00C20F34" w:rsidRPr="00FD2CB0" w:rsidTr="006B484F">
        <w:trPr>
          <w:cantSplit/>
          <w:jc w:val="center"/>
        </w:trPr>
        <w:tc>
          <w:tcPr>
            <w:tcW w:w="2451" w:type="dxa"/>
            <w:vMerge/>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p>
        </w:tc>
        <w:tc>
          <w:tcPr>
            <w:tcW w:w="1332"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p>
        </w:tc>
        <w:tc>
          <w:tcPr>
            <w:tcW w:w="970"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smartTag w:uri="urn:schemas-microsoft-com:office:smarttags" w:element="stockticker">
              <w:r w:rsidRPr="00FD2CB0">
                <w:rPr>
                  <w:rFonts w:ascii="Arial" w:hAnsi="Arial" w:cs="Arial"/>
                  <w:b/>
                  <w:sz w:val="16"/>
                  <w:szCs w:val="16"/>
                </w:rPr>
                <w:t>I</w:t>
              </w:r>
            </w:smartTag>
          </w:p>
        </w:tc>
        <w:tc>
          <w:tcPr>
            <w:tcW w:w="1157"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smartTag w:uri="urn:schemas-microsoft-com:office:smarttags" w:element="stockticker">
              <w:r w:rsidRPr="00FD2CB0">
                <w:rPr>
                  <w:rFonts w:ascii="Arial" w:hAnsi="Arial" w:cs="Arial"/>
                  <w:b/>
                  <w:sz w:val="16"/>
                  <w:szCs w:val="16"/>
                </w:rPr>
                <w:t>III</w:t>
              </w:r>
            </w:smartTag>
          </w:p>
        </w:tc>
        <w:tc>
          <w:tcPr>
            <w:tcW w:w="1065"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p>
        </w:tc>
        <w:tc>
          <w:tcPr>
            <w:tcW w:w="884"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IIa</w:t>
            </w:r>
          </w:p>
        </w:tc>
        <w:tc>
          <w:tcPr>
            <w:tcW w:w="655"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IIb</w:t>
            </w:r>
          </w:p>
        </w:tc>
        <w:tc>
          <w:tcPr>
            <w:tcW w:w="819" w:type="dxa"/>
            <w:shd w:val="clear" w:color="auto" w:fill="FBCE76" w:themeFill="background2" w:themeFillTint="99"/>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p>
        </w:tc>
        <w:tc>
          <w:tcPr>
            <w:tcW w:w="839"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II</w:t>
            </w:r>
          </w:p>
        </w:tc>
        <w:tc>
          <w:tcPr>
            <w:tcW w:w="1025" w:type="dxa"/>
            <w:vMerge/>
            <w:shd w:val="clear" w:color="auto" w:fill="FBCE76" w:themeFill="background2" w:themeFillTint="99"/>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b/>
                <w:sz w:val="16"/>
                <w:szCs w:val="16"/>
              </w:rPr>
            </w:pPr>
          </w:p>
        </w:tc>
        <w:tc>
          <w:tcPr>
            <w:tcW w:w="1011" w:type="dxa"/>
            <w:shd w:val="clear" w:color="auto" w:fill="FBCE76" w:themeFill="background2" w:themeFillTint="99"/>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p>
        </w:tc>
        <w:tc>
          <w:tcPr>
            <w:tcW w:w="612" w:type="dxa"/>
            <w:shd w:val="clear" w:color="auto" w:fill="FBCE76" w:themeFill="background2" w:themeFillTint="99"/>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w:t>
            </w:r>
            <w:smartTag w:uri="urn:schemas-microsoft-com:office:smarttags" w:element="stockticker">
              <w:r w:rsidRPr="00FD2CB0">
                <w:rPr>
                  <w:rFonts w:ascii="Arial" w:hAnsi="Arial" w:cs="Arial"/>
                  <w:b/>
                  <w:sz w:val="16"/>
                  <w:szCs w:val="16"/>
                </w:rPr>
                <w:t>I</w:t>
              </w:r>
            </w:smartTag>
          </w:p>
        </w:tc>
        <w:tc>
          <w:tcPr>
            <w:tcW w:w="767" w:type="dxa"/>
            <w:shd w:val="clear" w:color="auto" w:fill="FBCE76" w:themeFill="background2" w:themeFillTint="99"/>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smartTag w:uri="urn:schemas-microsoft-com:office:smarttags" w:element="stockticker">
              <w:r w:rsidRPr="00FD2CB0">
                <w:rPr>
                  <w:rFonts w:ascii="Arial" w:hAnsi="Arial" w:cs="Arial"/>
                  <w:b/>
                  <w:sz w:val="16"/>
                  <w:szCs w:val="16"/>
                </w:rPr>
                <w:t>III</w:t>
              </w:r>
            </w:smartTag>
          </w:p>
        </w:tc>
        <w:tc>
          <w:tcPr>
            <w:tcW w:w="626" w:type="dxa"/>
            <w:shd w:val="clear" w:color="auto" w:fill="FBCE76" w:themeFill="background2" w:themeFillTint="99"/>
            <w:tcMar>
              <w:top w:w="43" w:type="dxa"/>
              <w:bottom w:w="43" w:type="dxa"/>
            </w:tcMar>
            <w:vAlign w:val="center"/>
          </w:tcPr>
          <w:p w:rsidR="004001CC" w:rsidRPr="00FD2CB0" w:rsidRDefault="004001CC" w:rsidP="006B484F">
            <w:pPr>
              <w:spacing w:after="0" w:line="240" w:lineRule="auto"/>
              <w:jc w:val="center"/>
              <w:rPr>
                <w:rFonts w:ascii="Arial" w:hAnsi="Arial" w:cs="Arial"/>
                <w:b/>
                <w:sz w:val="16"/>
                <w:szCs w:val="16"/>
              </w:rPr>
            </w:pPr>
            <w:r w:rsidRPr="00FD2CB0">
              <w:rPr>
                <w:rFonts w:ascii="Arial" w:hAnsi="Arial" w:cs="Arial"/>
                <w:b/>
                <w:sz w:val="16"/>
                <w:szCs w:val="16"/>
              </w:rPr>
              <w:t>IV</w:t>
            </w:r>
          </w:p>
        </w:tc>
      </w:tr>
      <w:tr w:rsidR="00C20F34" w:rsidRPr="00FD2CB0" w:rsidTr="006B484F">
        <w:trPr>
          <w:cantSplit/>
          <w:jc w:val="center"/>
        </w:trPr>
        <w:tc>
          <w:tcPr>
            <w:tcW w:w="2451" w:type="dxa"/>
            <w:shd w:val="clear" w:color="auto" w:fill="auto"/>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Solar thermal</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Photovoltaic</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Ocean thermal</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Wave</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Tidal</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Marine or hydrokinetic</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Hydro</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&lt;5 MW</w:t>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&lt;5 MW</w:t>
            </w: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&lt;25 MW</w:t>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&lt;5 MW</w:t>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FD2CB0">
              <w:rPr>
                <w:rFonts w:ascii="Arial" w:hAnsi="Arial" w:cs="Arial"/>
                <w:sz w:val="16"/>
                <w:szCs w:val="16"/>
                <w:vertAlign w:val="superscript"/>
              </w:rPr>
              <w:t>(b)</w:t>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&lt;30 MW</w:t>
            </w:r>
          </w:p>
        </w:tc>
        <w:tc>
          <w:tcPr>
            <w:tcW w:w="1011" w:type="dxa"/>
            <w:shd w:val="clear" w:color="auto" w:fill="FDEED1" w:themeFill="background2" w:themeFillTint="33"/>
            <w:tcMar>
              <w:top w:w="43" w:type="dxa"/>
              <w:left w:w="58" w:type="dxa"/>
              <w:bottom w:w="43" w:type="dxa"/>
            </w:tcMar>
            <w:vAlign w:val="center"/>
          </w:tcPr>
          <w:p w:rsidR="004001CC" w:rsidRPr="00FD2CB0" w:rsidRDefault="00777C0C" w:rsidP="006B484F">
            <w:pPr>
              <w:spacing w:after="0" w:line="240" w:lineRule="auto"/>
              <w:jc w:val="center"/>
              <w:rPr>
                <w:rFonts w:ascii="Arial" w:hAnsi="Arial" w:cs="Arial"/>
                <w:sz w:val="16"/>
                <w:szCs w:val="16"/>
              </w:rPr>
            </w:pPr>
            <w:r>
              <w:rPr>
                <w:rFonts w:ascii="Arial" w:hAnsi="Arial" w:cs="Arial"/>
                <w:sz w:val="16"/>
                <w:szCs w:val="16"/>
              </w:rPr>
              <w:t>incremental</w:t>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&lt;5 MW</w:t>
            </w: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3453C2" w:rsidP="006B484F">
            <w:pPr>
              <w:spacing w:after="0" w:line="240" w:lineRule="auto"/>
              <w:rPr>
                <w:rFonts w:ascii="Arial" w:hAnsi="Arial" w:cs="Arial"/>
                <w:b/>
                <w:sz w:val="16"/>
                <w:szCs w:val="16"/>
              </w:rPr>
            </w:pPr>
            <w:r>
              <w:rPr>
                <w:rFonts w:ascii="Arial" w:hAnsi="Arial" w:cs="Arial"/>
                <w:b/>
                <w:sz w:val="16"/>
                <w:szCs w:val="16"/>
              </w:rPr>
              <w:t>Wind</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BC552A" w:rsidP="006B484F">
            <w:pPr>
              <w:spacing w:after="0" w:line="240" w:lineRule="auto"/>
              <w:jc w:val="center"/>
              <w:rPr>
                <w:rFonts w:ascii="Arial" w:hAnsi="Arial" w:cs="Arial"/>
                <w:sz w:val="16"/>
                <w:szCs w:val="16"/>
              </w:rPr>
            </w:pPr>
            <w:r>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Biomass, biofuels</w:t>
            </w:r>
          </w:p>
        </w:tc>
        <w:tc>
          <w:tcPr>
            <w:tcW w:w="1332" w:type="dxa"/>
            <w:shd w:val="clear" w:color="auto" w:fill="FDEED1" w:themeFill="background2" w:themeFillTint="33"/>
            <w:tcMar>
              <w:top w:w="43" w:type="dxa"/>
              <w:left w:w="58" w:type="dxa"/>
              <w:bottom w:w="43" w:type="dxa"/>
              <w:right w:w="29"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Sustainable, advanced conversion low NO</w:t>
            </w:r>
            <w:r w:rsidRPr="00FD2CB0">
              <w:rPr>
                <w:rFonts w:ascii="Arial" w:hAnsi="Arial" w:cs="Arial"/>
                <w:sz w:val="16"/>
                <w:szCs w:val="16"/>
                <w:vertAlign w:val="subscript"/>
              </w:rPr>
              <w:t>X</w:t>
            </w:r>
            <w:r w:rsidRPr="00FD2CB0">
              <w:rPr>
                <w:rFonts w:ascii="Arial" w:hAnsi="Arial" w:cs="Arial"/>
                <w:sz w:val="16"/>
                <w:szCs w:val="16"/>
              </w:rPr>
              <w:t xml:space="preserve"> emissions</w:t>
            </w:r>
            <w:r w:rsidRPr="00FD2CB0">
              <w:rPr>
                <w:rFonts w:ascii="Arial" w:hAnsi="Arial" w:cs="Arial"/>
                <w:sz w:val="16"/>
                <w:szCs w:val="16"/>
                <w:vertAlign w:val="superscript"/>
              </w:rPr>
              <w:t>(</w:t>
            </w:r>
            <w:r w:rsidR="00463DDD">
              <w:rPr>
                <w:rFonts w:ascii="Arial" w:hAnsi="Arial" w:cs="Arial"/>
                <w:sz w:val="16"/>
                <w:szCs w:val="16"/>
                <w:vertAlign w:val="superscript"/>
              </w:rPr>
              <w:t>c</w:t>
            </w:r>
            <w:r w:rsidRPr="00FD2CB0">
              <w:rPr>
                <w:rFonts w:ascii="Arial" w:hAnsi="Arial" w:cs="Arial"/>
                <w:sz w:val="16"/>
                <w:szCs w:val="16"/>
                <w:vertAlign w:val="superscript"/>
              </w:rPr>
              <w:t>)</w:t>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Low-emission, advanced technology</w:t>
            </w:r>
            <w:r w:rsidRPr="00FD2CB0">
              <w:rPr>
                <w:rFonts w:ascii="Arial" w:hAnsi="Arial" w:cs="Arial"/>
                <w:sz w:val="16"/>
                <w:szCs w:val="16"/>
                <w:vertAlign w:val="superscript"/>
              </w:rPr>
              <w:t>(</w:t>
            </w:r>
            <w:r w:rsidR="00463DDD">
              <w:rPr>
                <w:rFonts w:ascii="Arial" w:hAnsi="Arial" w:cs="Arial"/>
                <w:sz w:val="16"/>
                <w:szCs w:val="16"/>
                <w:vertAlign w:val="superscript"/>
              </w:rPr>
              <w:t>c</w:t>
            </w:r>
            <w:r w:rsidRPr="00FD2CB0">
              <w:rPr>
                <w:rFonts w:ascii="Arial" w:hAnsi="Arial" w:cs="Arial"/>
                <w:sz w:val="16"/>
                <w:szCs w:val="16"/>
                <w:vertAlign w:val="superscript"/>
              </w:rPr>
              <w:t>)</w:t>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FD2CB0">
              <w:rPr>
                <w:rFonts w:ascii="Arial" w:hAnsi="Arial" w:cs="Arial"/>
                <w:sz w:val="16"/>
                <w:szCs w:val="16"/>
                <w:vertAlign w:val="superscript"/>
              </w:rPr>
              <w:t>(</w:t>
            </w:r>
            <w:r w:rsidR="00463DDD">
              <w:rPr>
                <w:rFonts w:ascii="Arial" w:hAnsi="Arial" w:cs="Arial"/>
                <w:sz w:val="16"/>
                <w:szCs w:val="16"/>
                <w:vertAlign w:val="superscript"/>
              </w:rPr>
              <w:t>d</w:t>
            </w:r>
            <w:r w:rsidRPr="00FD2CB0">
              <w:rPr>
                <w:rFonts w:ascii="Arial" w:hAnsi="Arial" w:cs="Arial"/>
                <w:sz w:val="16"/>
                <w:szCs w:val="16"/>
                <w:vertAlign w:val="superscript"/>
              </w:rPr>
              <w:t>)</w:t>
            </w: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FD2CB0">
              <w:rPr>
                <w:rFonts w:ascii="Arial" w:hAnsi="Arial" w:cs="Arial"/>
                <w:sz w:val="16"/>
                <w:szCs w:val="16"/>
              </w:rPr>
              <w:t xml:space="preserve"> Includes cofiring with fossil fuels</w:t>
            </w:r>
          </w:p>
        </w:tc>
        <w:tc>
          <w:tcPr>
            <w:tcW w:w="1011" w:type="dxa"/>
            <w:shd w:val="clear" w:color="auto" w:fill="FDEED1" w:themeFill="background2" w:themeFillTint="33"/>
            <w:tcMar>
              <w:top w:w="43" w:type="dxa"/>
              <w:left w:w="58" w:type="dxa"/>
              <w:bottom w:w="43" w:type="dxa"/>
            </w:tcMar>
            <w:vAlign w:val="center"/>
          </w:tcPr>
          <w:p w:rsidR="00047CF5" w:rsidRPr="009C0F31" w:rsidRDefault="00987991" w:rsidP="006B484F">
            <w:pPr>
              <w:spacing w:after="0" w:line="240" w:lineRule="auto"/>
              <w:jc w:val="center"/>
              <w:rPr>
                <w:rFonts w:ascii="Arial" w:hAnsi="Arial" w:cs="Arial"/>
                <w:sz w:val="16"/>
                <w:szCs w:val="16"/>
              </w:rPr>
            </w:pPr>
            <w:r w:rsidRPr="00987991">
              <w:rPr>
                <w:rFonts w:ascii="Arial" w:hAnsi="Arial" w:cs="Arial"/>
                <w:sz w:val="16"/>
                <w:szCs w:val="16"/>
              </w:rPr>
              <w:t>Low NO</w:t>
            </w:r>
            <w:r w:rsidRPr="00987991">
              <w:rPr>
                <w:rFonts w:ascii="Arial" w:hAnsi="Arial" w:cs="Arial"/>
                <w:sz w:val="16"/>
                <w:szCs w:val="16"/>
                <w:vertAlign w:val="subscript"/>
              </w:rPr>
              <w:t>X</w:t>
            </w:r>
            <w:r w:rsidRPr="00987991">
              <w:rPr>
                <w:rFonts w:ascii="Arial" w:hAnsi="Arial" w:cs="Arial"/>
                <w:sz w:val="16"/>
                <w:szCs w:val="16"/>
              </w:rPr>
              <w:t>, and PM emissions</w:t>
            </w:r>
          </w:p>
        </w:tc>
        <w:tc>
          <w:tcPr>
            <w:tcW w:w="612" w:type="dxa"/>
            <w:shd w:val="clear" w:color="auto" w:fill="FDEED1" w:themeFill="background2" w:themeFillTint="33"/>
            <w:tcMar>
              <w:top w:w="43" w:type="dxa"/>
              <w:left w:w="58" w:type="dxa"/>
              <w:bottom w:w="43" w:type="dxa"/>
            </w:tcMar>
            <w:vAlign w:val="center"/>
          </w:tcPr>
          <w:p w:rsidR="004001CC" w:rsidRPr="009C0F31"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047CF5" w:rsidRPr="009C0F31" w:rsidRDefault="00987991" w:rsidP="006B484F">
            <w:pPr>
              <w:spacing w:after="0" w:line="240" w:lineRule="auto"/>
              <w:jc w:val="center"/>
              <w:rPr>
                <w:rFonts w:ascii="Arial" w:hAnsi="Arial" w:cs="Arial"/>
                <w:sz w:val="16"/>
                <w:szCs w:val="16"/>
              </w:rPr>
            </w:pPr>
            <w:r w:rsidRPr="00987991">
              <w:rPr>
                <w:rFonts w:ascii="Arial" w:hAnsi="Arial" w:cs="Arial"/>
                <w:sz w:val="16"/>
                <w:szCs w:val="16"/>
              </w:rPr>
              <w:t>&lt;25 MW, Low NO</w:t>
            </w:r>
            <w:r w:rsidRPr="00987991">
              <w:rPr>
                <w:rFonts w:ascii="Arial" w:hAnsi="Arial" w:cs="Arial"/>
                <w:sz w:val="16"/>
                <w:szCs w:val="16"/>
                <w:vertAlign w:val="subscript"/>
              </w:rPr>
              <w:t>X</w:t>
            </w:r>
            <w:r w:rsidRPr="00987991">
              <w:rPr>
                <w:rFonts w:ascii="Arial" w:hAnsi="Arial" w:cs="Arial"/>
                <w:sz w:val="16"/>
                <w:szCs w:val="16"/>
              </w:rPr>
              <w:t>, and PM emissions</w:t>
            </w: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597439" w:rsidTr="006B484F">
        <w:trPr>
          <w:cantSplit/>
          <w:jc w:val="center"/>
        </w:trPr>
        <w:tc>
          <w:tcPr>
            <w:tcW w:w="2451" w:type="dxa"/>
            <w:tcMar>
              <w:top w:w="43" w:type="dxa"/>
              <w:left w:w="58" w:type="dxa"/>
              <w:bottom w:w="43" w:type="dxa"/>
            </w:tcMar>
            <w:vAlign w:val="center"/>
          </w:tcPr>
          <w:p w:rsidR="004001CC" w:rsidRPr="00597439" w:rsidRDefault="00065DED" w:rsidP="006B484F">
            <w:pPr>
              <w:spacing w:after="0" w:line="240" w:lineRule="auto"/>
              <w:rPr>
                <w:rFonts w:ascii="Arial" w:hAnsi="Arial" w:cs="Arial"/>
                <w:b/>
                <w:sz w:val="16"/>
                <w:szCs w:val="16"/>
              </w:rPr>
            </w:pPr>
            <w:r w:rsidRPr="00597439">
              <w:rPr>
                <w:rFonts w:ascii="Arial" w:hAnsi="Arial" w:cs="Arial"/>
                <w:b/>
                <w:sz w:val="16"/>
                <w:szCs w:val="16"/>
              </w:rPr>
              <w:t>Landfill gas</w:t>
            </w:r>
          </w:p>
        </w:tc>
        <w:tc>
          <w:tcPr>
            <w:tcW w:w="1332"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p>
        </w:tc>
        <w:tc>
          <w:tcPr>
            <w:tcW w:w="884" w:type="dxa"/>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r w:rsidR="00044FFC" w:rsidRPr="00597439">
              <w:rPr>
                <w:rFonts w:ascii="Arial" w:hAnsi="Arial" w:cs="Arial"/>
                <w:sz w:val="16"/>
                <w:szCs w:val="16"/>
                <w:vertAlign w:val="superscript"/>
              </w:rPr>
              <w:t>(e)</w:t>
            </w:r>
          </w:p>
        </w:tc>
        <w:tc>
          <w:tcPr>
            <w:tcW w:w="612"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597439" w:rsidRDefault="00065DED" w:rsidP="006B484F">
            <w:pPr>
              <w:spacing w:after="0" w:line="240" w:lineRule="auto"/>
              <w:jc w:val="center"/>
              <w:rPr>
                <w:rFonts w:ascii="Arial" w:hAnsi="Arial" w:cs="Arial"/>
                <w:sz w:val="16"/>
                <w:szCs w:val="16"/>
              </w:rPr>
            </w:pPr>
            <w:r w:rsidRPr="00597439">
              <w:rPr>
                <w:rFonts w:ascii="Arial" w:hAnsi="Arial" w:cs="Arial"/>
                <w:sz w:val="16"/>
                <w:szCs w:val="16"/>
              </w:rPr>
              <w:sym w:font="Wingdings" w:char="F0FC"/>
            </w:r>
            <w:r w:rsidRPr="00597439">
              <w:rPr>
                <w:rFonts w:ascii="Arial" w:hAnsi="Arial" w:cs="Arial"/>
                <w:sz w:val="16"/>
                <w:szCs w:val="16"/>
                <w:vertAlign w:val="superscript"/>
              </w:rPr>
              <w:t>(e)</w:t>
            </w:r>
          </w:p>
        </w:tc>
        <w:tc>
          <w:tcPr>
            <w:tcW w:w="626" w:type="dxa"/>
            <w:shd w:val="clear" w:color="auto" w:fill="FDEED1" w:themeFill="background2" w:themeFillTint="33"/>
            <w:tcMar>
              <w:top w:w="43" w:type="dxa"/>
              <w:left w:w="58" w:type="dxa"/>
              <w:bottom w:w="43" w:type="dxa"/>
            </w:tcMar>
            <w:vAlign w:val="center"/>
          </w:tcPr>
          <w:p w:rsidR="004001CC" w:rsidRPr="00597439"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Anaerobic digester</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Fuel cells</w:t>
            </w:r>
            <w:r w:rsidRPr="00FD2CB0">
              <w:rPr>
                <w:rFonts w:ascii="Arial" w:hAnsi="Arial" w:cs="Arial"/>
                <w:b/>
                <w:sz w:val="16"/>
                <w:szCs w:val="16"/>
                <w:vertAlign w:val="superscript"/>
              </w:rPr>
              <w:t>(</w:t>
            </w:r>
            <w:r w:rsidR="00746828">
              <w:rPr>
                <w:rFonts w:ascii="Arial" w:hAnsi="Arial" w:cs="Arial"/>
                <w:b/>
                <w:sz w:val="16"/>
                <w:szCs w:val="16"/>
                <w:vertAlign w:val="superscript"/>
              </w:rPr>
              <w:t>f</w:t>
            </w:r>
            <w:r w:rsidRPr="00FD2CB0">
              <w:rPr>
                <w:rFonts w:ascii="Arial" w:hAnsi="Arial" w:cs="Arial"/>
                <w:b/>
                <w:sz w:val="16"/>
                <w:szCs w:val="16"/>
                <w:vertAlign w:val="superscript"/>
              </w:rPr>
              <w:t>)</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w/</w:t>
            </w:r>
            <w:r w:rsidRPr="00FD2CB0">
              <w:rPr>
                <w:rFonts w:ascii="Arial" w:hAnsi="Arial" w:cs="Arial"/>
                <w:sz w:val="16"/>
                <w:szCs w:val="16"/>
              </w:rPr>
              <w:br/>
              <w:t>renewable fuels</w:t>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w/</w:t>
            </w:r>
            <w:r w:rsidRPr="00FD2CB0">
              <w:rPr>
                <w:rFonts w:ascii="Arial" w:hAnsi="Arial" w:cs="Arial"/>
                <w:sz w:val="16"/>
                <w:szCs w:val="16"/>
              </w:rPr>
              <w:br/>
              <w:t>renewable resources</w:t>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Geothermal</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Municipal solid waste</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FD2CB0">
              <w:rPr>
                <w:rFonts w:ascii="Arial" w:hAnsi="Arial" w:cs="Arial"/>
                <w:sz w:val="16"/>
                <w:szCs w:val="16"/>
              </w:rPr>
              <w:t>w/</w:t>
            </w:r>
            <w:r w:rsidRPr="00FD2CB0">
              <w:rPr>
                <w:rFonts w:ascii="Arial" w:hAnsi="Arial" w:cs="Arial"/>
                <w:sz w:val="16"/>
                <w:szCs w:val="16"/>
              </w:rPr>
              <w:br/>
              <w:t>recycling</w:t>
            </w: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Cogeneration,</w:t>
            </w:r>
            <w:r w:rsidRPr="00FD2CB0">
              <w:rPr>
                <w:rFonts w:ascii="Arial" w:hAnsi="Arial" w:cs="Arial"/>
                <w:b/>
                <w:sz w:val="16"/>
                <w:szCs w:val="16"/>
              </w:rPr>
              <w:br/>
              <w:t>combined heat and power</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t>Customer sites, minimum 50% fuel efficiency</w:t>
            </w:r>
          </w:p>
        </w:tc>
        <w:tc>
          <w:tcPr>
            <w:tcW w:w="1065" w:type="dxa"/>
            <w:tcMar>
              <w:top w:w="43" w:type="dxa"/>
              <w:left w:w="58" w:type="dxa"/>
              <w:bottom w:w="43" w:type="dxa"/>
            </w:tcMar>
            <w:vAlign w:val="center"/>
          </w:tcPr>
          <w:p w:rsidR="004001CC" w:rsidRPr="00FD2CB0" w:rsidRDefault="00B5673E"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C323B0" w:rsidDel="00B5673E">
              <w:rPr>
                <w:rFonts w:ascii="Arial" w:hAnsi="Arial" w:cs="Arial"/>
                <w:sz w:val="16"/>
                <w:szCs w:val="16"/>
              </w:rPr>
              <w:t xml:space="preserve"> </w:t>
            </w: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r w:rsidRPr="00FD2CB0">
              <w:rPr>
                <w:rFonts w:ascii="Arial" w:hAnsi="Arial" w:cs="Arial"/>
                <w:sz w:val="16"/>
                <w:szCs w:val="16"/>
                <w:vertAlign w:val="superscript"/>
              </w:rPr>
              <w:t>(</w:t>
            </w:r>
            <w:r w:rsidR="00746828">
              <w:rPr>
                <w:rFonts w:ascii="Arial" w:hAnsi="Arial" w:cs="Arial"/>
                <w:sz w:val="16"/>
                <w:szCs w:val="16"/>
                <w:vertAlign w:val="superscript"/>
              </w:rPr>
              <w:t>d</w:t>
            </w:r>
            <w:r w:rsidRPr="00FD2CB0">
              <w:rPr>
                <w:rFonts w:ascii="Arial" w:hAnsi="Arial" w:cs="Arial"/>
                <w:sz w:val="16"/>
                <w:szCs w:val="16"/>
                <w:vertAlign w:val="superscript"/>
              </w:rPr>
              <w:t>)</w:t>
            </w: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r>
      <w:tr w:rsidR="00C20F34" w:rsidRPr="00FD2CB0" w:rsidTr="006B484F">
        <w:trPr>
          <w:cantSplit/>
          <w:jc w:val="center"/>
        </w:trPr>
        <w:tc>
          <w:tcPr>
            <w:tcW w:w="2451" w:type="dxa"/>
            <w:tcMar>
              <w:top w:w="43" w:type="dxa"/>
              <w:left w:w="58" w:type="dxa"/>
              <w:bottom w:w="43" w:type="dxa"/>
            </w:tcMar>
            <w:vAlign w:val="center"/>
          </w:tcPr>
          <w:p w:rsidR="004001CC" w:rsidRPr="00FD2CB0" w:rsidRDefault="004001CC" w:rsidP="006B484F">
            <w:pPr>
              <w:spacing w:after="0" w:line="240" w:lineRule="auto"/>
              <w:rPr>
                <w:rFonts w:ascii="Arial" w:hAnsi="Arial" w:cs="Arial"/>
                <w:b/>
                <w:sz w:val="16"/>
                <w:szCs w:val="16"/>
              </w:rPr>
            </w:pPr>
            <w:r w:rsidRPr="00FD2CB0">
              <w:rPr>
                <w:rFonts w:ascii="Arial" w:hAnsi="Arial" w:cs="Arial"/>
                <w:b/>
                <w:sz w:val="16"/>
                <w:szCs w:val="16"/>
              </w:rPr>
              <w:t>Energy efficiency</w:t>
            </w:r>
          </w:p>
        </w:tc>
        <w:tc>
          <w:tcPr>
            <w:tcW w:w="133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970"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15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r w:rsidRPr="00FD2CB0">
              <w:rPr>
                <w:rFonts w:ascii="Arial" w:hAnsi="Arial" w:cs="Arial"/>
                <w:sz w:val="16"/>
                <w:szCs w:val="16"/>
              </w:rPr>
              <w:sym w:font="Wingdings" w:char="F0FC"/>
            </w:r>
          </w:p>
        </w:tc>
        <w:tc>
          <w:tcPr>
            <w:tcW w:w="1065"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84" w:type="dxa"/>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55" w:type="dxa"/>
            <w:shd w:val="clear" w:color="auto" w:fill="auto"/>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1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839"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25" w:type="dxa"/>
            <w:tcMar>
              <w:top w:w="43" w:type="dxa"/>
              <w:left w:w="58" w:type="dxa"/>
              <w:bottom w:w="43" w:type="dxa"/>
              <w:right w:w="115" w:type="dxa"/>
            </w:tcMar>
            <w:vAlign w:val="center"/>
          </w:tcPr>
          <w:p w:rsidR="004001CC" w:rsidRPr="00FD2CB0" w:rsidRDefault="004001CC" w:rsidP="006B484F">
            <w:pPr>
              <w:spacing w:after="0" w:line="240" w:lineRule="auto"/>
              <w:jc w:val="center"/>
              <w:rPr>
                <w:rFonts w:ascii="Arial" w:hAnsi="Arial" w:cs="Arial"/>
                <w:sz w:val="16"/>
                <w:szCs w:val="16"/>
              </w:rPr>
            </w:pPr>
          </w:p>
        </w:tc>
        <w:tc>
          <w:tcPr>
            <w:tcW w:w="1011"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jc w:val="center"/>
              <w:rPr>
                <w:rFonts w:ascii="Arial" w:hAnsi="Arial" w:cs="Arial"/>
                <w:sz w:val="16"/>
                <w:szCs w:val="16"/>
              </w:rPr>
            </w:pPr>
          </w:p>
        </w:tc>
        <w:tc>
          <w:tcPr>
            <w:tcW w:w="612"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767"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c>
          <w:tcPr>
            <w:tcW w:w="626" w:type="dxa"/>
            <w:shd w:val="clear" w:color="auto" w:fill="FDEED1" w:themeFill="background2" w:themeFillTint="33"/>
            <w:tcMar>
              <w:top w:w="43" w:type="dxa"/>
              <w:left w:w="58" w:type="dxa"/>
              <w:bottom w:w="43" w:type="dxa"/>
            </w:tcMar>
            <w:vAlign w:val="center"/>
          </w:tcPr>
          <w:p w:rsidR="004001CC" w:rsidRPr="00FD2CB0" w:rsidRDefault="004001CC" w:rsidP="006B484F">
            <w:pPr>
              <w:spacing w:after="0" w:line="240" w:lineRule="auto"/>
              <w:rPr>
                <w:rFonts w:ascii="Arial" w:hAnsi="Arial" w:cs="Arial"/>
                <w:sz w:val="16"/>
                <w:szCs w:val="16"/>
              </w:rPr>
            </w:pPr>
          </w:p>
        </w:tc>
      </w:tr>
    </w:tbl>
    <w:p w:rsidR="004001CC" w:rsidRDefault="004001CC" w:rsidP="001F1F3A">
      <w:pPr>
        <w:pStyle w:val="TableNote"/>
        <w:keepNext w:val="0"/>
        <w:spacing w:before="120" w:after="80"/>
        <w:ind w:left="-360" w:right="-634" w:hanging="274"/>
        <w:rPr>
          <w:szCs w:val="16"/>
        </w:rPr>
      </w:pPr>
      <w:r w:rsidRPr="000A50C0">
        <w:t>(a</w:t>
      </w:r>
      <w:r w:rsidRPr="000A50C0">
        <w:rPr>
          <w:szCs w:val="16"/>
        </w:rPr>
        <w:t>)</w:t>
      </w:r>
      <w:r w:rsidRPr="005E1678">
        <w:rPr>
          <w:szCs w:val="16"/>
        </w:rPr>
        <w:tab/>
      </w:r>
      <w:r w:rsidRPr="00B5556F">
        <w:rPr>
          <w:szCs w:val="16"/>
        </w:rPr>
        <w:t xml:space="preserve">The Massachusetts </w:t>
      </w:r>
      <w:r w:rsidRPr="00942C65">
        <w:rPr>
          <w:i/>
          <w:szCs w:val="16"/>
        </w:rPr>
        <w:t>Green Communities Act</w:t>
      </w:r>
      <w:r>
        <w:rPr>
          <w:szCs w:val="16"/>
        </w:rPr>
        <w:t xml:space="preserve"> </w:t>
      </w:r>
      <w:r w:rsidRPr="00B5556F">
        <w:rPr>
          <w:szCs w:val="16"/>
        </w:rPr>
        <w:t>divides the state’s RPS into</w:t>
      </w:r>
      <w:r>
        <w:rPr>
          <w:szCs w:val="16"/>
        </w:rPr>
        <w:t xml:space="preserve"> </w:t>
      </w:r>
      <w:r w:rsidRPr="00B5556F">
        <w:rPr>
          <w:szCs w:val="16"/>
        </w:rPr>
        <w:t>Class I and Class II</w:t>
      </w:r>
      <w:r>
        <w:rPr>
          <w:szCs w:val="16"/>
        </w:rPr>
        <w:t xml:space="preserve"> resources</w:t>
      </w:r>
      <w:r w:rsidRPr="00B5556F">
        <w:rPr>
          <w:szCs w:val="16"/>
        </w:rPr>
        <w:t>, each of which allows primarily the same renewable technologies</w:t>
      </w:r>
      <w:r>
        <w:rPr>
          <w:szCs w:val="16"/>
        </w:rPr>
        <w:t>.</w:t>
      </w:r>
      <w:r w:rsidRPr="00B5556F">
        <w:rPr>
          <w:szCs w:val="16"/>
        </w:rPr>
        <w:t xml:space="preserve"> </w:t>
      </w:r>
      <w:r>
        <w:rPr>
          <w:szCs w:val="16"/>
        </w:rPr>
        <w:t>R</w:t>
      </w:r>
      <w:r w:rsidRPr="00B5556F">
        <w:rPr>
          <w:szCs w:val="16"/>
        </w:rPr>
        <w:t xml:space="preserve">esources </w:t>
      </w:r>
      <w:r>
        <w:rPr>
          <w:szCs w:val="16"/>
        </w:rPr>
        <w:t xml:space="preserve">that began operating </w:t>
      </w:r>
      <w:r w:rsidRPr="00B5556F">
        <w:rPr>
          <w:szCs w:val="16"/>
        </w:rPr>
        <w:t>after December 31, 199</w:t>
      </w:r>
      <w:r>
        <w:rPr>
          <w:szCs w:val="16"/>
        </w:rPr>
        <w:t>7</w:t>
      </w:r>
      <w:r w:rsidRPr="00B5556F">
        <w:rPr>
          <w:szCs w:val="16"/>
        </w:rPr>
        <w:t>, are Class 1 renewables</w:t>
      </w:r>
      <w:r>
        <w:rPr>
          <w:szCs w:val="16"/>
        </w:rPr>
        <w:t>, a</w:t>
      </w:r>
      <w:r w:rsidRPr="00B5556F">
        <w:rPr>
          <w:szCs w:val="16"/>
        </w:rPr>
        <w:t xml:space="preserve">nd those </w:t>
      </w:r>
      <w:r>
        <w:rPr>
          <w:szCs w:val="16"/>
        </w:rPr>
        <w:t xml:space="preserve">that were in operation </w:t>
      </w:r>
      <w:r w:rsidRPr="00B5556F">
        <w:rPr>
          <w:szCs w:val="16"/>
        </w:rPr>
        <w:t xml:space="preserve">before that date are Class II </w:t>
      </w:r>
      <w:r>
        <w:rPr>
          <w:szCs w:val="16"/>
        </w:rPr>
        <w:t xml:space="preserve">renewables. </w:t>
      </w:r>
    </w:p>
    <w:p w:rsidR="004001CC" w:rsidRDefault="004001CC" w:rsidP="001F1F3A">
      <w:pPr>
        <w:pStyle w:val="TableNote"/>
        <w:keepNext w:val="0"/>
        <w:spacing w:before="40" w:after="80"/>
        <w:ind w:left="-360" w:right="-634" w:hanging="274"/>
        <w:rPr>
          <w:szCs w:val="16"/>
        </w:rPr>
      </w:pPr>
      <w:r w:rsidRPr="005E1678">
        <w:rPr>
          <w:szCs w:val="16"/>
        </w:rPr>
        <w:t>(</w:t>
      </w:r>
      <w:r>
        <w:rPr>
          <w:szCs w:val="16"/>
        </w:rPr>
        <w:t>b</w:t>
      </w:r>
      <w:r w:rsidRPr="005E1678">
        <w:rPr>
          <w:szCs w:val="16"/>
        </w:rPr>
        <w:t>)</w:t>
      </w:r>
      <w:r w:rsidRPr="005E1678">
        <w:rPr>
          <w:szCs w:val="16"/>
        </w:rPr>
        <w:tab/>
        <w:t xml:space="preserve">These </w:t>
      </w:r>
      <w:r w:rsidR="00463DDD">
        <w:rPr>
          <w:szCs w:val="16"/>
        </w:rPr>
        <w:t xml:space="preserve">resources </w:t>
      </w:r>
      <w:r w:rsidRPr="005E1678">
        <w:rPr>
          <w:szCs w:val="16"/>
        </w:rPr>
        <w:t>can be pumped hydro units</w:t>
      </w:r>
      <w:r w:rsidR="00463DDD">
        <w:rPr>
          <w:szCs w:val="16"/>
        </w:rPr>
        <w:t>, and they must meet all federal and state fish-passage requirements</w:t>
      </w:r>
      <w:r w:rsidRPr="005E1678">
        <w:rPr>
          <w:szCs w:val="16"/>
        </w:rPr>
        <w:t>.</w:t>
      </w:r>
    </w:p>
    <w:p w:rsidR="0013128C" w:rsidRDefault="004001CC" w:rsidP="001F1F3A">
      <w:pPr>
        <w:pStyle w:val="TableNote"/>
        <w:keepNext w:val="0"/>
        <w:spacing w:before="0" w:after="80"/>
        <w:ind w:left="-360" w:right="-630" w:hanging="270"/>
        <w:rPr>
          <w:szCs w:val="16"/>
        </w:rPr>
      </w:pPr>
      <w:r w:rsidRPr="005E1678">
        <w:rPr>
          <w:szCs w:val="16"/>
        </w:rPr>
        <w:t>(</w:t>
      </w:r>
      <w:r w:rsidR="00463DDD">
        <w:rPr>
          <w:szCs w:val="16"/>
        </w:rPr>
        <w:t>c</w:t>
      </w:r>
      <w:r w:rsidRPr="005E1678">
        <w:rPr>
          <w:szCs w:val="16"/>
        </w:rPr>
        <w:t>)</w:t>
      </w:r>
      <w:r w:rsidRPr="005E1678">
        <w:rPr>
          <w:szCs w:val="16"/>
        </w:rPr>
        <w:tab/>
      </w:r>
      <w:r w:rsidR="0013128C">
        <w:rPr>
          <w:szCs w:val="16"/>
        </w:rPr>
        <w:t xml:space="preserve">These terms are explained in the state’s RPS legislation and regulations. </w:t>
      </w:r>
    </w:p>
    <w:p w:rsidR="0013128C" w:rsidRDefault="004001CC" w:rsidP="001F1F3A">
      <w:pPr>
        <w:pStyle w:val="TableNote"/>
        <w:keepNext w:val="0"/>
        <w:spacing w:before="0" w:after="80"/>
        <w:ind w:left="-360" w:right="-630" w:hanging="270"/>
        <w:rPr>
          <w:szCs w:val="16"/>
        </w:rPr>
      </w:pPr>
      <w:r w:rsidRPr="005E1678">
        <w:rPr>
          <w:szCs w:val="16"/>
        </w:rPr>
        <w:t>(</w:t>
      </w:r>
      <w:r w:rsidR="00463DDD">
        <w:rPr>
          <w:szCs w:val="16"/>
        </w:rPr>
        <w:t>d</w:t>
      </w:r>
      <w:r w:rsidRPr="005E1678">
        <w:rPr>
          <w:szCs w:val="16"/>
        </w:rPr>
        <w:t>)</w:t>
      </w:r>
      <w:r w:rsidRPr="005E1678">
        <w:rPr>
          <w:szCs w:val="16"/>
        </w:rPr>
        <w:tab/>
      </w:r>
      <w:r w:rsidR="0013128C" w:rsidRPr="005E1678">
        <w:rPr>
          <w:szCs w:val="16"/>
        </w:rPr>
        <w:t>These can be high-efficiency units built through December 31, 1997.</w:t>
      </w:r>
    </w:p>
    <w:p w:rsidR="007F041D" w:rsidRDefault="004001CC" w:rsidP="001F1F3A">
      <w:pPr>
        <w:pStyle w:val="TableNote"/>
        <w:keepNext w:val="0"/>
        <w:spacing w:before="0" w:after="80"/>
        <w:ind w:left="-360" w:right="-630" w:hanging="270"/>
        <w:rPr>
          <w:szCs w:val="16"/>
        </w:rPr>
      </w:pPr>
      <w:r>
        <w:rPr>
          <w:szCs w:val="16"/>
        </w:rPr>
        <w:t>(</w:t>
      </w:r>
      <w:r w:rsidR="00463DDD">
        <w:rPr>
          <w:szCs w:val="16"/>
        </w:rPr>
        <w:t>e</w:t>
      </w:r>
      <w:r>
        <w:rPr>
          <w:szCs w:val="16"/>
        </w:rPr>
        <w:t xml:space="preserve">)  </w:t>
      </w:r>
      <w:r w:rsidR="007F041D" w:rsidRPr="005E1678">
        <w:rPr>
          <w:szCs w:val="16"/>
        </w:rPr>
        <w:t>This category also includes biologically derived methane gas from sources such as biodiesel, yard waste, food waste, animal waste, sewage sludge, and septage.</w:t>
      </w:r>
    </w:p>
    <w:p w:rsidR="00F24FF5" w:rsidRDefault="00F24FF5" w:rsidP="00015282">
      <w:pPr>
        <w:pStyle w:val="TableNote"/>
        <w:keepNext w:val="0"/>
        <w:spacing w:before="0"/>
        <w:ind w:left="-360" w:right="-634" w:hanging="274"/>
        <w:rPr>
          <w:szCs w:val="16"/>
        </w:rPr>
      </w:pPr>
      <w:r w:rsidRPr="00F24FF5">
        <w:rPr>
          <w:szCs w:val="16"/>
        </w:rPr>
        <w:t>(f)</w:t>
      </w:r>
      <w:r w:rsidRPr="00F24FF5">
        <w:rPr>
          <w:szCs w:val="16"/>
        </w:rPr>
        <w:tab/>
        <w:t>Fuel cells are a relatively new “renewable” energy technology. These units emit negligible amounts of SO</w:t>
      </w:r>
      <w:r w:rsidRPr="00F24FF5">
        <w:rPr>
          <w:szCs w:val="16"/>
          <w:vertAlign w:val="subscript"/>
        </w:rPr>
        <w:t>2</w:t>
      </w:r>
      <w:r w:rsidRPr="00F24FF5">
        <w:rPr>
          <w:szCs w:val="16"/>
        </w:rPr>
        <w:t>, NO</w:t>
      </w:r>
      <w:r w:rsidRPr="00F24FF5">
        <w:rPr>
          <w:szCs w:val="16"/>
          <w:vertAlign w:val="subscript"/>
        </w:rPr>
        <w:t>X</w:t>
      </w:r>
      <w:r w:rsidRPr="00F24FF5">
        <w:rPr>
          <w:szCs w:val="16"/>
        </w:rPr>
        <w:t xml:space="preserve">, and particulates such that Connecticut does not require fuel cell installations to obtain air permits. For Massachusetts, an RPS fuel cell using an "eligible biomass fuel" includes landfill or anaerobic digester methane gas, hydrogen derived from such fuels, or hydrogen derived using the electrical output of a qualified renewable generation unit. </w:t>
      </w:r>
      <w:r w:rsidR="00BC06D5">
        <w:rPr>
          <w:szCs w:val="16"/>
        </w:rPr>
        <w:t xml:space="preserve">As shown in the table, </w:t>
      </w:r>
      <w:r w:rsidRPr="00F24FF5">
        <w:rPr>
          <w:szCs w:val="16"/>
        </w:rPr>
        <w:t xml:space="preserve">RPS fuel cells </w:t>
      </w:r>
      <w:r w:rsidR="00BC06D5">
        <w:rPr>
          <w:szCs w:val="16"/>
        </w:rPr>
        <w:t xml:space="preserve">in Rhode Island must use </w:t>
      </w:r>
      <w:r w:rsidRPr="00F24FF5">
        <w:rPr>
          <w:szCs w:val="16"/>
        </w:rPr>
        <w:t>eligible renewable resources.</w:t>
      </w:r>
    </w:p>
    <w:p w:rsidR="004001CC" w:rsidRDefault="004001CC" w:rsidP="00B4588A">
      <w:pPr>
        <w:pStyle w:val="Caption"/>
        <w:ind w:left="0" w:right="0"/>
      </w:pPr>
      <w:bookmarkStart w:id="648" w:name="_Ref229902479"/>
      <w:bookmarkStart w:id="649" w:name="_Ref241568708"/>
      <w:bookmarkStart w:id="650" w:name="_Toc176244948"/>
      <w:bookmarkStart w:id="651" w:name="_Toc200169060"/>
      <w:bookmarkStart w:id="652" w:name="_Toc239157236"/>
      <w:bookmarkStart w:id="653" w:name="_Toc200440163"/>
      <w:bookmarkStart w:id="654" w:name="_Toc207531985"/>
      <w:bookmarkStart w:id="655" w:name="_Toc271552435"/>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15</w:t>
      </w:r>
      <w:r w:rsidR="00832C7A">
        <w:fldChar w:fldCharType="end"/>
      </w:r>
      <w:bookmarkEnd w:id="648"/>
      <w:bookmarkEnd w:id="649"/>
      <w:r w:rsidRPr="00EC3D10">
        <w:br/>
        <w:t xml:space="preserve">Annual Percentages of Electric Energy </w:t>
      </w:r>
      <w:r w:rsidR="007550BD">
        <w:t xml:space="preserve">Use </w:t>
      </w:r>
      <w:r w:rsidRPr="00B52E4D">
        <w:t>by Affected Load-Serving Entities</w:t>
      </w:r>
      <w:r w:rsidR="00E95748">
        <w:br/>
      </w:r>
      <w:r w:rsidRPr="00EC3D10">
        <w:t xml:space="preserve">for </w:t>
      </w:r>
      <w:r w:rsidR="00E95748">
        <w:t xml:space="preserve">Meeting </w:t>
      </w:r>
      <w:r w:rsidRPr="00EC3D10">
        <w:t xml:space="preserve">the </w:t>
      </w:r>
      <w:r>
        <w:t xml:space="preserve">States’ </w:t>
      </w:r>
      <w:r w:rsidRPr="00EC3D10">
        <w:t>RPS Classes,</w:t>
      </w:r>
      <w:r w:rsidR="00E95748">
        <w:t xml:space="preserve"> </w:t>
      </w:r>
      <w:r w:rsidRPr="00EC3D10">
        <w:t>20</w:t>
      </w:r>
      <w:r>
        <w:t>1</w:t>
      </w:r>
      <w:r w:rsidRPr="00EC3D10">
        <w:t>0 to 2020</w:t>
      </w:r>
      <w:bookmarkEnd w:id="650"/>
      <w:bookmarkEnd w:id="651"/>
      <w:bookmarkEnd w:id="652"/>
      <w:bookmarkEnd w:id="653"/>
      <w:bookmarkEnd w:id="654"/>
      <w:bookmarkEnd w:id="655"/>
      <w:r w:rsidR="00FF1574">
        <w:t xml:space="preserve"> </w:t>
      </w:r>
    </w:p>
    <w:tbl>
      <w:tblPr>
        <w:tblStyle w:val="MediumShading1-Accent12"/>
        <w:tblW w:w="13304" w:type="dxa"/>
        <w:tblInd w:w="-59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bottom w:w="43" w:type="dxa"/>
        </w:tblCellMar>
        <w:tblLook w:val="04A0"/>
      </w:tblPr>
      <w:tblGrid>
        <w:gridCol w:w="2086"/>
        <w:gridCol w:w="900"/>
        <w:gridCol w:w="810"/>
        <w:gridCol w:w="810"/>
        <w:gridCol w:w="808"/>
        <w:gridCol w:w="750"/>
        <w:gridCol w:w="750"/>
        <w:gridCol w:w="720"/>
        <w:gridCol w:w="18"/>
        <w:gridCol w:w="738"/>
        <w:gridCol w:w="900"/>
        <w:gridCol w:w="900"/>
        <w:gridCol w:w="720"/>
        <w:gridCol w:w="810"/>
        <w:gridCol w:w="796"/>
        <w:gridCol w:w="9"/>
        <w:gridCol w:w="779"/>
      </w:tblGrid>
      <w:tr w:rsidR="0030185E" w:rsidRPr="004E4CE1" w:rsidTr="007A735A">
        <w:trPr>
          <w:cnfStyle w:val="100000000000"/>
        </w:trPr>
        <w:tc>
          <w:tcPr>
            <w:cnfStyle w:val="001000000100"/>
            <w:tcW w:w="2086" w:type="dxa"/>
            <w:vMerge w:val="restart"/>
            <w:shd w:val="clear" w:color="auto" w:fill="FBCE76" w:themeFill="background2" w:themeFillTint="99"/>
          </w:tcPr>
          <w:p w:rsidR="0030185E" w:rsidRPr="004E4CE1" w:rsidRDefault="0030185E" w:rsidP="008C4446">
            <w:pPr>
              <w:spacing w:after="0" w:line="240" w:lineRule="auto"/>
              <w:jc w:val="center"/>
              <w:rPr>
                <w:rFonts w:ascii="Arial" w:hAnsi="Arial" w:cs="Arial"/>
                <w:color w:val="000000" w:themeColor="text1"/>
                <w:sz w:val="16"/>
                <w:szCs w:val="16"/>
              </w:rPr>
            </w:pPr>
            <w:r w:rsidRPr="004E4CE1">
              <w:rPr>
                <w:rFonts w:ascii="Arial" w:hAnsi="Arial" w:cs="Arial"/>
                <w:color w:val="000000" w:themeColor="text1"/>
                <w:sz w:val="16"/>
                <w:szCs w:val="16"/>
              </w:rPr>
              <w:t>Year</w:t>
            </w:r>
          </w:p>
        </w:tc>
        <w:tc>
          <w:tcPr>
            <w:tcW w:w="2520" w:type="dxa"/>
            <w:gridSpan w:val="3"/>
            <w:shd w:val="clear" w:color="auto" w:fill="FBCE76" w:themeFill="background2" w:themeFillTint="99"/>
          </w:tcPr>
          <w:p w:rsidR="0030185E" w:rsidRPr="004E4CE1" w:rsidRDefault="0030185E" w:rsidP="008C4446">
            <w:pPr>
              <w:spacing w:after="0" w:line="240" w:lineRule="auto"/>
              <w:cnfStyle w:val="100000000000"/>
              <w:rPr>
                <w:rFonts w:ascii="Arial" w:hAnsi="Arial" w:cs="Arial"/>
                <w:color w:val="000000" w:themeColor="text1"/>
                <w:sz w:val="16"/>
                <w:szCs w:val="16"/>
                <w:vertAlign w:val="superscript"/>
              </w:rPr>
            </w:pPr>
            <w:r w:rsidRPr="004E4CE1">
              <w:rPr>
                <w:rFonts w:ascii="Arial" w:hAnsi="Arial" w:cs="Arial"/>
                <w:color w:val="000000" w:themeColor="text1"/>
                <w:sz w:val="16"/>
                <w:szCs w:val="16"/>
              </w:rPr>
              <w:t>CT Classes</w:t>
            </w:r>
            <w:r w:rsidRPr="004E4CE1">
              <w:rPr>
                <w:rFonts w:ascii="Arial" w:hAnsi="Arial" w:cs="Arial"/>
                <w:color w:val="000000" w:themeColor="text1"/>
                <w:sz w:val="16"/>
                <w:szCs w:val="16"/>
                <w:vertAlign w:val="superscript"/>
              </w:rPr>
              <w:t>(a)</w:t>
            </w:r>
          </w:p>
        </w:tc>
        <w:tc>
          <w:tcPr>
            <w:tcW w:w="2308" w:type="dxa"/>
            <w:gridSpan w:val="3"/>
            <w:shd w:val="clear" w:color="auto" w:fill="FBCE76" w:themeFill="background2" w:themeFillTint="99"/>
          </w:tcPr>
          <w:p w:rsidR="0030185E" w:rsidRPr="004E4CE1" w:rsidRDefault="0030185E" w:rsidP="008C4446">
            <w:pPr>
              <w:spacing w:after="0" w:line="240" w:lineRule="auto"/>
              <w:cnfStyle w:val="100000000000"/>
              <w:rPr>
                <w:rFonts w:ascii="Arial" w:hAnsi="Arial" w:cs="Arial"/>
                <w:color w:val="000000" w:themeColor="text1"/>
                <w:sz w:val="16"/>
                <w:szCs w:val="16"/>
              </w:rPr>
            </w:pPr>
            <w:r w:rsidRPr="004E4CE1">
              <w:rPr>
                <w:rFonts w:ascii="Arial" w:hAnsi="Arial" w:cs="Arial"/>
                <w:color w:val="000000" w:themeColor="text1"/>
                <w:sz w:val="16"/>
                <w:szCs w:val="16"/>
              </w:rPr>
              <w:t>MA Classes</w:t>
            </w:r>
            <w:r w:rsidRPr="004E4CE1">
              <w:rPr>
                <w:rFonts w:ascii="Arial" w:hAnsi="Arial" w:cs="Arial"/>
                <w:color w:val="000000" w:themeColor="text1"/>
                <w:sz w:val="16"/>
                <w:szCs w:val="16"/>
                <w:vertAlign w:val="superscript"/>
              </w:rPr>
              <w:t>(b)</w:t>
            </w:r>
          </w:p>
        </w:tc>
        <w:tc>
          <w:tcPr>
            <w:tcW w:w="1476" w:type="dxa"/>
            <w:gridSpan w:val="3"/>
            <w:shd w:val="clear" w:color="auto" w:fill="FBCE76" w:themeFill="background2" w:themeFillTint="99"/>
          </w:tcPr>
          <w:p w:rsidR="0030185E" w:rsidRPr="004E4CE1" w:rsidRDefault="0030185E" w:rsidP="008C4446">
            <w:pPr>
              <w:spacing w:after="0" w:line="240" w:lineRule="auto"/>
              <w:cnfStyle w:val="100000000000"/>
              <w:rPr>
                <w:rFonts w:ascii="Arial" w:hAnsi="Arial" w:cs="Arial"/>
                <w:color w:val="000000" w:themeColor="text1"/>
                <w:sz w:val="16"/>
                <w:szCs w:val="16"/>
              </w:rPr>
            </w:pPr>
            <w:r w:rsidRPr="004E4CE1">
              <w:rPr>
                <w:rFonts w:ascii="Arial" w:hAnsi="Arial" w:cs="Arial"/>
                <w:color w:val="000000" w:themeColor="text1"/>
                <w:sz w:val="16"/>
                <w:szCs w:val="16"/>
              </w:rPr>
              <w:t>ME Classes</w:t>
            </w:r>
            <w:r w:rsidRPr="004E4CE1">
              <w:rPr>
                <w:rFonts w:ascii="Arial" w:hAnsi="Arial" w:cs="Arial"/>
                <w:color w:val="000000" w:themeColor="text1"/>
                <w:sz w:val="16"/>
                <w:szCs w:val="16"/>
                <w:vertAlign w:val="superscript"/>
              </w:rPr>
              <w:t>(c)</w:t>
            </w:r>
          </w:p>
        </w:tc>
        <w:tc>
          <w:tcPr>
            <w:tcW w:w="1800" w:type="dxa"/>
            <w:gridSpan w:val="2"/>
            <w:shd w:val="clear" w:color="auto" w:fill="FBCE76" w:themeFill="background2" w:themeFillTint="99"/>
          </w:tcPr>
          <w:p w:rsidR="0030185E" w:rsidRPr="00995EC2" w:rsidRDefault="0030185E" w:rsidP="008C4446">
            <w:pPr>
              <w:spacing w:after="0" w:line="240" w:lineRule="auto"/>
              <w:cnfStyle w:val="100000000000"/>
              <w:rPr>
                <w:rFonts w:ascii="Arial" w:hAnsi="Arial" w:cs="Arial"/>
                <w:color w:val="000000" w:themeColor="text1"/>
                <w:sz w:val="16"/>
                <w:szCs w:val="16"/>
              </w:rPr>
            </w:pPr>
            <w:r w:rsidRPr="00995EC2">
              <w:rPr>
                <w:rFonts w:ascii="Arial" w:hAnsi="Arial" w:cs="Arial"/>
                <w:color w:val="000000" w:themeColor="text1"/>
                <w:sz w:val="16"/>
                <w:szCs w:val="16"/>
              </w:rPr>
              <w:t>RI Classes</w:t>
            </w:r>
            <w:r w:rsidRPr="00995EC2">
              <w:rPr>
                <w:rFonts w:ascii="Arial" w:hAnsi="Arial" w:cs="Arial"/>
                <w:color w:val="000000" w:themeColor="text1"/>
                <w:sz w:val="16"/>
                <w:szCs w:val="16"/>
                <w:vertAlign w:val="superscript"/>
              </w:rPr>
              <w:t>(d)</w:t>
            </w:r>
          </w:p>
        </w:tc>
        <w:tc>
          <w:tcPr>
            <w:tcW w:w="3114" w:type="dxa"/>
            <w:gridSpan w:val="5"/>
            <w:shd w:val="clear" w:color="auto" w:fill="FBCE76" w:themeFill="background2" w:themeFillTint="99"/>
          </w:tcPr>
          <w:p w:rsidR="0030185E" w:rsidRPr="004E4CE1" w:rsidRDefault="0030185E" w:rsidP="008C4446">
            <w:pPr>
              <w:spacing w:after="0" w:line="240" w:lineRule="auto"/>
              <w:cnfStyle w:val="100000000000"/>
              <w:rPr>
                <w:rFonts w:ascii="Arial" w:hAnsi="Arial" w:cs="Arial"/>
                <w:color w:val="000000" w:themeColor="text1"/>
                <w:sz w:val="16"/>
                <w:szCs w:val="16"/>
                <w:vertAlign w:val="superscript"/>
              </w:rPr>
            </w:pPr>
            <w:r w:rsidRPr="004E4CE1">
              <w:rPr>
                <w:rFonts w:ascii="Arial" w:hAnsi="Arial" w:cs="Arial"/>
                <w:color w:val="000000" w:themeColor="text1"/>
                <w:sz w:val="16"/>
                <w:szCs w:val="16"/>
              </w:rPr>
              <w:t>NH RPS Classes</w:t>
            </w:r>
            <w:r w:rsidRPr="004E4CE1">
              <w:rPr>
                <w:rFonts w:ascii="Arial" w:hAnsi="Arial" w:cs="Arial"/>
                <w:color w:val="000000" w:themeColor="text1"/>
                <w:sz w:val="16"/>
                <w:szCs w:val="16"/>
                <w:vertAlign w:val="superscript"/>
              </w:rPr>
              <w:t>(e)</w:t>
            </w:r>
          </w:p>
        </w:tc>
      </w:tr>
      <w:tr w:rsidR="0030185E" w:rsidRPr="004E4CE1" w:rsidTr="007A735A">
        <w:trPr>
          <w:cnfStyle w:val="000000100000"/>
        </w:trPr>
        <w:tc>
          <w:tcPr>
            <w:cnfStyle w:val="001000000000"/>
            <w:tcW w:w="2086" w:type="dxa"/>
            <w:vMerge/>
            <w:shd w:val="clear" w:color="auto" w:fill="FBCE76" w:themeFill="background2" w:themeFillTint="99"/>
          </w:tcPr>
          <w:p w:rsidR="0030185E" w:rsidRPr="004E4CE1" w:rsidRDefault="0030185E" w:rsidP="008C4446">
            <w:pPr>
              <w:spacing w:after="0" w:line="240" w:lineRule="auto"/>
              <w:rPr>
                <w:rFonts w:ascii="Arial" w:hAnsi="Arial" w:cs="Arial"/>
                <w:color w:val="000000" w:themeColor="text1"/>
                <w:sz w:val="16"/>
                <w:szCs w:val="16"/>
              </w:rPr>
            </w:pPr>
          </w:p>
        </w:tc>
        <w:tc>
          <w:tcPr>
            <w:tcW w:w="90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w:t>
            </w:r>
          </w:p>
        </w:tc>
        <w:tc>
          <w:tcPr>
            <w:tcW w:w="81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w:t>
            </w:r>
          </w:p>
        </w:tc>
        <w:tc>
          <w:tcPr>
            <w:tcW w:w="81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III</w:t>
            </w:r>
          </w:p>
        </w:tc>
        <w:tc>
          <w:tcPr>
            <w:tcW w:w="808"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w:t>
            </w:r>
          </w:p>
        </w:tc>
        <w:tc>
          <w:tcPr>
            <w:tcW w:w="75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IIa</w:t>
            </w:r>
          </w:p>
        </w:tc>
        <w:tc>
          <w:tcPr>
            <w:tcW w:w="75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IIb</w:t>
            </w:r>
          </w:p>
        </w:tc>
        <w:tc>
          <w:tcPr>
            <w:tcW w:w="738" w:type="dxa"/>
            <w:gridSpan w:val="2"/>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w:t>
            </w:r>
          </w:p>
        </w:tc>
        <w:tc>
          <w:tcPr>
            <w:tcW w:w="738"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w:t>
            </w:r>
          </w:p>
        </w:tc>
        <w:tc>
          <w:tcPr>
            <w:tcW w:w="900" w:type="dxa"/>
            <w:shd w:val="clear" w:color="auto" w:fill="FBCE76" w:themeFill="background2" w:themeFillTint="99"/>
          </w:tcPr>
          <w:p w:rsidR="0030185E" w:rsidRPr="00995EC2" w:rsidRDefault="0030185E" w:rsidP="008C4446">
            <w:pPr>
              <w:spacing w:after="0" w:line="240" w:lineRule="auto"/>
              <w:cnfStyle w:val="000000100000"/>
              <w:rPr>
                <w:rFonts w:ascii="Arial" w:hAnsi="Arial" w:cs="Arial"/>
                <w:color w:val="000000" w:themeColor="text1"/>
                <w:sz w:val="16"/>
                <w:szCs w:val="16"/>
              </w:rPr>
            </w:pPr>
            <w:r w:rsidRPr="00995EC2">
              <w:rPr>
                <w:rFonts w:ascii="Arial" w:hAnsi="Arial" w:cs="Arial"/>
                <w:color w:val="000000" w:themeColor="text1"/>
                <w:sz w:val="16"/>
                <w:szCs w:val="16"/>
              </w:rPr>
              <w:t>Existing</w:t>
            </w:r>
          </w:p>
        </w:tc>
        <w:tc>
          <w:tcPr>
            <w:tcW w:w="900" w:type="dxa"/>
            <w:shd w:val="clear" w:color="auto" w:fill="FBCE76" w:themeFill="background2" w:themeFillTint="99"/>
          </w:tcPr>
          <w:p w:rsidR="0030185E" w:rsidRPr="00995EC2" w:rsidRDefault="0030185E" w:rsidP="008C4446">
            <w:pPr>
              <w:spacing w:after="0" w:line="240" w:lineRule="auto"/>
              <w:cnfStyle w:val="000000100000"/>
              <w:rPr>
                <w:rFonts w:ascii="Arial" w:hAnsi="Arial" w:cs="Arial"/>
                <w:color w:val="000000" w:themeColor="text1"/>
                <w:sz w:val="16"/>
                <w:szCs w:val="16"/>
              </w:rPr>
            </w:pPr>
            <w:r w:rsidRPr="00995EC2">
              <w:rPr>
                <w:rFonts w:ascii="Arial" w:hAnsi="Arial" w:cs="Arial"/>
                <w:color w:val="000000" w:themeColor="text1"/>
                <w:sz w:val="16"/>
                <w:szCs w:val="16"/>
              </w:rPr>
              <w:t>New</w:t>
            </w:r>
          </w:p>
        </w:tc>
        <w:tc>
          <w:tcPr>
            <w:tcW w:w="72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w:t>
            </w:r>
          </w:p>
        </w:tc>
        <w:tc>
          <w:tcPr>
            <w:tcW w:w="810"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w:t>
            </w:r>
          </w:p>
        </w:tc>
        <w:tc>
          <w:tcPr>
            <w:tcW w:w="805" w:type="dxa"/>
            <w:gridSpan w:val="2"/>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III</w:t>
            </w:r>
          </w:p>
        </w:tc>
        <w:tc>
          <w:tcPr>
            <w:tcW w:w="779" w:type="dxa"/>
            <w:shd w:val="clear" w:color="auto" w:fill="FBCE76" w:themeFill="background2" w:themeFillTint="99"/>
          </w:tcPr>
          <w:p w:rsidR="0030185E" w:rsidRPr="004E4CE1" w:rsidRDefault="0030185E" w:rsidP="008C4446">
            <w:pPr>
              <w:spacing w:after="0" w:line="240" w:lineRule="auto"/>
              <w:cnfStyle w:val="000000100000"/>
              <w:rPr>
                <w:rFonts w:ascii="Arial" w:hAnsi="Arial" w:cs="Arial"/>
                <w:color w:val="000000" w:themeColor="text1"/>
                <w:sz w:val="16"/>
                <w:szCs w:val="16"/>
              </w:rPr>
            </w:pPr>
            <w:r>
              <w:rPr>
                <w:rFonts w:ascii="Arial" w:hAnsi="Arial" w:cs="Arial"/>
                <w:color w:val="000000" w:themeColor="text1"/>
                <w:sz w:val="16"/>
                <w:szCs w:val="16"/>
              </w:rPr>
              <w:t>IV</w:t>
            </w: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2010</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7.0</w:t>
            </w:r>
          </w:p>
        </w:tc>
        <w:tc>
          <w:tcPr>
            <w:tcW w:w="810" w:type="dxa"/>
            <w:vMerge w:val="restart"/>
            <w:shd w:val="clear" w:color="auto" w:fill="FFFFFF" w:themeFill="background1"/>
          </w:tcPr>
          <w:p w:rsidR="0030185E" w:rsidRPr="002563F1" w:rsidRDefault="0030185E" w:rsidP="008C4446">
            <w:pPr>
              <w:spacing w:after="0" w:line="240" w:lineRule="auto"/>
              <w:cnfStyle w:val="000000010000"/>
              <w:rPr>
                <w:rFonts w:ascii="Arial" w:hAnsi="Arial" w:cs="Arial"/>
                <w:b/>
                <w:bCs/>
                <w:sz w:val="16"/>
                <w:szCs w:val="16"/>
              </w:rPr>
            </w:pPr>
            <w:r w:rsidRPr="002563F1">
              <w:rPr>
                <w:rFonts w:ascii="Arial" w:hAnsi="Arial" w:cs="Arial"/>
                <w:sz w:val="16"/>
                <w:szCs w:val="16"/>
              </w:rPr>
              <w:t>3.0</w:t>
            </w:r>
          </w:p>
        </w:tc>
        <w:tc>
          <w:tcPr>
            <w:tcW w:w="810" w:type="dxa"/>
            <w:vMerge w:val="restart"/>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4.0</w:t>
            </w: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5.0</w:t>
            </w:r>
          </w:p>
        </w:tc>
        <w:tc>
          <w:tcPr>
            <w:tcW w:w="750" w:type="dxa"/>
            <w:vMerge w:val="restart"/>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3.6</w:t>
            </w:r>
          </w:p>
        </w:tc>
        <w:tc>
          <w:tcPr>
            <w:tcW w:w="750" w:type="dxa"/>
            <w:vMerge w:val="restart"/>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3.5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3.0</w:t>
            </w:r>
          </w:p>
        </w:tc>
        <w:tc>
          <w:tcPr>
            <w:tcW w:w="756" w:type="dxa"/>
            <w:gridSpan w:val="2"/>
            <w:vMerge w:val="restart"/>
            <w:shd w:val="clear" w:color="auto" w:fill="FFFFFF" w:themeFill="background1"/>
          </w:tcPr>
          <w:p w:rsidR="0030185E" w:rsidRPr="002563F1" w:rsidRDefault="0030185E" w:rsidP="008C4446">
            <w:pPr>
              <w:spacing w:after="0" w:line="240" w:lineRule="auto"/>
              <w:cnfStyle w:val="000000010000"/>
              <w:rPr>
                <w:rFonts w:ascii="Arial" w:hAnsi="Arial" w:cs="Arial"/>
                <w:b/>
                <w:bCs/>
                <w:sz w:val="16"/>
                <w:szCs w:val="16"/>
              </w:rPr>
            </w:pPr>
            <w:r w:rsidRPr="0096524E">
              <w:rPr>
                <w:rFonts w:ascii="Arial" w:hAnsi="Arial" w:cs="Arial"/>
                <w:sz w:val="16"/>
                <w:szCs w:val="16"/>
              </w:rPr>
              <w:t>30</w:t>
            </w:r>
          </w:p>
        </w:tc>
        <w:tc>
          <w:tcPr>
            <w:tcW w:w="900" w:type="dxa"/>
            <w:vMerge w:val="restart"/>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2.0</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2.5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0.04</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5.5</w:t>
            </w:r>
          </w:p>
        </w:tc>
        <w:tc>
          <w:tcPr>
            <w:tcW w:w="788" w:type="dxa"/>
            <w:gridSpan w:val="2"/>
            <w:vMerge w:val="restart"/>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1.0</w:t>
            </w:r>
          </w:p>
        </w:tc>
      </w:tr>
      <w:tr w:rsidR="0030185E" w:rsidRPr="002563F1" w:rsidTr="007A735A">
        <w:trPr>
          <w:cnfStyle w:val="000000100000"/>
          <w:trHeight w:val="288"/>
        </w:trPr>
        <w:tc>
          <w:tcPr>
            <w:cnfStyle w:val="001000000000"/>
            <w:tcW w:w="2086" w:type="dxa"/>
            <w:shd w:val="clear" w:color="auto" w:fill="FDEED1" w:themeFill="background2" w:themeFillTint="33"/>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2011</w:t>
            </w: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8.0</w:t>
            </w: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08"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6.0</w:t>
            </w:r>
          </w:p>
        </w:tc>
        <w:tc>
          <w:tcPr>
            <w:tcW w:w="750" w:type="dxa"/>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4.0</w:t>
            </w:r>
          </w:p>
        </w:tc>
        <w:tc>
          <w:tcPr>
            <w:tcW w:w="756" w:type="dxa"/>
            <w:gridSpan w:val="2"/>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3.5</w:t>
            </w: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2.0</w:t>
            </w:r>
          </w:p>
        </w:tc>
        <w:tc>
          <w:tcPr>
            <w:tcW w:w="81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0.08</w:t>
            </w:r>
          </w:p>
        </w:tc>
        <w:tc>
          <w:tcPr>
            <w:tcW w:w="796"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2012</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9.0</w:t>
            </w:r>
          </w:p>
        </w:tc>
        <w:tc>
          <w:tcPr>
            <w:tcW w:w="81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7.0</w:t>
            </w:r>
          </w:p>
        </w:tc>
        <w:tc>
          <w:tcPr>
            <w:tcW w:w="75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5.0</w:t>
            </w:r>
          </w:p>
        </w:tc>
        <w:tc>
          <w:tcPr>
            <w:tcW w:w="756"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4.5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3.0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0.15</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r>
      <w:tr w:rsidR="0030185E" w:rsidRPr="002563F1" w:rsidTr="007A735A">
        <w:trPr>
          <w:cnfStyle w:val="000000100000"/>
          <w:trHeight w:val="288"/>
        </w:trPr>
        <w:tc>
          <w:tcPr>
            <w:cnfStyle w:val="001000000000"/>
            <w:tcW w:w="2086" w:type="dxa"/>
            <w:shd w:val="clear" w:color="auto" w:fill="FDEED1" w:themeFill="background2" w:themeFillTint="33"/>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2013</w:t>
            </w: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10.0</w:t>
            </w: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08"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8.0</w:t>
            </w:r>
          </w:p>
        </w:tc>
        <w:tc>
          <w:tcPr>
            <w:tcW w:w="750" w:type="dxa"/>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6.0</w:t>
            </w:r>
          </w:p>
        </w:tc>
        <w:tc>
          <w:tcPr>
            <w:tcW w:w="756" w:type="dxa"/>
            <w:gridSpan w:val="2"/>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5.5</w:t>
            </w: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4.0</w:t>
            </w:r>
          </w:p>
        </w:tc>
        <w:tc>
          <w:tcPr>
            <w:tcW w:w="81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0.2</w:t>
            </w:r>
          </w:p>
        </w:tc>
        <w:tc>
          <w:tcPr>
            <w:tcW w:w="796"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2014</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11.0</w:t>
            </w:r>
          </w:p>
        </w:tc>
        <w:tc>
          <w:tcPr>
            <w:tcW w:w="81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9.0</w:t>
            </w:r>
          </w:p>
        </w:tc>
        <w:tc>
          <w:tcPr>
            <w:tcW w:w="75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7.0</w:t>
            </w:r>
          </w:p>
        </w:tc>
        <w:tc>
          <w:tcPr>
            <w:tcW w:w="756"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5.0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0.3</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r>
      <w:tr w:rsidR="0030185E" w:rsidRPr="002563F1" w:rsidTr="007A735A">
        <w:trPr>
          <w:cnfStyle w:val="000000100000"/>
          <w:trHeight w:val="288"/>
        </w:trPr>
        <w:tc>
          <w:tcPr>
            <w:cnfStyle w:val="001000000000"/>
            <w:tcW w:w="2086" w:type="dxa"/>
            <w:shd w:val="clear" w:color="auto" w:fill="FDEED1" w:themeFill="background2" w:themeFillTint="33"/>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2015</w:t>
            </w: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12.5</w:t>
            </w: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08"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10.0</w:t>
            </w:r>
          </w:p>
        </w:tc>
        <w:tc>
          <w:tcPr>
            <w:tcW w:w="750" w:type="dxa"/>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8.0</w:t>
            </w:r>
          </w:p>
        </w:tc>
        <w:tc>
          <w:tcPr>
            <w:tcW w:w="756" w:type="dxa"/>
            <w:gridSpan w:val="2"/>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8.0</w:t>
            </w: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6.0</w:t>
            </w:r>
          </w:p>
        </w:tc>
        <w:tc>
          <w:tcPr>
            <w:tcW w:w="81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0.3</w:t>
            </w:r>
          </w:p>
        </w:tc>
        <w:tc>
          <w:tcPr>
            <w:tcW w:w="796"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2016</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14.0</w:t>
            </w:r>
          </w:p>
        </w:tc>
        <w:tc>
          <w:tcPr>
            <w:tcW w:w="81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11.0</w:t>
            </w:r>
          </w:p>
        </w:tc>
        <w:tc>
          <w:tcPr>
            <w:tcW w:w="75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9.0</w:t>
            </w:r>
          </w:p>
        </w:tc>
        <w:tc>
          <w:tcPr>
            <w:tcW w:w="756"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9.5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7.0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0.3</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r>
      <w:tr w:rsidR="0030185E" w:rsidRPr="002563F1" w:rsidTr="007A735A">
        <w:trPr>
          <w:cnfStyle w:val="000000100000"/>
          <w:trHeight w:val="288"/>
        </w:trPr>
        <w:tc>
          <w:tcPr>
            <w:cnfStyle w:val="001000000000"/>
            <w:tcW w:w="2086" w:type="dxa"/>
            <w:shd w:val="clear" w:color="auto" w:fill="FDEED1" w:themeFill="background2" w:themeFillTint="33"/>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2017</w:t>
            </w: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15.5</w:t>
            </w: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08"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12.0</w:t>
            </w:r>
          </w:p>
        </w:tc>
        <w:tc>
          <w:tcPr>
            <w:tcW w:w="750" w:type="dxa"/>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10.0</w:t>
            </w:r>
          </w:p>
        </w:tc>
        <w:tc>
          <w:tcPr>
            <w:tcW w:w="756" w:type="dxa"/>
            <w:gridSpan w:val="2"/>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11.0</w:t>
            </w: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8.0</w:t>
            </w:r>
          </w:p>
        </w:tc>
        <w:tc>
          <w:tcPr>
            <w:tcW w:w="81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0.3</w:t>
            </w:r>
          </w:p>
        </w:tc>
        <w:tc>
          <w:tcPr>
            <w:tcW w:w="796"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2018</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17.0</w:t>
            </w:r>
          </w:p>
        </w:tc>
        <w:tc>
          <w:tcPr>
            <w:tcW w:w="81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13.0</w:t>
            </w:r>
          </w:p>
        </w:tc>
        <w:tc>
          <w:tcPr>
            <w:tcW w:w="75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10.0</w:t>
            </w:r>
          </w:p>
        </w:tc>
        <w:tc>
          <w:tcPr>
            <w:tcW w:w="756"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12.5</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9.0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0.3</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r>
      <w:tr w:rsidR="0030185E" w:rsidRPr="002563F1" w:rsidTr="007A735A">
        <w:trPr>
          <w:cnfStyle w:val="000000100000"/>
          <w:trHeight w:val="288"/>
        </w:trPr>
        <w:tc>
          <w:tcPr>
            <w:cnfStyle w:val="001000000000"/>
            <w:tcW w:w="2086" w:type="dxa"/>
            <w:shd w:val="clear" w:color="auto" w:fill="FDEED1" w:themeFill="background2" w:themeFillTint="33"/>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2019</w:t>
            </w: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19.5</w:t>
            </w: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808"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14.0</w:t>
            </w:r>
          </w:p>
        </w:tc>
        <w:tc>
          <w:tcPr>
            <w:tcW w:w="750" w:type="dxa"/>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10.0</w:t>
            </w:r>
          </w:p>
        </w:tc>
        <w:tc>
          <w:tcPr>
            <w:tcW w:w="756" w:type="dxa"/>
            <w:gridSpan w:val="2"/>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p>
        </w:tc>
        <w:tc>
          <w:tcPr>
            <w:tcW w:w="90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14.0</w:t>
            </w:r>
          </w:p>
        </w:tc>
        <w:tc>
          <w:tcPr>
            <w:tcW w:w="72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10.0</w:t>
            </w:r>
          </w:p>
        </w:tc>
        <w:tc>
          <w:tcPr>
            <w:tcW w:w="810"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0.3</w:t>
            </w:r>
          </w:p>
        </w:tc>
        <w:tc>
          <w:tcPr>
            <w:tcW w:w="796" w:type="dxa"/>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100000"/>
              <w:rPr>
                <w:rFonts w:ascii="Arial" w:hAnsi="Arial" w:cs="Arial"/>
                <w:sz w:val="16"/>
                <w:szCs w:val="16"/>
              </w:rPr>
            </w:pPr>
          </w:p>
        </w:tc>
      </w:tr>
      <w:tr w:rsidR="0030185E" w:rsidRPr="002563F1" w:rsidTr="007A735A">
        <w:trPr>
          <w:cnfStyle w:val="000000010000"/>
          <w:trHeight w:val="288"/>
        </w:trPr>
        <w:tc>
          <w:tcPr>
            <w:cnfStyle w:val="001000000000"/>
            <w:tcW w:w="2086" w:type="dxa"/>
            <w:shd w:val="clear" w:color="auto" w:fill="FFFFFF" w:themeFill="background1"/>
          </w:tcPr>
          <w:p w:rsidR="0030185E" w:rsidRPr="002563F1" w:rsidRDefault="0030185E" w:rsidP="008C4446">
            <w:pPr>
              <w:spacing w:after="0" w:line="240" w:lineRule="auto"/>
              <w:rPr>
                <w:rFonts w:ascii="Arial" w:hAnsi="Arial" w:cs="Arial"/>
                <w:sz w:val="16"/>
                <w:szCs w:val="16"/>
              </w:rPr>
            </w:pPr>
            <w:r w:rsidRPr="002563F1">
              <w:rPr>
                <w:rFonts w:ascii="Arial" w:hAnsi="Arial" w:cs="Arial"/>
                <w:sz w:val="16"/>
                <w:szCs w:val="16"/>
              </w:rPr>
              <w:t>2020</w:t>
            </w: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20.0</w:t>
            </w:r>
          </w:p>
        </w:tc>
        <w:tc>
          <w:tcPr>
            <w:tcW w:w="81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81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808"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15.0</w:t>
            </w:r>
          </w:p>
        </w:tc>
        <w:tc>
          <w:tcPr>
            <w:tcW w:w="750" w:type="dxa"/>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75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10.0</w:t>
            </w:r>
          </w:p>
        </w:tc>
        <w:tc>
          <w:tcPr>
            <w:tcW w:w="756"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c>
          <w:tcPr>
            <w:tcW w:w="900" w:type="dxa"/>
            <w:vMerge/>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p>
        </w:tc>
        <w:tc>
          <w:tcPr>
            <w:tcW w:w="90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14.0</w:t>
            </w:r>
          </w:p>
        </w:tc>
        <w:tc>
          <w:tcPr>
            <w:tcW w:w="72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11.0</w:t>
            </w:r>
          </w:p>
        </w:tc>
        <w:tc>
          <w:tcPr>
            <w:tcW w:w="810"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0.3</w:t>
            </w:r>
          </w:p>
        </w:tc>
        <w:tc>
          <w:tcPr>
            <w:tcW w:w="796" w:type="dxa"/>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6.5</w:t>
            </w:r>
          </w:p>
        </w:tc>
        <w:tc>
          <w:tcPr>
            <w:tcW w:w="788" w:type="dxa"/>
            <w:gridSpan w:val="2"/>
            <w:vMerge/>
            <w:shd w:val="clear" w:color="auto" w:fill="FFFFFF" w:themeFill="background1"/>
          </w:tcPr>
          <w:p w:rsidR="0030185E" w:rsidRPr="002563F1" w:rsidRDefault="0030185E" w:rsidP="008C4446">
            <w:pPr>
              <w:spacing w:after="0" w:line="240" w:lineRule="auto"/>
              <w:cnfStyle w:val="000000010000"/>
              <w:rPr>
                <w:rFonts w:ascii="Arial" w:hAnsi="Arial" w:cs="Arial"/>
                <w:sz w:val="16"/>
                <w:szCs w:val="16"/>
              </w:rPr>
            </w:pPr>
          </w:p>
        </w:tc>
      </w:tr>
      <w:tr w:rsidR="0030185E" w:rsidRPr="002563F1" w:rsidTr="007A735A">
        <w:trPr>
          <w:cnfStyle w:val="000000100000"/>
        </w:trPr>
        <w:tc>
          <w:tcPr>
            <w:cnfStyle w:val="001000000000"/>
            <w:tcW w:w="2086" w:type="dxa"/>
            <w:shd w:val="clear" w:color="auto" w:fill="FDEED1" w:themeFill="background2" w:themeFillTint="33"/>
          </w:tcPr>
          <w:p w:rsidR="0030185E" w:rsidRDefault="0030185E" w:rsidP="008C4446">
            <w:pPr>
              <w:spacing w:after="0" w:line="240" w:lineRule="auto"/>
              <w:rPr>
                <w:rFonts w:ascii="Arial" w:hAnsi="Arial" w:cs="Arial"/>
                <w:b w:val="0"/>
                <w:bCs w:val="0"/>
                <w:sz w:val="16"/>
                <w:szCs w:val="16"/>
              </w:rPr>
            </w:pPr>
            <w:r w:rsidRPr="002563F1">
              <w:rPr>
                <w:rFonts w:ascii="Arial" w:hAnsi="Arial" w:cs="Arial"/>
                <w:sz w:val="16"/>
                <w:szCs w:val="16"/>
              </w:rPr>
              <w:t xml:space="preserve">Use Generator Information System </w:t>
            </w:r>
            <w:r>
              <w:rPr>
                <w:rFonts w:ascii="Arial" w:hAnsi="Arial" w:cs="Arial"/>
                <w:sz w:val="16"/>
                <w:szCs w:val="16"/>
              </w:rPr>
              <w:t>R</w:t>
            </w:r>
            <w:r w:rsidRPr="002563F1">
              <w:rPr>
                <w:rFonts w:ascii="Arial" w:hAnsi="Arial" w:cs="Arial"/>
                <w:sz w:val="16"/>
                <w:szCs w:val="16"/>
              </w:rPr>
              <w:t xml:space="preserve">enewable </w:t>
            </w:r>
            <w:r>
              <w:rPr>
                <w:rFonts w:ascii="Arial" w:hAnsi="Arial" w:cs="Arial"/>
                <w:sz w:val="16"/>
                <w:szCs w:val="16"/>
              </w:rPr>
              <w:t>E</w:t>
            </w:r>
            <w:r w:rsidRPr="002563F1">
              <w:rPr>
                <w:rFonts w:ascii="Arial" w:hAnsi="Arial" w:cs="Arial"/>
                <w:sz w:val="16"/>
                <w:szCs w:val="16"/>
              </w:rPr>
              <w:t xml:space="preserve">nergy </w:t>
            </w:r>
            <w:r>
              <w:rPr>
                <w:rFonts w:ascii="Arial" w:hAnsi="Arial" w:cs="Arial"/>
                <w:sz w:val="16"/>
                <w:szCs w:val="16"/>
              </w:rPr>
              <w:t>C</w:t>
            </w:r>
            <w:r w:rsidRPr="002563F1">
              <w:rPr>
                <w:rFonts w:ascii="Arial" w:hAnsi="Arial" w:cs="Arial"/>
                <w:sz w:val="16"/>
                <w:szCs w:val="16"/>
              </w:rPr>
              <w:t>ertificates?</w:t>
            </w:r>
          </w:p>
        </w:tc>
        <w:tc>
          <w:tcPr>
            <w:tcW w:w="2520" w:type="dxa"/>
            <w:gridSpan w:val="3"/>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Yes</w:t>
            </w:r>
          </w:p>
        </w:tc>
        <w:tc>
          <w:tcPr>
            <w:tcW w:w="2308" w:type="dxa"/>
            <w:gridSpan w:val="3"/>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Yes</w:t>
            </w:r>
          </w:p>
        </w:tc>
        <w:tc>
          <w:tcPr>
            <w:tcW w:w="1476" w:type="dxa"/>
            <w:gridSpan w:val="3"/>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Yes</w:t>
            </w:r>
          </w:p>
        </w:tc>
        <w:tc>
          <w:tcPr>
            <w:tcW w:w="1800" w:type="dxa"/>
            <w:gridSpan w:val="2"/>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Yes</w:t>
            </w:r>
          </w:p>
        </w:tc>
        <w:tc>
          <w:tcPr>
            <w:tcW w:w="3114" w:type="dxa"/>
            <w:gridSpan w:val="5"/>
            <w:shd w:val="clear" w:color="auto" w:fill="FDEED1" w:themeFill="background2" w:themeFillTint="33"/>
          </w:tcPr>
          <w:p w:rsidR="0030185E" w:rsidRPr="002563F1" w:rsidRDefault="0030185E" w:rsidP="008C4446">
            <w:pPr>
              <w:spacing w:after="0" w:line="240" w:lineRule="auto"/>
              <w:cnfStyle w:val="000000100000"/>
              <w:rPr>
                <w:rFonts w:ascii="Arial" w:hAnsi="Arial" w:cs="Arial"/>
                <w:sz w:val="16"/>
                <w:szCs w:val="16"/>
              </w:rPr>
            </w:pPr>
            <w:r w:rsidRPr="002563F1">
              <w:rPr>
                <w:rFonts w:ascii="Arial" w:hAnsi="Arial" w:cs="Arial"/>
                <w:sz w:val="16"/>
                <w:szCs w:val="16"/>
              </w:rPr>
              <w:t>Yes</w:t>
            </w:r>
          </w:p>
        </w:tc>
      </w:tr>
      <w:tr w:rsidR="0030185E" w:rsidRPr="002563F1" w:rsidTr="007A735A">
        <w:trPr>
          <w:cnfStyle w:val="000000010000"/>
        </w:trPr>
        <w:tc>
          <w:tcPr>
            <w:cnfStyle w:val="001000000000"/>
            <w:tcW w:w="2086" w:type="dxa"/>
            <w:shd w:val="clear" w:color="auto" w:fill="FDEED1" w:themeFill="background2" w:themeFillTint="33"/>
          </w:tcPr>
          <w:p w:rsidR="0030185E" w:rsidRDefault="0030185E" w:rsidP="008C4446">
            <w:pPr>
              <w:spacing w:after="0" w:line="240" w:lineRule="auto"/>
              <w:rPr>
                <w:rFonts w:ascii="Arial" w:hAnsi="Arial" w:cs="Arial"/>
                <w:b w:val="0"/>
                <w:bCs w:val="0"/>
                <w:sz w:val="16"/>
                <w:szCs w:val="16"/>
              </w:rPr>
            </w:pPr>
            <w:r w:rsidRPr="002563F1">
              <w:rPr>
                <w:rFonts w:ascii="Arial" w:hAnsi="Arial" w:cs="Arial"/>
                <w:sz w:val="16"/>
                <w:szCs w:val="16"/>
              </w:rPr>
              <w:t>Purchase of RECs from outside ISO New England allowed?</w:t>
            </w:r>
          </w:p>
        </w:tc>
        <w:tc>
          <w:tcPr>
            <w:tcW w:w="2520" w:type="dxa"/>
            <w:gridSpan w:val="3"/>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Yes, from adjacent areas, with confirmation of delivery of energy from the renewable energy source and reciprocal RPSs for NY, NJ, PA, MD, and DE.</w:t>
            </w:r>
          </w:p>
        </w:tc>
        <w:tc>
          <w:tcPr>
            <w:tcW w:w="2308" w:type="dxa"/>
            <w:gridSpan w:val="3"/>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Yes, from adjacent areas, with confirmation of delivery of energy</w:t>
            </w:r>
          </w:p>
        </w:tc>
        <w:tc>
          <w:tcPr>
            <w:tcW w:w="1476" w:type="dxa"/>
            <w:gridSpan w:val="3"/>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Yes, from adjacent areas</w:t>
            </w:r>
          </w:p>
        </w:tc>
        <w:tc>
          <w:tcPr>
            <w:tcW w:w="1800" w:type="dxa"/>
            <w:gridSpan w:val="2"/>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Yes, from adjacent areas</w:t>
            </w:r>
          </w:p>
        </w:tc>
        <w:tc>
          <w:tcPr>
            <w:tcW w:w="3114" w:type="dxa"/>
            <w:gridSpan w:val="5"/>
            <w:shd w:val="clear" w:color="auto" w:fill="FDEED1" w:themeFill="background2" w:themeFillTint="33"/>
          </w:tcPr>
          <w:p w:rsidR="0030185E" w:rsidRPr="002563F1" w:rsidRDefault="0030185E" w:rsidP="008C4446">
            <w:pPr>
              <w:spacing w:after="0" w:line="240" w:lineRule="auto"/>
              <w:cnfStyle w:val="000000010000"/>
              <w:rPr>
                <w:rFonts w:ascii="Arial" w:hAnsi="Arial" w:cs="Arial"/>
                <w:sz w:val="16"/>
                <w:szCs w:val="16"/>
              </w:rPr>
            </w:pPr>
            <w:r w:rsidRPr="002563F1">
              <w:rPr>
                <w:rFonts w:ascii="Arial" w:hAnsi="Arial" w:cs="Arial"/>
                <w:sz w:val="16"/>
                <w:szCs w:val="16"/>
              </w:rPr>
              <w:t>Yes, from adjacent areas, with confirmation of delivery of energy from the renewable energy source</w:t>
            </w:r>
          </w:p>
        </w:tc>
      </w:tr>
    </w:tbl>
    <w:p w:rsidR="004001CC" w:rsidRPr="002563F1" w:rsidRDefault="004001CC" w:rsidP="0030185E">
      <w:pPr>
        <w:tabs>
          <w:tab w:val="left" w:pos="13140"/>
        </w:tabs>
        <w:spacing w:before="120" w:after="80" w:line="240" w:lineRule="auto"/>
        <w:ind w:left="87" w:right="-180" w:hanging="274"/>
        <w:rPr>
          <w:rFonts w:ascii="Arial" w:hAnsi="Arial" w:cs="Arial"/>
          <w:sz w:val="16"/>
          <w:szCs w:val="16"/>
        </w:rPr>
      </w:pPr>
      <w:r w:rsidRPr="002563F1">
        <w:rPr>
          <w:rFonts w:ascii="Arial" w:hAnsi="Arial" w:cs="Arial"/>
          <w:sz w:val="16"/>
          <w:szCs w:val="16"/>
        </w:rPr>
        <w:t>(a)</w:t>
      </w:r>
      <w:r w:rsidRPr="002563F1">
        <w:rPr>
          <w:rFonts w:ascii="Arial" w:hAnsi="Arial" w:cs="Arial"/>
          <w:sz w:val="16"/>
          <w:szCs w:val="16"/>
        </w:rPr>
        <w:tab/>
        <w:t>All Connecticut Class I technologies except LFG and fuel cells can be used to meet Class II requirements. For Clas</w:t>
      </w:r>
      <w:smartTag w:uri="urn:schemas-microsoft-com:office:smarttags" w:element="stockticker">
        <w:r w:rsidRPr="002563F1">
          <w:rPr>
            <w:rFonts w:ascii="Arial" w:hAnsi="Arial" w:cs="Arial"/>
            <w:sz w:val="16"/>
            <w:szCs w:val="16"/>
          </w:rPr>
          <w:t xml:space="preserve">s </w:t>
        </w:r>
        <w:smartTag w:uri="urn:schemas-microsoft-com:office:smarttags" w:element="stockticker">
          <w:r w:rsidRPr="002563F1">
            <w:rPr>
              <w:rFonts w:ascii="Arial" w:hAnsi="Arial" w:cs="Arial"/>
              <w:sz w:val="16"/>
              <w:szCs w:val="16"/>
            </w:rPr>
            <w:t>I</w:t>
          </w:r>
        </w:smartTag>
      </w:smartTag>
      <w:r w:rsidRPr="002563F1">
        <w:rPr>
          <w:rFonts w:ascii="Arial" w:hAnsi="Arial" w:cs="Arial"/>
          <w:sz w:val="16"/>
          <w:szCs w:val="16"/>
        </w:rPr>
        <w:t xml:space="preserve">II, </w:t>
      </w:r>
      <w:r w:rsidR="00DF7B56">
        <w:rPr>
          <w:rFonts w:ascii="Arial" w:hAnsi="Arial" w:cs="Arial"/>
          <w:sz w:val="16"/>
          <w:szCs w:val="16"/>
        </w:rPr>
        <w:t>combined heat and power (</w:t>
      </w:r>
      <w:smartTag w:uri="urn:schemas-microsoft-com:office:smarttags" w:element="stockticker">
        <w:r w:rsidRPr="002563F1">
          <w:rPr>
            <w:rFonts w:ascii="Arial" w:hAnsi="Arial" w:cs="Arial"/>
            <w:sz w:val="16"/>
            <w:szCs w:val="16"/>
          </w:rPr>
          <w:t>C</w:t>
        </w:r>
      </w:smartTag>
      <w:r w:rsidRPr="002563F1">
        <w:rPr>
          <w:rFonts w:ascii="Arial" w:hAnsi="Arial" w:cs="Arial"/>
          <w:sz w:val="16"/>
          <w:szCs w:val="16"/>
        </w:rPr>
        <w:t>HP</w:t>
      </w:r>
      <w:r w:rsidR="00DF7B56">
        <w:rPr>
          <w:rFonts w:ascii="Arial" w:hAnsi="Arial" w:cs="Arial"/>
          <w:sz w:val="16"/>
          <w:szCs w:val="16"/>
        </w:rPr>
        <w:t>)</w:t>
      </w:r>
      <w:r w:rsidRPr="002563F1">
        <w:rPr>
          <w:rFonts w:ascii="Arial" w:hAnsi="Arial" w:cs="Arial"/>
          <w:sz w:val="16"/>
          <w:szCs w:val="16"/>
        </w:rPr>
        <w:t xml:space="preserve"> facilities can be used to offset generation on the grid with the more efficient on-site use of fuel.</w:t>
      </w:r>
    </w:p>
    <w:p w:rsidR="004001CC" w:rsidRPr="002563F1" w:rsidRDefault="004001CC" w:rsidP="0030185E">
      <w:pPr>
        <w:tabs>
          <w:tab w:val="left" w:pos="13140"/>
        </w:tabs>
        <w:spacing w:after="80" w:line="240" w:lineRule="auto"/>
        <w:ind w:left="90" w:right="-180" w:hanging="270"/>
        <w:rPr>
          <w:rFonts w:ascii="Arial" w:hAnsi="Arial" w:cs="Arial"/>
          <w:sz w:val="16"/>
          <w:szCs w:val="16"/>
        </w:rPr>
      </w:pPr>
      <w:r w:rsidRPr="002563F1">
        <w:rPr>
          <w:rFonts w:ascii="Arial" w:hAnsi="Arial" w:cs="Arial"/>
          <w:sz w:val="16"/>
          <w:szCs w:val="16"/>
        </w:rPr>
        <w:t>(b)</w:t>
      </w:r>
      <w:r w:rsidRPr="002563F1">
        <w:rPr>
          <w:rFonts w:ascii="Arial" w:hAnsi="Arial" w:cs="Arial"/>
          <w:sz w:val="16"/>
          <w:szCs w:val="16"/>
        </w:rPr>
        <w:tab/>
        <w:t>Class I has a minimum of 2% behind-the-meter resources. Class IIa is a minimum percentage for existing pre-1997 vintage LFG, hydro less than 5 MW, and biomass plants. Class IIb is a minimum percentage for pre-1997 vintage waste-to-energy plants.</w:t>
      </w:r>
    </w:p>
    <w:p w:rsidR="004001CC" w:rsidRPr="002563F1" w:rsidRDefault="004001CC" w:rsidP="0030185E">
      <w:pPr>
        <w:tabs>
          <w:tab w:val="left" w:pos="13140"/>
        </w:tabs>
        <w:spacing w:after="80" w:line="240" w:lineRule="auto"/>
        <w:ind w:left="90" w:right="-180" w:hanging="270"/>
        <w:rPr>
          <w:rFonts w:ascii="Arial" w:hAnsi="Arial" w:cs="Arial"/>
          <w:sz w:val="16"/>
          <w:szCs w:val="16"/>
        </w:rPr>
      </w:pPr>
      <w:r w:rsidRPr="002563F1">
        <w:rPr>
          <w:rFonts w:ascii="Arial" w:hAnsi="Arial" w:cs="Arial"/>
          <w:sz w:val="16"/>
          <w:szCs w:val="16"/>
        </w:rPr>
        <w:t>(c)</w:t>
      </w:r>
      <w:r w:rsidRPr="002563F1">
        <w:rPr>
          <w:rFonts w:ascii="Arial" w:hAnsi="Arial" w:cs="Arial"/>
          <w:sz w:val="16"/>
          <w:szCs w:val="16"/>
        </w:rPr>
        <w:tab/>
        <w:t xml:space="preserve">The 30% requirement refers to electric energy delivered to affected LSEs. </w:t>
      </w:r>
    </w:p>
    <w:p w:rsidR="004001CC" w:rsidRPr="002563F1" w:rsidRDefault="004001CC" w:rsidP="0030185E">
      <w:pPr>
        <w:tabs>
          <w:tab w:val="left" w:pos="13140"/>
        </w:tabs>
        <w:spacing w:after="80" w:line="240" w:lineRule="auto"/>
        <w:ind w:left="90" w:right="-180" w:hanging="270"/>
        <w:rPr>
          <w:rFonts w:ascii="Arial" w:hAnsi="Arial" w:cs="Arial"/>
          <w:sz w:val="16"/>
          <w:szCs w:val="16"/>
        </w:rPr>
      </w:pPr>
      <w:r w:rsidRPr="002563F1">
        <w:rPr>
          <w:rFonts w:ascii="Arial" w:hAnsi="Arial" w:cs="Arial"/>
          <w:sz w:val="16"/>
          <w:szCs w:val="16"/>
        </w:rPr>
        <w:t>(d)</w:t>
      </w:r>
      <w:r w:rsidRPr="002563F1">
        <w:rPr>
          <w:rFonts w:ascii="Arial" w:hAnsi="Arial" w:cs="Arial"/>
          <w:sz w:val="16"/>
          <w:szCs w:val="16"/>
        </w:rPr>
        <w:tab/>
        <w:t xml:space="preserve">Existing resources can make up no more than 2.0% of the RPS percentage. </w:t>
      </w:r>
    </w:p>
    <w:p w:rsidR="004001CC" w:rsidRPr="002563F1" w:rsidRDefault="004001CC" w:rsidP="0030185E">
      <w:pPr>
        <w:tabs>
          <w:tab w:val="left" w:pos="13140"/>
        </w:tabs>
        <w:spacing w:after="0" w:line="240" w:lineRule="auto"/>
        <w:ind w:left="87" w:right="-180" w:hanging="274"/>
        <w:rPr>
          <w:rFonts w:ascii="Arial" w:hAnsi="Arial" w:cs="Arial"/>
          <w:sz w:val="16"/>
          <w:szCs w:val="16"/>
        </w:rPr>
        <w:sectPr w:rsidR="004001CC" w:rsidRPr="002563F1" w:rsidSect="00015282">
          <w:footerReference w:type="default" r:id="rId55"/>
          <w:pgSz w:w="15840" w:h="12240" w:orient="landscape" w:code="1"/>
          <w:pgMar w:top="352" w:right="1440" w:bottom="432" w:left="1440" w:header="720" w:footer="720" w:gutter="0"/>
          <w:cols w:space="720"/>
          <w:vAlign w:val="center"/>
          <w:docGrid w:linePitch="360"/>
        </w:sectPr>
      </w:pPr>
      <w:r w:rsidRPr="002563F1">
        <w:rPr>
          <w:rFonts w:ascii="Arial" w:hAnsi="Arial" w:cs="Arial"/>
          <w:sz w:val="16"/>
          <w:szCs w:val="16"/>
        </w:rPr>
        <w:t>(e)</w:t>
      </w:r>
      <w:r w:rsidRPr="002563F1">
        <w:rPr>
          <w:rFonts w:ascii="Arial" w:hAnsi="Arial" w:cs="Arial"/>
          <w:sz w:val="16"/>
          <w:szCs w:val="16"/>
        </w:rPr>
        <w:tab/>
        <w:t>Class I increases an additional 1% per year from 2015 through 2025. Classes II to IV remain at the same percentages from 2015 through 2025.</w:t>
      </w:r>
    </w:p>
    <w:p w:rsidR="00382018" w:rsidRDefault="00382018" w:rsidP="00382018">
      <w:r w:rsidRPr="001B5B11">
        <w:t xml:space="preserve">Massachusetts </w:t>
      </w:r>
      <w:r>
        <w:t xml:space="preserve">has made </w:t>
      </w:r>
      <w:r w:rsidRPr="001B5B11">
        <w:t xml:space="preserve">two major changes </w:t>
      </w:r>
      <w:r>
        <w:t>to</w:t>
      </w:r>
      <w:r w:rsidRPr="001B5B11">
        <w:t xml:space="preserve"> its RPS since RSP09</w:t>
      </w:r>
      <w:r>
        <w:t xml:space="preserve">. </w:t>
      </w:r>
      <w:r w:rsidR="009F4D77">
        <w:t>One is that i</w:t>
      </w:r>
      <w:r w:rsidRPr="001B5B11">
        <w:t>t has added a solar “carve-out” as part of the Class I RPS requirements</w:t>
      </w:r>
      <w:r w:rsidR="009F4D77">
        <w:t xml:space="preserve">. </w:t>
      </w:r>
      <w:r w:rsidRPr="009E2A13">
        <w:t>For</w:t>
      </w:r>
      <w:r w:rsidRPr="001B5B11">
        <w:t xml:space="preserve"> 2010, the solar carve-out is set at 30 MW (DC current).  </w:t>
      </w:r>
      <w:r w:rsidR="009F4D77">
        <w:t>E</w:t>
      </w:r>
      <w:r w:rsidRPr="001B5B11">
        <w:t>ach year</w:t>
      </w:r>
      <w:r w:rsidR="009F4D77">
        <w:t>, the requirement for the carve-out is calculated</w:t>
      </w:r>
      <w:r w:rsidRPr="001B5B11">
        <w:t xml:space="preserve"> based on the previous year’s minimum requirement, increased by 30%. </w:t>
      </w:r>
      <w:r w:rsidR="00B43EF1" w:rsidRPr="001B5B11">
        <w:t xml:space="preserve">Once a maximum </w:t>
      </w:r>
      <w:r w:rsidR="00B43EF1" w:rsidRPr="003426F4">
        <w:t>of 400 MW</w:t>
      </w:r>
      <w:r w:rsidR="00B43EF1">
        <w:t xml:space="preserve"> </w:t>
      </w:r>
      <w:r w:rsidR="00B43EF1" w:rsidRPr="001B5B11">
        <w:t xml:space="preserve">(DC) </w:t>
      </w:r>
      <w:r w:rsidR="00B43EF1">
        <w:t xml:space="preserve">of solar </w:t>
      </w:r>
      <w:r w:rsidR="00B43EF1" w:rsidRPr="001B5B11">
        <w:t xml:space="preserve">is </w:t>
      </w:r>
      <w:r w:rsidR="00B43EF1">
        <w:t>installed in the state</w:t>
      </w:r>
      <w:r w:rsidR="00B43EF1" w:rsidRPr="001B5B11">
        <w:t xml:space="preserve">, </w:t>
      </w:r>
      <w:r w:rsidR="00B43EF1" w:rsidRPr="003426F4">
        <w:t>the carve-out requirement</w:t>
      </w:r>
      <w:r w:rsidR="00B43EF1" w:rsidRPr="001B5B11">
        <w:t xml:space="preserve"> ends</w:t>
      </w:r>
      <w:r w:rsidR="00B43EF1">
        <w:t xml:space="preserve">. </w:t>
      </w:r>
      <w:r w:rsidR="00B43EF1" w:rsidRPr="001B5B11">
        <w:t xml:space="preserve">The </w:t>
      </w:r>
      <w:r w:rsidR="00B43EF1">
        <w:t xml:space="preserve">state also </w:t>
      </w:r>
      <w:r w:rsidR="00B43EF1" w:rsidRPr="001B5B11">
        <w:t xml:space="preserve">set a </w:t>
      </w:r>
      <w:r w:rsidR="00B43EF1">
        <w:t>s</w:t>
      </w:r>
      <w:r w:rsidR="00B43EF1" w:rsidRPr="001B5B11">
        <w:t xml:space="preserve">olar </w:t>
      </w:r>
      <w:r w:rsidR="00B43EF1">
        <w:t>carve-out Alternative Compliance Payment (</w:t>
      </w:r>
      <w:r w:rsidR="00B43EF1" w:rsidRPr="00932C94">
        <w:t>ACP</w:t>
      </w:r>
      <w:r w:rsidR="00B43EF1">
        <w:t>)</w:t>
      </w:r>
      <w:r w:rsidR="00B43EF1" w:rsidRPr="001B5B11">
        <w:t xml:space="preserve"> of $</w:t>
      </w:r>
      <w:r w:rsidR="00B43EF1">
        <w:t>6</w:t>
      </w:r>
      <w:r w:rsidR="00B43EF1" w:rsidRPr="009E2A13">
        <w:t>00</w:t>
      </w:r>
      <w:r w:rsidR="00B43EF1">
        <w:t xml:space="preserve"> (see Section </w:t>
      </w:r>
      <w:r w:rsidR="00832C7A">
        <w:fldChar w:fldCharType="begin"/>
      </w:r>
      <w:r w:rsidR="00B43EF1">
        <w:instrText xml:space="preserve"> REF _Ref271123067 \r \h </w:instrText>
      </w:r>
      <w:r w:rsidR="00832C7A">
        <w:fldChar w:fldCharType="separate"/>
      </w:r>
      <w:r w:rsidR="00E5699E">
        <w:t>8.5.2.3</w:t>
      </w:r>
      <w:r w:rsidR="00832C7A">
        <w:fldChar w:fldCharType="end"/>
      </w:r>
      <w:r w:rsidR="00B43EF1">
        <w:t>)</w:t>
      </w:r>
      <w:r w:rsidR="00B43EF1" w:rsidRPr="009E2A13">
        <w:t>.</w:t>
      </w:r>
      <w:r w:rsidR="00B43EF1" w:rsidRPr="00B43EF1">
        <w:t xml:space="preserve"> </w:t>
      </w:r>
      <w:r w:rsidR="00B43EF1">
        <w:t xml:space="preserve">As a minimum support </w:t>
      </w:r>
      <w:r w:rsidR="00F46CEB" w:rsidRPr="00F46CEB">
        <w:t>for solar REC (S-RECs), the DOER has proposed an auction process to guarantee developers a minimu</w:t>
      </w:r>
      <w:r w:rsidR="00B43EF1">
        <w:t>m of $300/MWh and a long-term market for S-RECs. The second Massachusetts change is that</w:t>
      </w:r>
      <w:r w:rsidRPr="001B5B11">
        <w:t xml:space="preserve"> </w:t>
      </w:r>
      <w:r w:rsidR="00987991" w:rsidRPr="00987991">
        <w:t>new biomass</w:t>
      </w:r>
      <w:r w:rsidRPr="001B5B11">
        <w:t xml:space="preserve"> has been suspended as a renewable resource option to meet the RPS</w:t>
      </w:r>
      <w:r w:rsidR="00DC45B3">
        <w:t>. T</w:t>
      </w:r>
      <w:r>
        <w:t xml:space="preserve">he development of new regulations </w:t>
      </w:r>
      <w:r w:rsidR="00DC45B3">
        <w:t xml:space="preserve">is pending and will be </w:t>
      </w:r>
      <w:r>
        <w:t xml:space="preserve">based on a </w:t>
      </w:r>
      <w:r w:rsidR="002254F0">
        <w:t xml:space="preserve">DOER </w:t>
      </w:r>
      <w:r>
        <w:t xml:space="preserve">study </w:t>
      </w:r>
      <w:r w:rsidRPr="001B5B11">
        <w:t xml:space="preserve">of what </w:t>
      </w:r>
      <w:r>
        <w:t xml:space="preserve">types of </w:t>
      </w:r>
      <w:r w:rsidRPr="001B5B11">
        <w:t xml:space="preserve">biomass </w:t>
      </w:r>
      <w:r>
        <w:t>are</w:t>
      </w:r>
      <w:r w:rsidRPr="001B5B11">
        <w:t xml:space="preserve"> considered a sustainable resource.</w:t>
      </w:r>
      <w:r w:rsidRPr="00035510">
        <w:rPr>
          <w:rStyle w:val="FootnoteReference"/>
          <w:sz w:val="22"/>
        </w:rPr>
        <w:footnoteReference w:id="239"/>
      </w:r>
      <w:r w:rsidR="009F4D77" w:rsidRPr="009F4D77">
        <w:t xml:space="preserve"> </w:t>
      </w:r>
    </w:p>
    <w:p w:rsidR="004E104A" w:rsidRDefault="00382018" w:rsidP="00382018">
      <w:r w:rsidRPr="00892882">
        <w:t xml:space="preserve">Vermont’s Sustainably Priced Energy Enterprise Development </w:t>
      </w:r>
      <w:r>
        <w:t>(</w:t>
      </w:r>
      <w:r w:rsidRPr="00892882">
        <w:t>SPEED</w:t>
      </w:r>
      <w:r>
        <w:t>)</w:t>
      </w:r>
      <w:r w:rsidRPr="00892882">
        <w:t xml:space="preserve"> program ha</w:t>
      </w:r>
      <w:r>
        <w:t>s</w:t>
      </w:r>
      <w:r w:rsidRPr="00892882">
        <w:t xml:space="preserve"> a trigger window, from 2005 to 2012</w:t>
      </w:r>
      <w:r>
        <w:t xml:space="preserve">; </w:t>
      </w:r>
      <w:r w:rsidRPr="00892882">
        <w:t xml:space="preserve">if new </w:t>
      </w:r>
      <w:r w:rsidRPr="00B4588A">
        <w:t xml:space="preserve">load growth within the state is not met with new renewable generation, an RPS goal will be triggered. </w:t>
      </w:r>
      <w:r w:rsidR="00121D8B">
        <w:t>On the b</w:t>
      </w:r>
      <w:r w:rsidRPr="00B4588A">
        <w:t>as</w:t>
      </w:r>
      <w:r w:rsidR="00121D8B">
        <w:t xml:space="preserve">is </w:t>
      </w:r>
      <w:r w:rsidRPr="00B4588A">
        <w:t>o</w:t>
      </w:r>
      <w:r w:rsidR="00121D8B">
        <w:t>f</w:t>
      </w:r>
      <w:r w:rsidRPr="00B4588A">
        <w:t xml:space="preserve"> the ISO’s 2010 load forecast, Vermont’s net load for energy is expected to </w:t>
      </w:r>
      <w:r w:rsidRPr="00BE1496">
        <w:t xml:space="preserve">be about 50 MW above 2005 levels in 2012. </w:t>
      </w:r>
      <w:r w:rsidR="00987991" w:rsidRPr="00987991">
        <w:t xml:space="preserve">Vermont also has a legislative goal of meeting 20% of its energy needs with renewable resources by 2017. Vermont considers large hydro as renewable resources and allows </w:t>
      </w:r>
      <w:r w:rsidR="00D23A4D">
        <w:t xml:space="preserve">hydro </w:t>
      </w:r>
      <w:r w:rsidR="00987991" w:rsidRPr="00987991">
        <w:t>imports from New York and Canada. The</w:t>
      </w:r>
      <w:r w:rsidRPr="00B4588A">
        <w:t xml:space="preserve"> ISO will monitor whether any additional legislative action may be taken at the conclusion of the trigger window and revise its projections as appropriate</w:t>
      </w:r>
      <w:r w:rsidR="00E84B2C">
        <w:t xml:space="preserve">. </w:t>
      </w:r>
    </w:p>
    <w:p w:rsidR="004001CC" w:rsidRPr="00892882" w:rsidRDefault="004001CC" w:rsidP="00382018">
      <w:r w:rsidRPr="00892882">
        <w:t xml:space="preserve">As shown in </w:t>
      </w:r>
      <w:fldSimple w:instr=" REF _Ref241568708 \h  \* MERGEFORMAT ">
        <w:r w:rsidR="00E5699E">
          <w:t xml:space="preserve">Table </w:t>
        </w:r>
        <w:r w:rsidR="00E5699E">
          <w:rPr>
            <w:noProof/>
          </w:rPr>
          <w:t>8</w:t>
        </w:r>
        <w:r w:rsidR="00E5699E">
          <w:rPr>
            <w:noProof/>
          </w:rPr>
          <w:noBreakHyphen/>
          <w:t>15</w:t>
        </w:r>
      </w:fldSimple>
      <w:r w:rsidRPr="00892882">
        <w:t xml:space="preserve">, Connecticut has three classes of renewable resources; New Hampshire has four classes; and Massachusetts, Maine, and Rhode Island have two classes each. The </w:t>
      </w:r>
      <w:r w:rsidR="00C814EB" w:rsidRPr="00C814EB">
        <w:t xml:space="preserve">Maine Public Utilities </w:t>
      </w:r>
      <w:r w:rsidR="00C814EB" w:rsidRPr="00B4588A">
        <w:t>Commission</w:t>
      </w:r>
      <w:r w:rsidR="00821C68" w:rsidRPr="00821C68">
        <w:t xml:space="preserve"> </w:t>
      </w:r>
      <w:r w:rsidRPr="00B4588A">
        <w:t>established</w:t>
      </w:r>
      <w:r w:rsidRPr="00892882">
        <w:t xml:space="preserve"> regulations in 2007 that created a Class I and Class II for renewable sources of energy.</w:t>
      </w:r>
      <w:r w:rsidRPr="00035510">
        <w:rPr>
          <w:rStyle w:val="FootnoteReference"/>
          <w:sz w:val="22"/>
        </w:rPr>
        <w:footnoteReference w:id="240"/>
      </w:r>
      <w:r w:rsidRPr="00035510">
        <w:t xml:space="preserve"> </w:t>
      </w:r>
      <w:r w:rsidRPr="00892882">
        <w:t>Class II became the previous 30% RPS for existing resources.</w:t>
      </w:r>
      <w:r w:rsidRPr="00035510">
        <w:rPr>
          <w:rStyle w:val="FootnoteReference"/>
          <w:sz w:val="22"/>
        </w:rPr>
        <w:footnoteReference w:id="241"/>
      </w:r>
      <w:r w:rsidRPr="00035510">
        <w:t xml:space="preserve"> </w:t>
      </w:r>
      <w:r w:rsidRPr="00892882">
        <w:t>Under the Class I RPS, competitive suppliers in Maine must demonstrate that new renewable resources provide a percentage of their energy supply portfolio. This start</w:t>
      </w:r>
      <w:r w:rsidR="00033376">
        <w:t>ed</w:t>
      </w:r>
      <w:r w:rsidRPr="00892882">
        <w:t xml:space="preserve"> at 1% in 2008 and increases 1% annually through 2017. </w:t>
      </w:r>
      <w:r w:rsidR="00916387" w:rsidRPr="00A53278">
        <w:t xml:space="preserve">Alternatively, </w:t>
      </w:r>
      <w:r w:rsidR="00BF4F40" w:rsidRPr="00A53278">
        <w:t>in lieu of having sufficient resources</w:t>
      </w:r>
      <w:r w:rsidR="00916387" w:rsidRPr="00A53278">
        <w:t xml:space="preserve">, affected suppliers may use </w:t>
      </w:r>
      <w:r w:rsidR="00916387" w:rsidRPr="0001667E">
        <w:t>the ACP</w:t>
      </w:r>
      <w:r w:rsidR="0001667E">
        <w:t xml:space="preserve"> (see </w:t>
      </w:r>
      <w:r w:rsidR="007E5475">
        <w:t>Section </w:t>
      </w:r>
      <w:r w:rsidR="00832C7A">
        <w:fldChar w:fldCharType="begin"/>
      </w:r>
      <w:r w:rsidR="0001667E">
        <w:instrText xml:space="preserve"> REF _Ref271123067 \r \h </w:instrText>
      </w:r>
      <w:r w:rsidR="00832C7A">
        <w:fldChar w:fldCharType="separate"/>
      </w:r>
      <w:r w:rsidR="00E5699E">
        <w:t>8.5.2.3</w:t>
      </w:r>
      <w:r w:rsidR="00832C7A">
        <w:fldChar w:fldCharType="end"/>
      </w:r>
      <w:r w:rsidR="0001667E">
        <w:t>)</w:t>
      </w:r>
      <w:r w:rsidR="00E27310" w:rsidRPr="0001667E">
        <w:t xml:space="preserve">. </w:t>
      </w:r>
    </w:p>
    <w:p w:rsidR="004001CC" w:rsidRPr="00892882" w:rsidRDefault="004001CC" w:rsidP="00073277">
      <w:r w:rsidRPr="00892882">
        <w:t>The main drivers for the growth of renewable resources in New England are the classes for new renewables: Rhode Island’s RPS; Massachusetts’s, Connecticut’s, and Maine’s Class I; and New Hampshire’s Classes I and II.</w:t>
      </w:r>
      <w:r w:rsidR="0011226E">
        <w:t xml:space="preserve"> </w:t>
      </w:r>
      <w:r w:rsidR="00C814EB" w:rsidRPr="00C814EB">
        <w:t xml:space="preserve">The Massachusetts </w:t>
      </w:r>
      <w:r w:rsidR="003174D8" w:rsidRPr="003174D8">
        <w:t>DOER</w:t>
      </w:r>
      <w:r w:rsidRPr="00D137F2">
        <w:t xml:space="preserve"> issued</w:t>
      </w:r>
      <w:r w:rsidRPr="00892882">
        <w:t xml:space="preserve"> a rulemaking in 20</w:t>
      </w:r>
      <w:r>
        <w:t>10</w:t>
      </w:r>
      <w:r w:rsidRPr="00892882">
        <w:t xml:space="preserve"> that determine</w:t>
      </w:r>
      <w:r>
        <w:t>d</w:t>
      </w:r>
      <w:r w:rsidRPr="00892882">
        <w:t xml:space="preserve"> </w:t>
      </w:r>
      <w:r w:rsidR="00D137F2">
        <w:t xml:space="preserve">that </w:t>
      </w:r>
      <w:r w:rsidRPr="0011226E">
        <w:t xml:space="preserve">the </w:t>
      </w:r>
      <w:r w:rsidR="00821C68" w:rsidRPr="0011226E">
        <w:t xml:space="preserve">maximum size of on-site </w:t>
      </w:r>
      <w:r w:rsidR="00E95748" w:rsidRPr="0011226E">
        <w:t xml:space="preserve">solar </w:t>
      </w:r>
      <w:r w:rsidR="00821C68" w:rsidRPr="0011226E">
        <w:t xml:space="preserve">generation </w:t>
      </w:r>
      <w:r w:rsidR="00821C68" w:rsidRPr="0011226E">
        <w:rPr>
          <w:rFonts w:eastAsia="Times New Roman"/>
        </w:rPr>
        <w:t xml:space="preserve">comprising </w:t>
      </w:r>
      <w:r w:rsidR="00DF7B56" w:rsidRPr="0011226E">
        <w:t xml:space="preserve">Class I solar carve-out resources </w:t>
      </w:r>
      <w:r w:rsidR="00821C68" w:rsidRPr="0011226E">
        <w:t>would</w:t>
      </w:r>
      <w:r w:rsidRPr="0011226E">
        <w:t xml:space="preserve"> be </w:t>
      </w:r>
      <w:r w:rsidR="006C40E0" w:rsidRPr="0011226E">
        <w:t>2</w:t>
      </w:r>
      <w:r w:rsidR="006C40E0">
        <w:t> </w:t>
      </w:r>
      <w:r w:rsidRPr="0011226E">
        <w:t>MW</w:t>
      </w:r>
      <w:r w:rsidR="00A406AC" w:rsidRPr="0011226E">
        <w:t>.</w:t>
      </w:r>
      <w:r w:rsidRPr="0059304A">
        <w:rPr>
          <w:rStyle w:val="FootnoteReference"/>
          <w:sz w:val="22"/>
        </w:rPr>
        <w:footnoteReference w:id="242"/>
      </w:r>
      <w:r w:rsidRPr="0059304A">
        <w:t xml:space="preserve"> </w:t>
      </w:r>
    </w:p>
    <w:p w:rsidR="004001CC" w:rsidRPr="00892882" w:rsidRDefault="004001CC" w:rsidP="00073277">
      <w:r w:rsidRPr="00892882">
        <w:t>The classes for existing renewables include Connecticut’s, Massachusetts’s, and Maine’s Class II, and New Hampshire’s Classe</w:t>
      </w:r>
      <w:smartTag w:uri="urn:schemas-microsoft-com:office:smarttags" w:element="stockticker">
        <w:r w:rsidRPr="00892882">
          <w:t xml:space="preserve">s </w:t>
        </w:r>
        <w:smartTag w:uri="urn:schemas-microsoft-com:office:smarttags" w:element="stockticker">
          <w:r w:rsidRPr="00892882">
            <w:t>I</w:t>
          </w:r>
        </w:smartTag>
      </w:smartTag>
      <w:r w:rsidRPr="00892882">
        <w:t xml:space="preserve">II and IV. These existing classes are intended to retain the use of existing </w:t>
      </w:r>
      <w:r w:rsidRPr="0011226E">
        <w:t xml:space="preserve">renewable </w:t>
      </w:r>
      <w:r w:rsidR="00821C68" w:rsidRPr="0011226E">
        <w:t>resources for meeting the RPS, although</w:t>
      </w:r>
      <w:r w:rsidRPr="0011226E">
        <w:t xml:space="preserve"> the</w:t>
      </w:r>
      <w:r w:rsidRPr="00892882">
        <w:t xml:space="preserve"> projected increase in electricity use for these states </w:t>
      </w:r>
      <w:r w:rsidR="00916387" w:rsidRPr="00A0722C">
        <w:t>will increase</w:t>
      </w:r>
      <w:r w:rsidR="00A0722C" w:rsidRPr="00A0722C">
        <w:t xml:space="preserve"> </w:t>
      </w:r>
      <w:r w:rsidR="00916387" w:rsidRPr="00A0722C">
        <w:t>the amount of electric energy that resources in these classes will need to provide.</w:t>
      </w:r>
      <w:r w:rsidRPr="00A0722C">
        <w:t xml:space="preserve"> Some</w:t>
      </w:r>
      <w:r w:rsidRPr="00892882">
        <w:t xml:space="preserve"> combination of increased energy efficiency and the use of CHP facilities that have a total fuel efficiency greater than 50% can be used to satisfy Connecticut’s Class III. The percentages for this class are shown in </w:t>
      </w:r>
      <w:fldSimple w:instr=" REF _Ref241568708 \h  \* MERGEFORMAT ">
        <w:r w:rsidR="00E5699E">
          <w:t xml:space="preserve">Table </w:t>
        </w:r>
        <w:r w:rsidR="00E5699E">
          <w:rPr>
            <w:noProof/>
          </w:rPr>
          <w:t>8</w:t>
        </w:r>
        <w:r w:rsidR="00E5699E">
          <w:rPr>
            <w:noProof/>
          </w:rPr>
          <w:noBreakHyphen/>
          <w:t>15</w:t>
        </w:r>
      </w:fldSimple>
      <w:r w:rsidRPr="00892882">
        <w:t>.</w:t>
      </w:r>
    </w:p>
    <w:p w:rsidR="004001CC" w:rsidRPr="00276BC0" w:rsidRDefault="004001CC" w:rsidP="00073277">
      <w:r w:rsidRPr="00892882">
        <w:t xml:space="preserve">With its </w:t>
      </w:r>
      <w:r w:rsidRPr="00892882">
        <w:rPr>
          <w:i/>
        </w:rPr>
        <w:t>Green Communities Act</w:t>
      </w:r>
      <w:r w:rsidRPr="00892882">
        <w:t>, Massachusetts established a Class II</w:t>
      </w:r>
      <w:r w:rsidR="00735D12">
        <w:t xml:space="preserve"> RPS</w:t>
      </w:r>
      <w:r w:rsidRPr="00892882">
        <w:t xml:space="preserve">. In the state’s RPS regulations, the </w:t>
      </w:r>
      <w:r w:rsidRPr="009747D3">
        <w:t xml:space="preserve">Massachusetts DOER developed two Class II requirements: a minimum of 3.6% for the technologies </w:t>
      </w:r>
      <w:r w:rsidR="00821C68" w:rsidRPr="009747D3">
        <w:t xml:space="preserve">shown in </w:t>
      </w:r>
      <w:fldSimple w:instr=" REF _Ref229902471 \h  \* MERGEFORMAT ">
        <w:r w:rsidR="00E5699E" w:rsidRPr="00C70D89">
          <w:t>Table </w:t>
        </w:r>
        <w:r w:rsidR="00E5699E">
          <w:t>8</w:t>
        </w:r>
        <w:r w:rsidR="00E5699E">
          <w:noBreakHyphen/>
          <w:t>14</w:t>
        </w:r>
      </w:fldSimple>
      <w:r w:rsidR="0076739E">
        <w:t xml:space="preserve"> </w:t>
      </w:r>
      <w:r w:rsidR="00821C68" w:rsidRPr="009747D3">
        <w:t>and</w:t>
      </w:r>
      <w:r w:rsidR="00821C68" w:rsidRPr="00821C68">
        <w:t xml:space="preserve"> a minimum</w:t>
      </w:r>
      <w:r w:rsidRPr="00892882">
        <w:t xml:space="preserve"> of 3.5% for municipal solid waste plants, both </w:t>
      </w:r>
      <w:r w:rsidR="00890D42" w:rsidRPr="00890D42">
        <w:t>applying to plants in operation before December 31, 199</w:t>
      </w:r>
      <w:r w:rsidR="00890D42" w:rsidRPr="00B113C5">
        <w:t>7</w:t>
      </w:r>
      <w:r w:rsidR="00065DED" w:rsidRPr="00B113C5">
        <w:t>.</w:t>
      </w:r>
    </w:p>
    <w:p w:rsidR="004001CC" w:rsidRPr="00892882" w:rsidRDefault="00890D42" w:rsidP="00073277">
      <w:r w:rsidRPr="00890D42">
        <w:t xml:space="preserve">The Massachusetts </w:t>
      </w:r>
      <w:r w:rsidRPr="00890D42">
        <w:rPr>
          <w:i/>
        </w:rPr>
        <w:t>Green Communities Act</w:t>
      </w:r>
      <w:r w:rsidRPr="00890D42">
        <w:t xml:space="preserve"> also established an Alternative Portfolio Standard (APS) similar to the RPS.</w:t>
      </w:r>
      <w:r w:rsidR="004001CC" w:rsidRPr="00892882">
        <w:t xml:space="preserve"> The APS sets electric energy consumption targets </w:t>
      </w:r>
      <w:r w:rsidR="00987991" w:rsidRPr="00987991">
        <w:t>for competitive retail electricity supplies, which must use alternative technologies</w:t>
      </w:r>
      <w:r w:rsidR="004001CC" w:rsidRPr="00892882">
        <w:t xml:space="preserve"> to meet the minimum APS percentage of their electric energy consumption. The technologies </w:t>
      </w:r>
      <w:r w:rsidR="004001CC" w:rsidRPr="00787694">
        <w:t xml:space="preserve">include </w:t>
      </w:r>
      <w:r w:rsidR="00065DED" w:rsidRPr="00787694">
        <w:t>CHP</w:t>
      </w:r>
      <w:r w:rsidR="004001CC" w:rsidRPr="00787694">
        <w:t>, flywheel</w:t>
      </w:r>
      <w:r w:rsidR="004001CC" w:rsidRPr="00892882">
        <w:t xml:space="preserve"> storage, gasification with carbon sequestration, paper</w:t>
      </w:r>
      <w:r w:rsidR="004001CC">
        <w:t>-</w:t>
      </w:r>
      <w:r w:rsidR="004001CC" w:rsidRPr="00892882">
        <w:t>derived fuel, and efficient steam technology.</w:t>
      </w:r>
      <w:r w:rsidR="00065DED" w:rsidRPr="00065DED">
        <w:rPr>
          <w:rStyle w:val="FootnoteReference"/>
          <w:sz w:val="22"/>
        </w:rPr>
        <w:footnoteReference w:id="243"/>
      </w:r>
      <w:r w:rsidR="004001CC" w:rsidRPr="00892882">
        <w:t xml:space="preserve"> The Massachusetts DOER determined the APS percentages, starting in 2009, to be 1.0% and growing in increments of 0.5% per year to 2014, reaching 3.5%. The percentages would then increase at 0.25% increments per year, reaching 5% by 2020. </w:t>
      </w:r>
      <w:fldSimple w:instr=" REF _Ref229902471 \h  \* MERGEFORMAT ">
        <w:r w:rsidR="00E5699E" w:rsidRPr="00C70D89">
          <w:t>Table </w:t>
        </w:r>
        <w:r w:rsidR="00E5699E">
          <w:t>8</w:t>
        </w:r>
        <w:r w:rsidR="00E5699E">
          <w:noBreakHyphen/>
          <w:t>14</w:t>
        </w:r>
      </w:fldSimple>
      <w:r w:rsidR="004001CC" w:rsidRPr="00892882">
        <w:t xml:space="preserve"> and </w:t>
      </w:r>
      <w:fldSimple w:instr=" REF _Ref241568708 \h  \* MERGEFORMAT ">
        <w:r w:rsidR="00E5699E">
          <w:t xml:space="preserve">Table </w:t>
        </w:r>
        <w:r w:rsidR="00E5699E">
          <w:rPr>
            <w:noProof/>
          </w:rPr>
          <w:t>8</w:t>
        </w:r>
        <w:r w:rsidR="00E5699E">
          <w:rPr>
            <w:noProof/>
          </w:rPr>
          <w:noBreakHyphen/>
          <w:t>15</w:t>
        </w:r>
      </w:fldSimple>
      <w:r w:rsidR="004001CC" w:rsidRPr="00892882">
        <w:t xml:space="preserve"> do not include the APS targets</w:t>
      </w:r>
      <w:r w:rsidR="00735D12">
        <w:t xml:space="preserve"> because this category of technologies does not strictly encompass renewable resources. In any case, </w:t>
      </w:r>
      <w:r w:rsidR="004001CC" w:rsidRPr="00892882">
        <w:t xml:space="preserve">the ISO estimates </w:t>
      </w:r>
      <w:r w:rsidR="00735D12">
        <w:t xml:space="preserve">the APS target </w:t>
      </w:r>
      <w:r w:rsidR="004001CC" w:rsidRPr="00892882">
        <w:t>would reflect about 300 MW by 2020 (operating at an 80% capacity factor).</w:t>
      </w:r>
    </w:p>
    <w:p w:rsidR="00B462A6" w:rsidRDefault="004001CC">
      <w:pPr>
        <w:pStyle w:val="Heading3"/>
      </w:pPr>
      <w:bookmarkStart w:id="656" w:name="_Toc207531874"/>
      <w:bookmarkStart w:id="657" w:name="_Toc239157111"/>
      <w:bookmarkStart w:id="658" w:name="_Toc271632293"/>
      <w:r w:rsidRPr="00251F93">
        <w:t>Related Renewable Resource and Energy-Efficiency Developments</w:t>
      </w:r>
      <w:bookmarkEnd w:id="656"/>
      <w:bookmarkEnd w:id="657"/>
      <w:bookmarkEnd w:id="658"/>
    </w:p>
    <w:p w:rsidR="004001CC" w:rsidRPr="00251F93" w:rsidRDefault="004001CC" w:rsidP="00073277">
      <w:r w:rsidRPr="00251F93">
        <w:t xml:space="preserve">Another portion of the Massachusetts </w:t>
      </w:r>
      <w:r w:rsidRPr="00251F93">
        <w:rPr>
          <w:i/>
        </w:rPr>
        <w:t>Green Communities Act</w:t>
      </w:r>
      <w:r w:rsidRPr="00251F93">
        <w:t xml:space="preserve"> is for the Secretary of Energy and Environmental Affairs to prepare a five-year plan for meeting the following renewable and energy-efficiency goals, some of which were discussed in Section</w:t>
      </w:r>
      <w:r w:rsidR="00D95D76">
        <w:t xml:space="preserve"> </w:t>
      </w:r>
      <w:r w:rsidR="00832C7A">
        <w:fldChar w:fldCharType="begin"/>
      </w:r>
      <w:r w:rsidR="00D137F2">
        <w:instrText xml:space="preserve"> REF _Ref266542367 \r \h </w:instrText>
      </w:r>
      <w:r w:rsidR="00832C7A">
        <w:fldChar w:fldCharType="separate"/>
      </w:r>
      <w:r w:rsidR="00E5699E">
        <w:t>8.4.2</w:t>
      </w:r>
      <w:r w:rsidR="00832C7A">
        <w:fldChar w:fldCharType="end"/>
      </w:r>
      <w:r w:rsidRPr="00251F93">
        <w:t xml:space="preserve">: </w:t>
      </w:r>
    </w:p>
    <w:p w:rsidR="00164A74" w:rsidRDefault="004001CC" w:rsidP="00BB34F0">
      <w:pPr>
        <w:numPr>
          <w:ilvl w:val="0"/>
          <w:numId w:val="40"/>
        </w:numPr>
      </w:pPr>
      <w:r w:rsidRPr="00251F93">
        <w:t xml:space="preserve">Meet at least 25% of the state’s electricity load by 2020 with demand resources that include energy efficiency, load management, demand response, and behind-the-meter generation. </w:t>
      </w:r>
    </w:p>
    <w:p w:rsidR="00164A74" w:rsidRDefault="004001CC" w:rsidP="00BB34F0">
      <w:pPr>
        <w:numPr>
          <w:ilvl w:val="0"/>
          <w:numId w:val="40"/>
        </w:numPr>
      </w:pPr>
      <w:r w:rsidRPr="00251F93">
        <w:t xml:space="preserve">Have competitive LSEs meet at least 20% of their electricity load by 2020 through the use of new, renewable, and alternative energy generation. This goal encompasses the RPS target of 15%, plus the APS target of 5% by 2020. </w:t>
      </w:r>
    </w:p>
    <w:p w:rsidR="00164A74" w:rsidRDefault="004001CC" w:rsidP="00BB34F0">
      <w:pPr>
        <w:numPr>
          <w:ilvl w:val="0"/>
          <w:numId w:val="40"/>
        </w:numPr>
      </w:pPr>
      <w:r w:rsidRPr="00251F93">
        <w:t>By 2020, reduce the amount of fossil fuels used in buildings by 10% from 2007 levels through increased efficiency.</w:t>
      </w:r>
    </w:p>
    <w:p w:rsidR="00164A74" w:rsidRDefault="004001CC" w:rsidP="00BB34F0">
      <w:pPr>
        <w:numPr>
          <w:ilvl w:val="0"/>
          <w:numId w:val="40"/>
        </w:numPr>
      </w:pPr>
      <w:r w:rsidRPr="00251F93">
        <w:t xml:space="preserve">Plan to reduce total electric and nonelectric energy consumption in the state by at least 10% by </w:t>
      </w:r>
      <w:r w:rsidRPr="00805D22">
        <w:t>2017 through the development and implementation of a green communities program that encourages the use of renewable energy, demand reduction, conservation, and energy efficiency</w:t>
      </w:r>
      <w:r w:rsidR="001168C8" w:rsidRPr="00805D22">
        <w:t xml:space="preserve">, </w:t>
      </w:r>
      <w:r w:rsidR="00F46CEB" w:rsidRPr="00805D22">
        <w:t xml:space="preserve">as well as the progressive adoption of Massachusetts’s new </w:t>
      </w:r>
      <w:r w:rsidR="00F46CEB" w:rsidRPr="00805D22">
        <w:rPr>
          <w:i/>
        </w:rPr>
        <w:t>Stretch Energy Code</w:t>
      </w:r>
      <w:r w:rsidR="00F46CEB" w:rsidRPr="00805D22">
        <w:t>.</w:t>
      </w:r>
      <w:r w:rsidR="00F46CEB" w:rsidRPr="00FC5828">
        <w:rPr>
          <w:rStyle w:val="FootnoteReference"/>
          <w:sz w:val="22"/>
        </w:rPr>
        <w:footnoteReference w:id="244"/>
      </w:r>
      <w:r w:rsidR="00F46CEB" w:rsidRPr="00805D22">
        <w:t xml:space="preserve"> This building energy conservation code is intended to reduce at least 20% of the average overall annual combined energy consumption per square foot by all </w:t>
      </w:r>
      <w:r w:rsidR="00EE37FD" w:rsidRPr="00805D22">
        <w:t xml:space="preserve">new and existing </w:t>
      </w:r>
      <w:r w:rsidR="00F46CEB" w:rsidRPr="00805D22">
        <w:t>buildings in the municipalities that have adopted the code.</w:t>
      </w:r>
    </w:p>
    <w:p w:rsidR="00B462A6" w:rsidRDefault="004001CC">
      <w:pPr>
        <w:pStyle w:val="Heading3"/>
      </w:pPr>
      <w:bookmarkStart w:id="659" w:name="_Toc176245045"/>
      <w:bookmarkStart w:id="660" w:name="_Toc201669976"/>
      <w:bookmarkStart w:id="661" w:name="_Toc207531876"/>
      <w:bookmarkStart w:id="662" w:name="_Toc239157113"/>
      <w:bookmarkStart w:id="663" w:name="_Toc271632294"/>
      <w:r w:rsidRPr="00675DDD">
        <w:t xml:space="preserve">Projected </w:t>
      </w:r>
      <w:r w:rsidRPr="00437364">
        <w:t xml:space="preserve">RPS </w:t>
      </w:r>
      <w:bookmarkEnd w:id="659"/>
      <w:bookmarkEnd w:id="660"/>
      <w:bookmarkEnd w:id="661"/>
      <w:r w:rsidRPr="00437364">
        <w:t>and Renewable Re</w:t>
      </w:r>
      <w:r w:rsidRPr="007108ED">
        <w:t>sources in the ISO Queue</w:t>
      </w:r>
      <w:bookmarkEnd w:id="662"/>
      <w:bookmarkEnd w:id="663"/>
      <w:r w:rsidRPr="00675DDD">
        <w:t xml:space="preserve"> </w:t>
      </w:r>
    </w:p>
    <w:p w:rsidR="004001CC" w:rsidRDefault="004001CC" w:rsidP="00073277">
      <w:r w:rsidRPr="00D3526C">
        <w:t xml:space="preserve">This section presents a New England-wide </w:t>
      </w:r>
      <w:r w:rsidRPr="00087EDC">
        <w:t>projection of the</w:t>
      </w:r>
      <w:r w:rsidRPr="00D3526C">
        <w:t xml:space="preserve"> states’ RPS electric energy targets for r</w:t>
      </w:r>
      <w:r w:rsidRPr="00550C10">
        <w:t>enewable resources and energy-</w:t>
      </w:r>
      <w:r>
        <w:t>efficiency goals. It then shows the outlook for meeting these electric energy targets with just the renewable resources in the April 1, 2010, ISO Generator Interconnection Queue</w:t>
      </w:r>
      <w:r w:rsidRPr="00A0722C">
        <w:t xml:space="preserve">. </w:t>
      </w:r>
      <w:r w:rsidR="00916387" w:rsidRPr="00A0722C">
        <w:t xml:space="preserve">Although the retail electricity providers have a combination of means for meeting their RPS targets (see Section </w:t>
      </w:r>
      <w:fldSimple w:instr=" REF _Ref271123067 \r \h  \* MERGEFORMAT ">
        <w:r w:rsidR="00E5699E">
          <w:t>8.5.2.3</w:t>
        </w:r>
      </w:fldSimple>
      <w:r w:rsidR="00A0722C">
        <w:t>),</w:t>
      </w:r>
      <w:r w:rsidR="00916387" w:rsidRPr="00A0722C">
        <w:t xml:space="preserve"> the</w:t>
      </w:r>
      <w:r w:rsidRPr="00A0722C">
        <w:t xml:space="preserve"> ren</w:t>
      </w:r>
      <w:r>
        <w:t>ewable resources in the ISO queue represent a large potential physical supply for RPS compliance in New England.</w:t>
      </w:r>
      <w:r w:rsidR="00872374">
        <w:t xml:space="preserve"> Analysis of the amounts of these resources provide</w:t>
      </w:r>
      <w:r w:rsidR="001C69FD">
        <w:t>s</w:t>
      </w:r>
      <w:r w:rsidR="00872374">
        <w:t xml:space="preserve"> information on the potential need for additional renewable development. </w:t>
      </w:r>
    </w:p>
    <w:p w:rsidR="00FC0261" w:rsidRDefault="004001CC" w:rsidP="00235A65">
      <w:pPr>
        <w:pStyle w:val="Heading4"/>
      </w:pPr>
      <w:r w:rsidRPr="00550C10">
        <w:rPr>
          <w:rFonts w:eastAsiaTheme="minorHAnsi"/>
        </w:rPr>
        <w:t xml:space="preserve">Projected </w:t>
      </w:r>
      <w:r w:rsidRPr="00550C10">
        <w:t>Targets for RPSs and Related Energy-Efficienc</w:t>
      </w:r>
      <w:r w:rsidRPr="00892882">
        <w:t>y Policies</w:t>
      </w:r>
    </w:p>
    <w:p w:rsidR="004001CC" w:rsidRPr="00892882" w:rsidRDefault="004001CC" w:rsidP="00073277">
      <w:r w:rsidRPr="00892882">
        <w:t xml:space="preserve">To provide a New England-wide outlook for the five states with RPSs and other related state policies, the ISO projected the electric energy targets for all the RPS classes and related state </w:t>
      </w:r>
      <w:r w:rsidRPr="00C70D89">
        <w:t>policies</w:t>
      </w:r>
      <w:r>
        <w:t>.</w:t>
      </w:r>
      <w:r w:rsidRPr="00892882">
        <w:t xml:space="preserve"> It also projected the potential growth of the RPS targets for “new renewable” classes. The RPS projections were based on the ISO’s 10-year 20</w:t>
      </w:r>
      <w:r>
        <w:t>1</w:t>
      </w:r>
      <w:r w:rsidRPr="00892882">
        <w:t>0 forecast for the electric energy demand for competitive retail suppliers and excluded relevant municipal utilities in states where these entities are exempt from meeting the RPSs.</w:t>
      </w:r>
      <w:r w:rsidRPr="0004592A">
        <w:rPr>
          <w:rStyle w:val="FootnoteReference"/>
          <w:sz w:val="22"/>
        </w:rPr>
        <w:footnoteReference w:id="245"/>
      </w:r>
      <w:r w:rsidRPr="00892882">
        <w:t xml:space="preserve"> To obtain the RPSs’ projected targets for 2020, the energy forecast was extrapolated </w:t>
      </w:r>
      <w:r>
        <w:t>from 2019</w:t>
      </w:r>
      <w:r w:rsidRPr="00892882">
        <w:t>, assuming energy growth rates would be similar to those</w:t>
      </w:r>
      <w:r>
        <w:t xml:space="preserve"> of</w:t>
      </w:r>
      <w:r w:rsidRPr="00892882">
        <w:t xml:space="preserve"> the </w:t>
      </w:r>
      <w:r>
        <w:t xml:space="preserve">last year of the </w:t>
      </w:r>
      <w:r w:rsidRPr="00892882">
        <w:t xml:space="preserve">ISO’s forecast </w:t>
      </w:r>
      <w:r>
        <w:t>(from 2018 to</w:t>
      </w:r>
      <w:r w:rsidRPr="00892882">
        <w:t xml:space="preserve"> 2019</w:t>
      </w:r>
      <w:r>
        <w:t>)</w:t>
      </w:r>
      <w:r w:rsidRPr="00892882">
        <w:t xml:space="preserve">. </w:t>
      </w:r>
      <w:r w:rsidRPr="002B0BC6">
        <w:t xml:space="preserve">Massachusetts’s </w:t>
      </w:r>
      <w:r w:rsidRPr="00D3526C">
        <w:rPr>
          <w:i/>
        </w:rPr>
        <w:t>Green Communities Act</w:t>
      </w:r>
      <w:r w:rsidRPr="00D3526C">
        <w:t xml:space="preserve"> energy-efficiency goal of reducing the state’s overall use of electric energy 25% by 2020 was modeled as energy-efficiency percentages of statewide electric energy use. The percentages were projected to incrementally increase annually until the state achieves the 25% goal in 2020 (i.e., electric energy usage for competitive retail suppliers</w:t>
      </w:r>
      <w:r w:rsidRPr="002B0BC6">
        <w:t xml:space="preserve"> </w:t>
      </w:r>
      <w:r w:rsidRPr="00D3526C">
        <w:t>would be reduced by over 14,</w:t>
      </w:r>
      <w:r w:rsidR="00D83F29" w:rsidRPr="00D3526C">
        <w:t>000</w:t>
      </w:r>
      <w:r w:rsidR="00D83F29">
        <w:t> </w:t>
      </w:r>
      <w:r w:rsidRPr="00D3526C">
        <w:t>GWh</w:t>
      </w:r>
      <w:r w:rsidR="00FE468A">
        <w:t>)</w:t>
      </w:r>
      <w:r w:rsidR="00D83F29">
        <w:t>.</w:t>
      </w:r>
      <w:r w:rsidR="00F46CEB" w:rsidRPr="00F46CEB">
        <w:rPr>
          <w:rStyle w:val="FootnoteReference"/>
          <w:sz w:val="22"/>
        </w:rPr>
        <w:footnoteReference w:id="246"/>
      </w:r>
      <w:r w:rsidR="00F46CEB" w:rsidRPr="00F46CEB">
        <w:t xml:space="preserve"> </w:t>
      </w:r>
      <w:r w:rsidRPr="00892882">
        <w:t>The M</w:t>
      </w:r>
      <w:r w:rsidR="00DD06C0">
        <w:t xml:space="preserve">assachusetts </w:t>
      </w:r>
      <w:r w:rsidRPr="00892882">
        <w:t>RPS percentages were then applied to the reduced level of electric energy consumption to obtain the RPS energy requirements. For these analyses, the various state RPS classes and other policies have been grouped into four categories:</w:t>
      </w:r>
      <w:r w:rsidRPr="00C323B0" w:rsidDel="003E43B3">
        <w:t xml:space="preserve"> </w:t>
      </w:r>
    </w:p>
    <w:p w:rsidR="004001CC" w:rsidRPr="00DD06C0" w:rsidRDefault="004001CC" w:rsidP="00BB34F0">
      <w:pPr>
        <w:numPr>
          <w:ilvl w:val="0"/>
          <w:numId w:val="61"/>
        </w:numPr>
        <w:spacing w:after="120"/>
        <w:ind w:left="720"/>
      </w:pPr>
      <w:r w:rsidRPr="00892882">
        <w:rPr>
          <w:b/>
        </w:rPr>
        <w:t>Existing—</w:t>
      </w:r>
      <w:r w:rsidRPr="00892882">
        <w:t>RPS classes using existing renewable resources. This includes the Class II category for Maine, Connecticut, and Massachusetts; Rhode Island’s “existing” category; and New Hampshire’s Classe</w:t>
      </w:r>
      <w:smartTag w:uri="urn:schemas-microsoft-com:office:smarttags" w:element="stockticker">
        <w:r w:rsidRPr="00892882">
          <w:t xml:space="preserve">s </w:t>
        </w:r>
        <w:smartTag w:uri="urn:schemas-microsoft-com:office:smarttags" w:element="stockticker">
          <w:r w:rsidRPr="00892882">
            <w:t>I</w:t>
          </w:r>
        </w:smartTag>
      </w:smartTag>
      <w:r w:rsidRPr="00892882">
        <w:t>II and IV. Massachusetts’</w:t>
      </w:r>
      <w:r w:rsidR="000B531D">
        <w:t>s</w:t>
      </w:r>
      <w:r w:rsidRPr="00892882">
        <w:t xml:space="preserve"> new Class II has two components: one covering the technologies shown in </w:t>
      </w:r>
      <w:r w:rsidR="00832C7A">
        <w:fldChar w:fldCharType="begin"/>
      </w:r>
      <w:r w:rsidR="00D83F29">
        <w:instrText xml:space="preserve"> REF _Ref229902471 \h </w:instrText>
      </w:r>
      <w:r w:rsidR="00832C7A">
        <w:fldChar w:fldCharType="separate"/>
      </w:r>
      <w:r w:rsidR="00E5699E" w:rsidRPr="00C70D89">
        <w:t>Table </w:t>
      </w:r>
      <w:r w:rsidR="00E5699E">
        <w:rPr>
          <w:noProof/>
        </w:rPr>
        <w:t>8</w:t>
      </w:r>
      <w:r w:rsidR="00E5699E">
        <w:noBreakHyphen/>
      </w:r>
      <w:r w:rsidR="00E5699E">
        <w:rPr>
          <w:noProof/>
        </w:rPr>
        <w:t>14</w:t>
      </w:r>
      <w:r w:rsidR="00832C7A">
        <w:fldChar w:fldCharType="end"/>
      </w:r>
      <w:r w:rsidRPr="00D83F29">
        <w:t xml:space="preserve"> and</w:t>
      </w:r>
      <w:r w:rsidRPr="00892882">
        <w:t xml:space="preserve"> in operation before December 31, 1997, and another class for just waste energy plants from the same time period. </w:t>
      </w:r>
      <w:fldSimple w:instr=" REF _Ref241568708 \h  \* MERGEFORMAT ">
        <w:r w:rsidR="00E5699E">
          <w:t xml:space="preserve">Table </w:t>
        </w:r>
        <w:r w:rsidR="00E5699E">
          <w:rPr>
            <w:noProof/>
          </w:rPr>
          <w:t>8</w:t>
        </w:r>
        <w:r w:rsidR="00E5699E">
          <w:rPr>
            <w:noProof/>
          </w:rPr>
          <w:noBreakHyphen/>
          <w:t>15</w:t>
        </w:r>
      </w:fldSimple>
      <w:r w:rsidR="00D83F29" w:rsidRPr="00D83F29">
        <w:t xml:space="preserve"> </w:t>
      </w:r>
      <w:r w:rsidRPr="00D83F29">
        <w:t>shows</w:t>
      </w:r>
      <w:r w:rsidRPr="00892882">
        <w:t xml:space="preserve"> the percentage targets for each component. All these </w:t>
      </w:r>
      <w:r w:rsidR="00735D12">
        <w:t xml:space="preserve">classes </w:t>
      </w:r>
      <w:r w:rsidRPr="00892882">
        <w:t xml:space="preserve">have some growth in the use of renewable resources because of the ISO’s estimated growth in the total demand for electric energy for each state over the next 10 years. New Hampshire’s Classes III and IV also include, for several near-term years, </w:t>
      </w:r>
      <w:r w:rsidRPr="00DD06C0">
        <w:t xml:space="preserve">some increase in the percentage targets shown in </w:t>
      </w:r>
      <w:fldSimple w:instr=" REF _Ref241568708 \h  \* MERGEFORMAT ">
        <w:r w:rsidR="00E5699E">
          <w:t xml:space="preserve">Table </w:t>
        </w:r>
        <w:r w:rsidR="00E5699E">
          <w:rPr>
            <w:noProof/>
          </w:rPr>
          <w:t>8</w:t>
        </w:r>
        <w:r w:rsidR="00E5699E">
          <w:rPr>
            <w:noProof/>
          </w:rPr>
          <w:noBreakHyphen/>
          <w:t>15</w:t>
        </w:r>
      </w:fldSimple>
      <w:r w:rsidRPr="00DD06C0">
        <w:t xml:space="preserve">. </w:t>
      </w:r>
    </w:p>
    <w:p w:rsidR="004001CC" w:rsidRPr="00DD06C0" w:rsidRDefault="004001CC" w:rsidP="00BB34F0">
      <w:pPr>
        <w:numPr>
          <w:ilvl w:val="0"/>
          <w:numId w:val="61"/>
        </w:numPr>
        <w:spacing w:after="120"/>
        <w:ind w:left="720"/>
      </w:pPr>
      <w:r w:rsidRPr="00DD06C0">
        <w:rPr>
          <w:b/>
        </w:rPr>
        <w:t>New—</w:t>
      </w:r>
      <w:r w:rsidRPr="00DD06C0">
        <w:t>RPS classes focusing on using new renewable resources. This category includes increases in new renewable resources and includes Class I for Maine, Connecticut, and Massachusetts; Rhode Island’s RPS class for new growth; and New Hampshire’s Classes I and II.</w:t>
      </w:r>
    </w:p>
    <w:p w:rsidR="004001CC" w:rsidRPr="00DD06C0" w:rsidRDefault="004001CC" w:rsidP="00BB34F0">
      <w:pPr>
        <w:numPr>
          <w:ilvl w:val="0"/>
          <w:numId w:val="61"/>
        </w:numPr>
        <w:spacing w:after="120"/>
        <w:ind w:left="720"/>
      </w:pPr>
      <w:r w:rsidRPr="00DD06C0">
        <w:rPr>
          <w:b/>
        </w:rPr>
        <w:t xml:space="preserve">Vermont </w:t>
      </w:r>
      <w:r w:rsidR="00D83F29" w:rsidRPr="00DD06C0">
        <w:rPr>
          <w:b/>
        </w:rPr>
        <w:t>g</w:t>
      </w:r>
      <w:r w:rsidRPr="00DD06C0">
        <w:rPr>
          <w:b/>
        </w:rPr>
        <w:t>oals</w:t>
      </w:r>
      <w:r w:rsidR="00D83F29" w:rsidRPr="00DD06C0">
        <w:rPr>
          <w:b/>
        </w:rPr>
        <w:t xml:space="preserve"> </w:t>
      </w:r>
      <w:r w:rsidR="00821C68" w:rsidRPr="00DD06C0">
        <w:rPr>
          <w:b/>
        </w:rPr>
        <w:t>for using new renewable resources</w:t>
      </w:r>
      <w:r w:rsidR="00D83F29" w:rsidRPr="00DD06C0">
        <w:t>—</w:t>
      </w:r>
      <w:r w:rsidRPr="00DD06C0">
        <w:t>This category includes Vermont’s goal of renewable resources meeting 20% of the state’s electric energy demand by 2017, as well as the SPEED program. Since an implementation plan</w:t>
      </w:r>
      <w:r w:rsidR="00735D12" w:rsidRPr="00DD06C0">
        <w:t xml:space="preserve"> </w:t>
      </w:r>
      <w:r w:rsidRPr="00DD06C0">
        <w:t>for 20% by 2017 has not been formally established, an increase in renewable penetration of 2.5% has been assumed for forecasting this target.</w:t>
      </w:r>
      <w:r w:rsidRPr="00DD06C0" w:rsidDel="00F60765">
        <w:t xml:space="preserve"> </w:t>
      </w:r>
    </w:p>
    <w:p w:rsidR="004001CC" w:rsidRDefault="004001CC" w:rsidP="00BB34F0">
      <w:pPr>
        <w:numPr>
          <w:ilvl w:val="0"/>
          <w:numId w:val="61"/>
        </w:numPr>
        <w:spacing w:after="120"/>
        <w:ind w:left="720"/>
      </w:pPr>
      <w:r w:rsidRPr="00892882">
        <w:rPr>
          <w:b/>
        </w:rPr>
        <w:t>Energy efficiency—</w:t>
      </w:r>
      <w:r w:rsidRPr="00892882">
        <w:t>New energy-efficiency RPS classes and policy goals. This includes Connecticut’s Class III targets, which also can be met by CHP and Massachusetts’</w:t>
      </w:r>
      <w:r w:rsidR="000B531D">
        <w:t>s</w:t>
      </w:r>
      <w:r w:rsidRPr="00892882">
        <w:t xml:space="preserve"> goal of meeting 25% of energy demand with new energy-efficiency measures by 2020. Although the new Massachusetts APS category includes CHP, the APS has not been projected in this analysis for reasons explained previously.</w:t>
      </w:r>
    </w:p>
    <w:p w:rsidR="004001CC" w:rsidRDefault="004001CC" w:rsidP="00073277">
      <w:r w:rsidRPr="00892882">
        <w:t xml:space="preserve">For each of these four </w:t>
      </w:r>
      <w:r>
        <w:t xml:space="preserve">RPS </w:t>
      </w:r>
      <w:r w:rsidRPr="00892882">
        <w:t>categories and for 2010, 2013, 2017, and 2020</w:t>
      </w:r>
      <w:r w:rsidRPr="00073277">
        <w:t xml:space="preserve">, </w:t>
      </w:r>
      <w:r w:rsidR="00832C7A">
        <w:fldChar w:fldCharType="begin"/>
      </w:r>
      <w:r w:rsidR="00D83F29">
        <w:instrText xml:space="preserve"> REF _Ref229906800 \h </w:instrText>
      </w:r>
      <w:r w:rsidR="00832C7A">
        <w:fldChar w:fldCharType="separate"/>
      </w:r>
      <w:r w:rsidR="00E5699E" w:rsidRPr="00CE7FAD">
        <w:t>Table </w:t>
      </w:r>
      <w:r w:rsidR="00E5699E">
        <w:rPr>
          <w:noProof/>
        </w:rPr>
        <w:t>8</w:t>
      </w:r>
      <w:r w:rsidR="00E5699E">
        <w:noBreakHyphen/>
      </w:r>
      <w:r w:rsidR="00E5699E">
        <w:rPr>
          <w:noProof/>
        </w:rPr>
        <w:t>16</w:t>
      </w:r>
      <w:r w:rsidR="00832C7A">
        <w:fldChar w:fldCharType="end"/>
      </w:r>
      <w:r w:rsidRPr="00073277">
        <w:t xml:space="preserve"> shows the RPS and policy goals based on the ISO’s 2010 10-year forecast for annual electric energy use by state (net of noncompetitive suppliers’ energy) and the corresponding RPS percentage requirements shown in </w:t>
      </w:r>
      <w:fldSimple w:instr=" REF _Ref241568708 \h  \* MERGEFORMAT ">
        <w:r w:rsidR="00E5699E">
          <w:t xml:space="preserve">Table </w:t>
        </w:r>
        <w:r w:rsidR="00E5699E">
          <w:rPr>
            <w:noProof/>
          </w:rPr>
          <w:t>8</w:t>
        </w:r>
        <w:r w:rsidR="00E5699E">
          <w:rPr>
            <w:noProof/>
          </w:rPr>
          <w:noBreakHyphen/>
          <w:t>15</w:t>
        </w:r>
      </w:fldSimple>
      <w:r w:rsidRPr="00073277">
        <w:t>. For each year, the table shows the total electric energy</w:t>
      </w:r>
      <w:r w:rsidRPr="00892882">
        <w:t xml:space="preserve"> goal for each of these four categories of renewables. It also shows the totals of these categories as a percentage of the projected total electric energy </w:t>
      </w:r>
      <w:r w:rsidRPr="00892882">
        <w:rPr>
          <w:rFonts w:eastAsia="Times New Roman"/>
        </w:rPr>
        <w:t xml:space="preserve">demand </w:t>
      </w:r>
      <w:r w:rsidRPr="00892882">
        <w:t xml:space="preserve">in New </w:t>
      </w:r>
      <w:r w:rsidRPr="009747D3">
        <w:t>England.</w:t>
      </w:r>
      <w:r w:rsidR="0096524E" w:rsidRPr="0004592A">
        <w:rPr>
          <w:rStyle w:val="FootnoteReference"/>
          <w:sz w:val="22"/>
        </w:rPr>
        <w:footnoteReference w:id="247"/>
      </w:r>
      <w:r w:rsidRPr="0004592A">
        <w:t xml:space="preserve"> </w:t>
      </w:r>
      <w:bookmarkStart w:id="664" w:name="_Toc176244949"/>
      <w:bookmarkStart w:id="665" w:name="_Toc200169061"/>
      <w:bookmarkStart w:id="666" w:name="_Ref173430985"/>
      <w:bookmarkStart w:id="667" w:name="_Ref200277759"/>
      <w:r w:rsidR="00382018" w:rsidRPr="009747D3">
        <w:t xml:space="preserve">For the figures presented in this section and data shown in </w:t>
      </w:r>
      <w:fldSimple w:instr=" REF _Ref241568708 \h  \* MERGEFORMAT ">
        <w:r w:rsidR="00E5699E">
          <w:t xml:space="preserve">Table </w:t>
        </w:r>
        <w:r w:rsidR="00E5699E">
          <w:rPr>
            <w:noProof/>
          </w:rPr>
          <w:t>8</w:t>
        </w:r>
        <w:r w:rsidR="00E5699E">
          <w:rPr>
            <w:noProof/>
          </w:rPr>
          <w:noBreakHyphen/>
          <w:t>15</w:t>
        </w:r>
      </w:fldSimple>
      <w:r w:rsidR="00382018" w:rsidRPr="009747D3">
        <w:t>, it has been assumed that Vermont’s SPEED program will be renewed beyond 2012.</w:t>
      </w:r>
    </w:p>
    <w:p w:rsidR="00E5442B" w:rsidRDefault="004001CC" w:rsidP="000B0100">
      <w:pPr>
        <w:pStyle w:val="Caption"/>
        <w:spacing w:after="60"/>
      </w:pPr>
      <w:bookmarkStart w:id="668" w:name="_Ref229906800"/>
      <w:bookmarkStart w:id="669" w:name="_Toc239157237"/>
      <w:bookmarkStart w:id="670" w:name="_Toc271552436"/>
      <w:r w:rsidRPr="00CE7FAD">
        <w:t>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16</w:t>
      </w:r>
      <w:r w:rsidR="00832C7A">
        <w:fldChar w:fldCharType="end"/>
      </w:r>
      <w:bookmarkEnd w:id="668"/>
      <w:r w:rsidRPr="00CE7FAD">
        <w:br/>
        <w:t xml:space="preserve">Estimated New England RPS and Related </w:t>
      </w:r>
      <w:r>
        <w:t>Targets</w:t>
      </w:r>
      <w:r w:rsidRPr="00CE7FAD">
        <w:t xml:space="preserve"> for Renewables</w:t>
      </w:r>
      <w:r w:rsidR="002254F0">
        <w:br/>
      </w:r>
      <w:r w:rsidRPr="00CE7FAD">
        <w:t>and Energy Efficiency (GWh and %)</w:t>
      </w:r>
      <w:bookmarkEnd w:id="669"/>
      <w:bookmarkEnd w:id="670"/>
    </w:p>
    <w:tbl>
      <w:tblPr>
        <w:tblStyle w:val="MediumShading1-Accent12"/>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tblPr>
      <w:tblGrid>
        <w:gridCol w:w="782"/>
        <w:gridCol w:w="3960"/>
        <w:gridCol w:w="1170"/>
        <w:gridCol w:w="1170"/>
        <w:gridCol w:w="1170"/>
        <w:gridCol w:w="1052"/>
      </w:tblGrid>
      <w:tr w:rsidR="004001CC" w:rsidRPr="007231D5" w:rsidTr="000B0100">
        <w:trPr>
          <w:cnfStyle w:val="100000000000"/>
          <w:trHeight w:val="412"/>
        </w:trPr>
        <w:tc>
          <w:tcPr>
            <w:cnfStyle w:val="001000000100"/>
            <w:tcW w:w="782" w:type="dxa"/>
            <w:shd w:val="clear" w:color="auto" w:fill="FBCE76" w:themeFill="background2" w:themeFillTint="99"/>
            <w:tcMar>
              <w:bottom w:w="43" w:type="dxa"/>
            </w:tcMar>
          </w:tcPr>
          <w:p w:rsidR="004001CC" w:rsidRPr="007231D5" w:rsidRDefault="004001CC" w:rsidP="000B0100">
            <w:pPr>
              <w:pStyle w:val="TablefontHeading"/>
              <w:spacing w:before="0" w:after="0"/>
              <w:rPr>
                <w:rFonts w:cs="Arial"/>
                <w:color w:val="000000" w:themeColor="text1"/>
                <w:sz w:val="18"/>
                <w:szCs w:val="18"/>
              </w:rPr>
            </w:pPr>
            <w:r w:rsidRPr="007231D5">
              <w:rPr>
                <w:rFonts w:cs="Arial"/>
                <w:color w:val="000000" w:themeColor="text1"/>
                <w:sz w:val="18"/>
                <w:szCs w:val="18"/>
              </w:rPr>
              <w:t>Line #</w:t>
            </w:r>
          </w:p>
        </w:tc>
        <w:tc>
          <w:tcPr>
            <w:tcW w:w="3960" w:type="dxa"/>
            <w:shd w:val="clear" w:color="auto" w:fill="FBCE76" w:themeFill="background2" w:themeFillTint="99"/>
            <w:tcMar>
              <w:bottom w:w="43" w:type="dxa"/>
            </w:tcMar>
          </w:tcPr>
          <w:p w:rsidR="004001CC" w:rsidRPr="007231D5" w:rsidRDefault="004001CC" w:rsidP="000B0100">
            <w:pPr>
              <w:pStyle w:val="TablefontHeading"/>
              <w:spacing w:before="0" w:after="0"/>
              <w:cnfStyle w:val="100000000000"/>
              <w:rPr>
                <w:rFonts w:cs="Arial"/>
                <w:color w:val="000000" w:themeColor="text1"/>
                <w:sz w:val="18"/>
                <w:szCs w:val="18"/>
              </w:rPr>
            </w:pPr>
            <w:r w:rsidRPr="007231D5">
              <w:rPr>
                <w:rFonts w:cs="Arial"/>
                <w:color w:val="000000" w:themeColor="text1"/>
                <w:sz w:val="18"/>
                <w:szCs w:val="18"/>
              </w:rPr>
              <w:t>Use/Requirement Category</w:t>
            </w:r>
          </w:p>
        </w:tc>
        <w:tc>
          <w:tcPr>
            <w:tcW w:w="1170" w:type="dxa"/>
            <w:shd w:val="clear" w:color="auto" w:fill="FBCE76" w:themeFill="background2" w:themeFillTint="99"/>
            <w:tcMar>
              <w:bottom w:w="43" w:type="dxa"/>
            </w:tcMar>
          </w:tcPr>
          <w:p w:rsidR="004001CC" w:rsidRPr="007231D5" w:rsidRDefault="004001CC" w:rsidP="000B0100">
            <w:pPr>
              <w:pStyle w:val="TablefontHeading"/>
              <w:spacing w:before="0" w:after="0"/>
              <w:cnfStyle w:val="100000000000"/>
              <w:rPr>
                <w:rFonts w:cs="Arial"/>
                <w:color w:val="000000" w:themeColor="text1"/>
                <w:sz w:val="18"/>
                <w:szCs w:val="18"/>
              </w:rPr>
            </w:pPr>
            <w:r w:rsidRPr="007231D5">
              <w:rPr>
                <w:rFonts w:cs="Arial"/>
                <w:color w:val="000000" w:themeColor="text1"/>
                <w:sz w:val="18"/>
                <w:szCs w:val="18"/>
              </w:rPr>
              <w:t>2010</w:t>
            </w:r>
          </w:p>
        </w:tc>
        <w:tc>
          <w:tcPr>
            <w:tcW w:w="1170" w:type="dxa"/>
            <w:shd w:val="clear" w:color="auto" w:fill="FBCE76" w:themeFill="background2" w:themeFillTint="99"/>
            <w:tcMar>
              <w:bottom w:w="43" w:type="dxa"/>
            </w:tcMar>
          </w:tcPr>
          <w:p w:rsidR="004001CC" w:rsidRPr="007231D5" w:rsidRDefault="004001CC" w:rsidP="000B0100">
            <w:pPr>
              <w:pStyle w:val="TablefontHeading"/>
              <w:spacing w:before="0" w:after="0"/>
              <w:cnfStyle w:val="100000000000"/>
              <w:rPr>
                <w:rFonts w:cs="Arial"/>
                <w:color w:val="000000" w:themeColor="text1"/>
                <w:sz w:val="18"/>
                <w:szCs w:val="18"/>
              </w:rPr>
            </w:pPr>
            <w:r w:rsidRPr="007231D5">
              <w:rPr>
                <w:rFonts w:cs="Arial"/>
                <w:color w:val="000000" w:themeColor="text1"/>
                <w:sz w:val="18"/>
                <w:szCs w:val="18"/>
              </w:rPr>
              <w:t>2013</w:t>
            </w:r>
          </w:p>
        </w:tc>
        <w:tc>
          <w:tcPr>
            <w:tcW w:w="1170" w:type="dxa"/>
            <w:shd w:val="clear" w:color="auto" w:fill="FBCE76" w:themeFill="background2" w:themeFillTint="99"/>
            <w:tcMar>
              <w:bottom w:w="43" w:type="dxa"/>
            </w:tcMar>
          </w:tcPr>
          <w:p w:rsidR="004001CC" w:rsidRPr="007231D5" w:rsidRDefault="004001CC" w:rsidP="000B0100">
            <w:pPr>
              <w:pStyle w:val="TablefontHeading"/>
              <w:spacing w:before="0" w:after="0"/>
              <w:cnfStyle w:val="100000000000"/>
              <w:rPr>
                <w:rFonts w:cs="Arial"/>
                <w:color w:val="000000" w:themeColor="text1"/>
                <w:sz w:val="18"/>
                <w:szCs w:val="18"/>
              </w:rPr>
            </w:pPr>
            <w:r w:rsidRPr="007231D5">
              <w:rPr>
                <w:rFonts w:cs="Arial"/>
                <w:color w:val="000000" w:themeColor="text1"/>
                <w:sz w:val="18"/>
                <w:szCs w:val="18"/>
              </w:rPr>
              <w:t>2017</w:t>
            </w:r>
          </w:p>
        </w:tc>
        <w:tc>
          <w:tcPr>
            <w:tcW w:w="1052" w:type="dxa"/>
            <w:shd w:val="clear" w:color="auto" w:fill="FBCE76" w:themeFill="background2" w:themeFillTint="99"/>
            <w:tcMar>
              <w:bottom w:w="43" w:type="dxa"/>
            </w:tcMar>
          </w:tcPr>
          <w:p w:rsidR="004001CC" w:rsidRPr="007231D5" w:rsidRDefault="004001CC" w:rsidP="000B0100">
            <w:pPr>
              <w:pStyle w:val="TablefontHeading"/>
              <w:spacing w:before="0" w:after="0"/>
              <w:cnfStyle w:val="100000000000"/>
              <w:rPr>
                <w:rFonts w:cs="Arial"/>
                <w:color w:val="000000" w:themeColor="text1"/>
                <w:sz w:val="18"/>
                <w:szCs w:val="18"/>
              </w:rPr>
            </w:pPr>
            <w:r w:rsidRPr="007231D5">
              <w:rPr>
                <w:rFonts w:cs="Arial"/>
                <w:color w:val="000000" w:themeColor="text1"/>
                <w:sz w:val="18"/>
                <w:szCs w:val="18"/>
              </w:rPr>
              <w:t>2020</w:t>
            </w:r>
          </w:p>
        </w:tc>
      </w:tr>
      <w:tr w:rsidR="004001CC" w:rsidRPr="007231D5" w:rsidTr="000B0100">
        <w:trPr>
          <w:cnfStyle w:val="000000100000"/>
          <w:trHeight w:val="456"/>
        </w:trPr>
        <w:tc>
          <w:tcPr>
            <w:cnfStyle w:val="001000000000"/>
            <w:tcW w:w="782" w:type="dxa"/>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1</w:t>
            </w:r>
          </w:p>
        </w:tc>
        <w:tc>
          <w:tcPr>
            <w:tcW w:w="3960" w:type="dxa"/>
            <w:tcMar>
              <w:bottom w:w="43" w:type="dxa"/>
            </w:tcMar>
          </w:tcPr>
          <w:p w:rsidR="004001CC" w:rsidRPr="007231D5" w:rsidRDefault="004001CC" w:rsidP="000B0100">
            <w:pPr>
              <w:keepNext/>
              <w:keepLines/>
              <w:spacing w:after="0" w:line="240" w:lineRule="auto"/>
              <w:cnfStyle w:val="000000100000"/>
              <w:rPr>
                <w:rFonts w:ascii="Arial" w:hAnsi="Arial" w:cs="Arial"/>
                <w:sz w:val="18"/>
                <w:szCs w:val="18"/>
              </w:rPr>
            </w:pPr>
            <w:r w:rsidRPr="007231D5">
              <w:rPr>
                <w:rFonts w:ascii="Arial" w:hAnsi="Arial" w:cs="Arial"/>
                <w:sz w:val="18"/>
                <w:szCs w:val="18"/>
              </w:rPr>
              <w:t>2010 ISO electric energy use forecast</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131,305</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134,650</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139,810</w:t>
            </w:r>
          </w:p>
        </w:tc>
        <w:tc>
          <w:tcPr>
            <w:tcW w:w="1052"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143,868</w:t>
            </w:r>
          </w:p>
        </w:tc>
      </w:tr>
      <w:tr w:rsidR="004001CC" w:rsidRPr="007231D5" w:rsidTr="000B0100">
        <w:trPr>
          <w:cnfStyle w:val="000000010000"/>
          <w:trHeight w:val="432"/>
        </w:trPr>
        <w:tc>
          <w:tcPr>
            <w:cnfStyle w:val="001000000000"/>
            <w:tcW w:w="782" w:type="dxa"/>
            <w:shd w:val="clear" w:color="auto" w:fill="FDEED1" w:themeFill="background2" w:themeFillTint="33"/>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2</w:t>
            </w:r>
          </w:p>
        </w:tc>
        <w:tc>
          <w:tcPr>
            <w:tcW w:w="3960" w:type="dxa"/>
            <w:shd w:val="clear" w:color="auto" w:fill="FDEED1" w:themeFill="background2" w:themeFillTint="33"/>
            <w:tcMar>
              <w:bottom w:w="43" w:type="dxa"/>
            </w:tcMar>
          </w:tcPr>
          <w:p w:rsidR="004001CC" w:rsidRPr="007231D5" w:rsidRDefault="004001CC" w:rsidP="000B0100">
            <w:pPr>
              <w:keepNext/>
              <w:keepLines/>
              <w:spacing w:after="0" w:line="240" w:lineRule="auto"/>
              <w:cnfStyle w:val="000000010000"/>
              <w:rPr>
                <w:rFonts w:ascii="Arial" w:hAnsi="Arial" w:cs="Arial"/>
                <w:sz w:val="18"/>
                <w:szCs w:val="18"/>
              </w:rPr>
            </w:pPr>
            <w:r w:rsidRPr="007231D5">
              <w:rPr>
                <w:rFonts w:ascii="Arial" w:hAnsi="Arial" w:cs="Arial"/>
                <w:sz w:val="18"/>
                <w:szCs w:val="18"/>
              </w:rPr>
              <w:t>Existing—RPS targets</w:t>
            </w:r>
            <w:r w:rsidRPr="007231D5">
              <w:rPr>
                <w:rFonts w:ascii="Arial" w:hAnsi="Arial" w:cs="Arial"/>
                <w:sz w:val="18"/>
                <w:szCs w:val="18"/>
              </w:rPr>
              <w:br/>
              <w:t>for existing renewables</w:t>
            </w:r>
            <w:r w:rsidRPr="007231D5">
              <w:rPr>
                <w:rFonts w:ascii="Arial" w:hAnsi="Arial" w:cs="Arial"/>
                <w:sz w:val="18"/>
                <w:szCs w:val="18"/>
                <w:vertAlign w:val="superscript"/>
              </w:rPr>
              <w:t>(a)</w:t>
            </w:r>
          </w:p>
        </w:tc>
        <w:tc>
          <w:tcPr>
            <w:tcW w:w="1170" w:type="dxa"/>
            <w:shd w:val="clear" w:color="auto" w:fill="FDEED1" w:themeFill="background2" w:themeFillTint="33"/>
            <w:tcMar>
              <w:bottom w:w="43" w:type="dxa"/>
            </w:tcMar>
          </w:tcPr>
          <w:p w:rsidR="00FB7A9D"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8,</w:t>
            </w:r>
            <w:r w:rsidR="000A4845">
              <w:rPr>
                <w:rFonts w:ascii="Arial" w:hAnsi="Arial" w:cs="Arial"/>
                <w:sz w:val="18"/>
                <w:szCs w:val="18"/>
              </w:rPr>
              <w:t>980</w:t>
            </w:r>
          </w:p>
        </w:tc>
        <w:tc>
          <w:tcPr>
            <w:tcW w:w="1170" w:type="dxa"/>
            <w:shd w:val="clear" w:color="auto" w:fill="FDEED1" w:themeFill="background2" w:themeFillTint="33"/>
            <w:tcMar>
              <w:bottom w:w="43" w:type="dxa"/>
            </w:tcMar>
          </w:tcPr>
          <w:p w:rsidR="00FB7A9D" w:rsidRDefault="000A4845" w:rsidP="000B0100">
            <w:pPr>
              <w:keepNext/>
              <w:keepLines/>
              <w:spacing w:after="0" w:line="240" w:lineRule="auto"/>
              <w:jc w:val="right"/>
              <w:cnfStyle w:val="000000010000"/>
              <w:rPr>
                <w:rFonts w:ascii="Arial" w:hAnsi="Arial" w:cs="Arial"/>
                <w:sz w:val="18"/>
                <w:szCs w:val="18"/>
              </w:rPr>
            </w:pPr>
            <w:r>
              <w:rPr>
                <w:rFonts w:ascii="Arial" w:hAnsi="Arial" w:cs="Arial"/>
                <w:sz w:val="18"/>
                <w:szCs w:val="18"/>
              </w:rPr>
              <w:t>9,132</w:t>
            </w:r>
          </w:p>
        </w:tc>
        <w:tc>
          <w:tcPr>
            <w:tcW w:w="1170" w:type="dxa"/>
            <w:shd w:val="clear" w:color="auto" w:fill="FDEED1" w:themeFill="background2" w:themeFillTint="33"/>
            <w:tcMar>
              <w:bottom w:w="43" w:type="dxa"/>
            </w:tcMar>
          </w:tcPr>
          <w:p w:rsidR="00FB7A9D" w:rsidRDefault="000A4845" w:rsidP="000B0100">
            <w:pPr>
              <w:keepNext/>
              <w:keepLines/>
              <w:spacing w:after="0" w:line="240" w:lineRule="auto"/>
              <w:jc w:val="right"/>
              <w:cnfStyle w:val="000000010000"/>
              <w:rPr>
                <w:rFonts w:ascii="Arial" w:hAnsi="Arial" w:cs="Arial"/>
                <w:sz w:val="18"/>
                <w:szCs w:val="18"/>
              </w:rPr>
            </w:pPr>
            <w:r>
              <w:rPr>
                <w:rFonts w:ascii="Arial" w:hAnsi="Arial" w:cs="Arial"/>
                <w:sz w:val="18"/>
                <w:szCs w:val="18"/>
              </w:rPr>
              <w:t>9,167</w:t>
            </w:r>
          </w:p>
        </w:tc>
        <w:tc>
          <w:tcPr>
            <w:tcW w:w="1052" w:type="dxa"/>
            <w:shd w:val="clear" w:color="auto" w:fill="FDEED1" w:themeFill="background2" w:themeFillTint="33"/>
            <w:tcMar>
              <w:bottom w:w="43" w:type="dxa"/>
            </w:tcMar>
          </w:tcPr>
          <w:p w:rsidR="00FB7A9D" w:rsidRDefault="000A4845" w:rsidP="000B0100">
            <w:pPr>
              <w:keepNext/>
              <w:keepLines/>
              <w:spacing w:after="0" w:line="240" w:lineRule="auto"/>
              <w:jc w:val="right"/>
              <w:cnfStyle w:val="000000010000"/>
              <w:rPr>
                <w:rFonts w:ascii="Arial" w:hAnsi="Arial" w:cs="Arial"/>
                <w:sz w:val="18"/>
                <w:szCs w:val="18"/>
              </w:rPr>
            </w:pPr>
            <w:r>
              <w:rPr>
                <w:rFonts w:ascii="Arial" w:hAnsi="Arial" w:cs="Arial"/>
                <w:sz w:val="18"/>
                <w:szCs w:val="18"/>
              </w:rPr>
              <w:t>9,157</w:t>
            </w:r>
          </w:p>
        </w:tc>
      </w:tr>
      <w:tr w:rsidR="004001CC" w:rsidRPr="007231D5" w:rsidTr="000B0100">
        <w:trPr>
          <w:cnfStyle w:val="000000100000"/>
          <w:trHeight w:val="432"/>
        </w:trPr>
        <w:tc>
          <w:tcPr>
            <w:cnfStyle w:val="001000000000"/>
            <w:tcW w:w="782" w:type="dxa"/>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3</w:t>
            </w:r>
          </w:p>
        </w:tc>
        <w:tc>
          <w:tcPr>
            <w:tcW w:w="3960" w:type="dxa"/>
            <w:tcMar>
              <w:bottom w:w="43" w:type="dxa"/>
            </w:tcMar>
          </w:tcPr>
          <w:p w:rsidR="004001CC" w:rsidRPr="007231D5" w:rsidRDefault="004001CC" w:rsidP="000B0100">
            <w:pPr>
              <w:keepNext/>
              <w:keepLines/>
              <w:spacing w:after="0" w:line="240" w:lineRule="auto"/>
              <w:cnfStyle w:val="000000100000"/>
              <w:rPr>
                <w:rFonts w:ascii="Arial" w:hAnsi="Arial" w:cs="Arial"/>
                <w:sz w:val="18"/>
                <w:szCs w:val="18"/>
              </w:rPr>
            </w:pPr>
            <w:r w:rsidRPr="007231D5">
              <w:rPr>
                <w:rFonts w:ascii="Arial" w:hAnsi="Arial" w:cs="Arial"/>
                <w:sz w:val="18"/>
                <w:szCs w:val="18"/>
              </w:rPr>
              <w:t>New—RPS targets for</w:t>
            </w:r>
            <w:r w:rsidRPr="007231D5">
              <w:rPr>
                <w:rFonts w:ascii="Arial" w:hAnsi="Arial" w:cs="Arial"/>
                <w:sz w:val="18"/>
                <w:szCs w:val="18"/>
              </w:rPr>
              <w:br/>
              <w:t>new renewables</w:t>
            </w:r>
            <w:r w:rsidRPr="007231D5">
              <w:rPr>
                <w:rFonts w:ascii="Arial" w:hAnsi="Arial" w:cs="Arial"/>
                <w:sz w:val="18"/>
                <w:szCs w:val="18"/>
                <w:vertAlign w:val="superscript"/>
              </w:rPr>
              <w:t>(b)</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5,231</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8,584</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13,662</w:t>
            </w:r>
          </w:p>
        </w:tc>
        <w:tc>
          <w:tcPr>
            <w:tcW w:w="1052"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17,136</w:t>
            </w:r>
          </w:p>
        </w:tc>
      </w:tr>
      <w:tr w:rsidR="004001CC" w:rsidRPr="007231D5" w:rsidTr="000B0100">
        <w:trPr>
          <w:cnfStyle w:val="000000010000"/>
          <w:trHeight w:val="432"/>
        </w:trPr>
        <w:tc>
          <w:tcPr>
            <w:cnfStyle w:val="001000000000"/>
            <w:tcW w:w="782" w:type="dxa"/>
            <w:shd w:val="clear" w:color="auto" w:fill="FDEED1" w:themeFill="background2" w:themeFillTint="33"/>
            <w:tcMar>
              <w:bottom w:w="43" w:type="dxa"/>
            </w:tcMar>
          </w:tcPr>
          <w:p w:rsidR="004001CC" w:rsidRPr="0059704A" w:rsidRDefault="004001CC" w:rsidP="000B0100">
            <w:pPr>
              <w:keepNext/>
              <w:keepLines/>
              <w:spacing w:after="0" w:line="240" w:lineRule="auto"/>
              <w:rPr>
                <w:rFonts w:ascii="Arial" w:hAnsi="Arial" w:cs="Arial"/>
                <w:sz w:val="18"/>
                <w:szCs w:val="18"/>
              </w:rPr>
            </w:pPr>
            <w:r w:rsidRPr="0059704A">
              <w:rPr>
                <w:rFonts w:ascii="Arial" w:hAnsi="Arial" w:cs="Arial"/>
                <w:sz w:val="18"/>
                <w:szCs w:val="18"/>
              </w:rPr>
              <w:t>4</w:t>
            </w:r>
          </w:p>
        </w:tc>
        <w:tc>
          <w:tcPr>
            <w:tcW w:w="3960" w:type="dxa"/>
            <w:shd w:val="clear" w:color="auto" w:fill="FDEED1" w:themeFill="background2" w:themeFillTint="33"/>
            <w:tcMar>
              <w:bottom w:w="43" w:type="dxa"/>
            </w:tcMar>
          </w:tcPr>
          <w:p w:rsidR="004001CC" w:rsidRPr="0059704A" w:rsidRDefault="003174D8" w:rsidP="000B0100">
            <w:pPr>
              <w:keepNext/>
              <w:keepLines/>
              <w:spacing w:after="0" w:line="240" w:lineRule="auto"/>
              <w:cnfStyle w:val="000000010000"/>
              <w:rPr>
                <w:rFonts w:ascii="Arial" w:hAnsi="Arial" w:cs="Arial"/>
                <w:sz w:val="18"/>
                <w:szCs w:val="18"/>
              </w:rPr>
            </w:pPr>
            <w:r w:rsidRPr="003174D8">
              <w:rPr>
                <w:rFonts w:ascii="Arial" w:hAnsi="Arial" w:cs="Arial"/>
                <w:sz w:val="18"/>
                <w:szCs w:val="18"/>
              </w:rPr>
              <w:t>Vermont goals</w:t>
            </w:r>
            <w:r w:rsidR="00382018" w:rsidRPr="00382018">
              <w:rPr>
                <w:rFonts w:ascii="Arial" w:hAnsi="Arial" w:cs="Arial"/>
                <w:sz w:val="18"/>
                <w:szCs w:val="18"/>
                <w:vertAlign w:val="superscript"/>
              </w:rPr>
              <w:t>(c)</w:t>
            </w:r>
          </w:p>
        </w:tc>
        <w:tc>
          <w:tcPr>
            <w:tcW w:w="1170" w:type="dxa"/>
            <w:shd w:val="clear" w:color="auto" w:fill="FDEED1" w:themeFill="background2" w:themeFillTint="33"/>
            <w:tcMar>
              <w:bottom w:w="43" w:type="dxa"/>
            </w:tcMar>
          </w:tcPr>
          <w:p w:rsidR="004001CC" w:rsidRPr="007231D5"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160</w:t>
            </w:r>
          </w:p>
        </w:tc>
        <w:tc>
          <w:tcPr>
            <w:tcW w:w="1170" w:type="dxa"/>
            <w:shd w:val="clear" w:color="auto" w:fill="FDEED1" w:themeFill="background2" w:themeFillTint="33"/>
            <w:tcMar>
              <w:bottom w:w="43" w:type="dxa"/>
            </w:tcMar>
          </w:tcPr>
          <w:p w:rsidR="004001CC" w:rsidRPr="007231D5"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695</w:t>
            </w:r>
          </w:p>
        </w:tc>
        <w:tc>
          <w:tcPr>
            <w:tcW w:w="1170" w:type="dxa"/>
            <w:shd w:val="clear" w:color="auto" w:fill="FDEED1" w:themeFill="background2" w:themeFillTint="33"/>
            <w:tcMar>
              <w:bottom w:w="43" w:type="dxa"/>
            </w:tcMar>
          </w:tcPr>
          <w:p w:rsidR="004001CC" w:rsidRPr="007231D5"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1,516</w:t>
            </w:r>
          </w:p>
        </w:tc>
        <w:tc>
          <w:tcPr>
            <w:tcW w:w="1052" w:type="dxa"/>
            <w:shd w:val="clear" w:color="auto" w:fill="FDEED1" w:themeFill="background2" w:themeFillTint="33"/>
            <w:tcMar>
              <w:bottom w:w="43" w:type="dxa"/>
            </w:tcMar>
          </w:tcPr>
          <w:p w:rsidR="004001CC" w:rsidRPr="007231D5"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1,662</w:t>
            </w:r>
          </w:p>
        </w:tc>
      </w:tr>
      <w:tr w:rsidR="004001CC" w:rsidRPr="007231D5" w:rsidTr="000B0100">
        <w:trPr>
          <w:cnfStyle w:val="000000100000"/>
          <w:trHeight w:val="591"/>
        </w:trPr>
        <w:tc>
          <w:tcPr>
            <w:cnfStyle w:val="001000000000"/>
            <w:tcW w:w="782" w:type="dxa"/>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5</w:t>
            </w:r>
          </w:p>
        </w:tc>
        <w:tc>
          <w:tcPr>
            <w:tcW w:w="3960" w:type="dxa"/>
            <w:tcMar>
              <w:bottom w:w="43" w:type="dxa"/>
            </w:tcMar>
          </w:tcPr>
          <w:p w:rsidR="004001CC" w:rsidRPr="007231D5" w:rsidRDefault="004001CC" w:rsidP="000B0100">
            <w:pPr>
              <w:keepNext/>
              <w:keepLines/>
              <w:spacing w:after="0" w:line="240" w:lineRule="auto"/>
              <w:cnfStyle w:val="000000100000"/>
              <w:rPr>
                <w:rFonts w:ascii="Arial" w:hAnsi="Arial" w:cs="Arial"/>
                <w:sz w:val="18"/>
                <w:szCs w:val="18"/>
              </w:rPr>
            </w:pPr>
            <w:r w:rsidRPr="007231D5">
              <w:rPr>
                <w:rFonts w:ascii="Arial" w:hAnsi="Arial" w:cs="Arial"/>
                <w:sz w:val="18"/>
                <w:szCs w:val="18"/>
              </w:rPr>
              <w:t>Energy efficiency—targets for</w:t>
            </w:r>
            <w:r w:rsidRPr="007231D5">
              <w:rPr>
                <w:rFonts w:ascii="Arial" w:hAnsi="Arial" w:cs="Arial"/>
                <w:sz w:val="18"/>
                <w:szCs w:val="18"/>
              </w:rPr>
              <w:br/>
              <w:t xml:space="preserve">new energy efficiency </w:t>
            </w:r>
            <w:r w:rsidRPr="00DF7B56">
              <w:rPr>
                <w:rFonts w:ascii="Arial" w:hAnsi="Arial" w:cs="Arial"/>
                <w:sz w:val="18"/>
                <w:szCs w:val="18"/>
              </w:rPr>
              <w:t>an</w:t>
            </w:r>
            <w:smartTag w:uri="urn:schemas-microsoft-com:office:smarttags" w:element="stockticker">
              <w:r w:rsidRPr="00DF7B56">
                <w:rPr>
                  <w:rFonts w:ascii="Arial" w:hAnsi="Arial" w:cs="Arial"/>
                  <w:sz w:val="18"/>
                  <w:szCs w:val="18"/>
                </w:rPr>
                <w:t xml:space="preserve">d </w:t>
              </w:r>
              <w:smartTag w:uri="urn:schemas-microsoft-com:office:smarttags" w:element="stockticker">
                <w:r w:rsidR="004116BF" w:rsidRPr="00DF7B56">
                  <w:rPr>
                    <w:rFonts w:ascii="Arial" w:hAnsi="Arial" w:cs="Arial"/>
                    <w:sz w:val="18"/>
                    <w:szCs w:val="18"/>
                  </w:rPr>
                  <w:t>C</w:t>
                </w:r>
              </w:smartTag>
            </w:smartTag>
            <w:r w:rsidR="004116BF" w:rsidRPr="00DF7B56">
              <w:rPr>
                <w:rFonts w:ascii="Arial" w:hAnsi="Arial" w:cs="Arial"/>
                <w:sz w:val="18"/>
                <w:szCs w:val="18"/>
              </w:rPr>
              <w:t>HP</w:t>
            </w:r>
            <w:r w:rsidR="004116BF" w:rsidRPr="00DF7B56">
              <w:rPr>
                <w:rFonts w:ascii="Arial" w:hAnsi="Arial" w:cs="Arial"/>
                <w:sz w:val="18"/>
                <w:szCs w:val="18"/>
                <w:vertAlign w:val="superscript"/>
              </w:rPr>
              <w:t>(d)</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3,316</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6,617</w:t>
            </w:r>
          </w:p>
        </w:tc>
        <w:tc>
          <w:tcPr>
            <w:tcW w:w="1170"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11,369</w:t>
            </w:r>
          </w:p>
        </w:tc>
        <w:tc>
          <w:tcPr>
            <w:tcW w:w="1052" w:type="dxa"/>
            <w:tcMar>
              <w:bottom w:w="43" w:type="dxa"/>
            </w:tcMar>
          </w:tcPr>
          <w:p w:rsidR="004001CC" w:rsidRPr="007231D5"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15,770</w:t>
            </w:r>
          </w:p>
        </w:tc>
      </w:tr>
      <w:tr w:rsidR="004001CC" w:rsidRPr="007231D5" w:rsidTr="000B0100">
        <w:trPr>
          <w:cnfStyle w:val="000000010000"/>
          <w:trHeight w:val="432"/>
        </w:trPr>
        <w:tc>
          <w:tcPr>
            <w:cnfStyle w:val="001000000000"/>
            <w:tcW w:w="782" w:type="dxa"/>
            <w:shd w:val="clear" w:color="auto" w:fill="FBCE76" w:themeFill="background2" w:themeFillTint="99"/>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6</w:t>
            </w:r>
          </w:p>
        </w:tc>
        <w:tc>
          <w:tcPr>
            <w:tcW w:w="3960" w:type="dxa"/>
            <w:shd w:val="clear" w:color="auto" w:fill="FBCE76" w:themeFill="background2" w:themeFillTint="99"/>
            <w:tcMar>
              <w:bottom w:w="43" w:type="dxa"/>
            </w:tcMar>
          </w:tcPr>
          <w:p w:rsidR="004001CC" w:rsidRPr="007231D5" w:rsidRDefault="004001CC" w:rsidP="000B0100">
            <w:pPr>
              <w:keepNext/>
              <w:keepLines/>
              <w:spacing w:after="0" w:line="240" w:lineRule="auto"/>
              <w:cnfStyle w:val="000000010000"/>
              <w:rPr>
                <w:rFonts w:ascii="Arial" w:hAnsi="Arial" w:cs="Arial"/>
                <w:sz w:val="18"/>
                <w:szCs w:val="18"/>
              </w:rPr>
            </w:pPr>
            <w:r w:rsidRPr="007231D5">
              <w:rPr>
                <w:rFonts w:ascii="Arial" w:hAnsi="Arial" w:cs="Arial"/>
                <w:sz w:val="18"/>
                <w:szCs w:val="18"/>
              </w:rPr>
              <w:t>Total RPS targets for renewables</w:t>
            </w:r>
            <w:r w:rsidRPr="007231D5">
              <w:rPr>
                <w:rFonts w:ascii="Arial" w:hAnsi="Arial" w:cs="Arial"/>
                <w:sz w:val="18"/>
                <w:szCs w:val="18"/>
              </w:rPr>
              <w:br/>
              <w:t>and energy efficiency</w:t>
            </w:r>
          </w:p>
        </w:tc>
        <w:tc>
          <w:tcPr>
            <w:tcW w:w="1170" w:type="dxa"/>
            <w:shd w:val="clear" w:color="auto" w:fill="FBCE76" w:themeFill="background2" w:themeFillTint="99"/>
            <w:tcMar>
              <w:bottom w:w="43" w:type="dxa"/>
            </w:tcMar>
          </w:tcPr>
          <w:p w:rsidR="00FB7A9D" w:rsidRDefault="000A4845" w:rsidP="000B0100">
            <w:pPr>
              <w:keepNext/>
              <w:keepLines/>
              <w:spacing w:after="0" w:line="240" w:lineRule="auto"/>
              <w:jc w:val="right"/>
              <w:cnfStyle w:val="000000010000"/>
              <w:rPr>
                <w:rFonts w:ascii="Arial" w:hAnsi="Arial" w:cs="Arial"/>
                <w:sz w:val="18"/>
                <w:szCs w:val="18"/>
              </w:rPr>
            </w:pPr>
            <w:r>
              <w:rPr>
                <w:rFonts w:ascii="Arial" w:hAnsi="Arial" w:cs="Arial"/>
                <w:sz w:val="18"/>
                <w:szCs w:val="18"/>
              </w:rPr>
              <w:t>17</w:t>
            </w:r>
            <w:r w:rsidR="004001CC" w:rsidRPr="007231D5">
              <w:rPr>
                <w:rFonts w:ascii="Arial" w:hAnsi="Arial" w:cs="Arial"/>
                <w:sz w:val="18"/>
                <w:szCs w:val="18"/>
              </w:rPr>
              <w:t>,</w:t>
            </w:r>
            <w:r>
              <w:rPr>
                <w:rFonts w:ascii="Arial" w:hAnsi="Arial" w:cs="Arial"/>
                <w:sz w:val="18"/>
                <w:szCs w:val="18"/>
              </w:rPr>
              <w:t>68</w:t>
            </w:r>
            <w:r w:rsidR="004001CC" w:rsidRPr="007231D5">
              <w:rPr>
                <w:rFonts w:ascii="Arial" w:hAnsi="Arial" w:cs="Arial"/>
                <w:sz w:val="18"/>
                <w:szCs w:val="18"/>
              </w:rPr>
              <w:t>7</w:t>
            </w:r>
          </w:p>
        </w:tc>
        <w:tc>
          <w:tcPr>
            <w:tcW w:w="1170"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2</w:t>
            </w:r>
            <w:r w:rsidR="000A4845">
              <w:rPr>
                <w:rFonts w:ascii="Arial" w:hAnsi="Arial" w:cs="Arial"/>
                <w:sz w:val="18"/>
                <w:szCs w:val="18"/>
              </w:rPr>
              <w:t>5</w:t>
            </w:r>
            <w:r w:rsidRPr="007231D5">
              <w:rPr>
                <w:rFonts w:ascii="Arial" w:hAnsi="Arial" w:cs="Arial"/>
                <w:sz w:val="18"/>
                <w:szCs w:val="18"/>
              </w:rPr>
              <w:t>,0</w:t>
            </w:r>
            <w:r w:rsidR="000A4845">
              <w:rPr>
                <w:rFonts w:ascii="Arial" w:hAnsi="Arial" w:cs="Arial"/>
                <w:sz w:val="18"/>
                <w:szCs w:val="18"/>
              </w:rPr>
              <w:t>27</w:t>
            </w:r>
          </w:p>
        </w:tc>
        <w:tc>
          <w:tcPr>
            <w:tcW w:w="1170"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3</w:t>
            </w:r>
            <w:r w:rsidR="000A4845">
              <w:rPr>
                <w:rFonts w:ascii="Arial" w:hAnsi="Arial" w:cs="Arial"/>
                <w:sz w:val="18"/>
                <w:szCs w:val="18"/>
              </w:rPr>
              <w:t>5</w:t>
            </w:r>
            <w:r w:rsidRPr="007231D5">
              <w:rPr>
                <w:rFonts w:ascii="Arial" w:hAnsi="Arial" w:cs="Arial"/>
                <w:sz w:val="18"/>
                <w:szCs w:val="18"/>
              </w:rPr>
              <w:t>,7</w:t>
            </w:r>
            <w:r w:rsidR="000A4845">
              <w:rPr>
                <w:rFonts w:ascii="Arial" w:hAnsi="Arial" w:cs="Arial"/>
                <w:sz w:val="18"/>
                <w:szCs w:val="18"/>
              </w:rPr>
              <w:t>15</w:t>
            </w:r>
          </w:p>
        </w:tc>
        <w:tc>
          <w:tcPr>
            <w:tcW w:w="1052"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010000"/>
              <w:rPr>
                <w:rFonts w:ascii="Arial" w:hAnsi="Arial" w:cs="Arial"/>
                <w:sz w:val="18"/>
                <w:szCs w:val="18"/>
              </w:rPr>
            </w:pPr>
            <w:r w:rsidRPr="007231D5">
              <w:rPr>
                <w:rFonts w:ascii="Arial" w:hAnsi="Arial" w:cs="Arial"/>
                <w:sz w:val="18"/>
                <w:szCs w:val="18"/>
              </w:rPr>
              <w:t>4</w:t>
            </w:r>
            <w:r w:rsidR="000A4845">
              <w:rPr>
                <w:rFonts w:ascii="Arial" w:hAnsi="Arial" w:cs="Arial"/>
                <w:sz w:val="18"/>
                <w:szCs w:val="18"/>
              </w:rPr>
              <w:t>3</w:t>
            </w:r>
            <w:r w:rsidRPr="007231D5">
              <w:rPr>
                <w:rFonts w:ascii="Arial" w:hAnsi="Arial" w:cs="Arial"/>
                <w:sz w:val="18"/>
                <w:szCs w:val="18"/>
              </w:rPr>
              <w:t>,7</w:t>
            </w:r>
            <w:r w:rsidR="000A4845">
              <w:rPr>
                <w:rFonts w:ascii="Arial" w:hAnsi="Arial" w:cs="Arial"/>
                <w:sz w:val="18"/>
                <w:szCs w:val="18"/>
              </w:rPr>
              <w:t>24</w:t>
            </w:r>
          </w:p>
        </w:tc>
      </w:tr>
      <w:tr w:rsidR="004001CC" w:rsidRPr="007231D5" w:rsidTr="000B0100">
        <w:trPr>
          <w:cnfStyle w:val="000000100000"/>
          <w:trHeight w:val="432"/>
        </w:trPr>
        <w:tc>
          <w:tcPr>
            <w:cnfStyle w:val="001000000000"/>
            <w:tcW w:w="782" w:type="dxa"/>
            <w:shd w:val="clear" w:color="auto" w:fill="FBCE76" w:themeFill="background2" w:themeFillTint="99"/>
            <w:tcMar>
              <w:bottom w:w="43" w:type="dxa"/>
            </w:tcMar>
          </w:tcPr>
          <w:p w:rsidR="004001CC" w:rsidRPr="007231D5" w:rsidRDefault="004001CC" w:rsidP="000B0100">
            <w:pPr>
              <w:keepNext/>
              <w:keepLines/>
              <w:spacing w:after="0" w:line="240" w:lineRule="auto"/>
              <w:rPr>
                <w:rFonts w:ascii="Arial" w:hAnsi="Arial" w:cs="Arial"/>
                <w:sz w:val="18"/>
                <w:szCs w:val="18"/>
              </w:rPr>
            </w:pPr>
            <w:r w:rsidRPr="007231D5">
              <w:rPr>
                <w:rFonts w:ascii="Arial" w:hAnsi="Arial" w:cs="Arial"/>
                <w:sz w:val="18"/>
                <w:szCs w:val="18"/>
              </w:rPr>
              <w:t>7</w:t>
            </w:r>
          </w:p>
        </w:tc>
        <w:tc>
          <w:tcPr>
            <w:tcW w:w="3960" w:type="dxa"/>
            <w:shd w:val="clear" w:color="auto" w:fill="FBCE76" w:themeFill="background2" w:themeFillTint="99"/>
            <w:tcMar>
              <w:bottom w:w="43" w:type="dxa"/>
            </w:tcMar>
          </w:tcPr>
          <w:p w:rsidR="004001CC" w:rsidRPr="007231D5" w:rsidRDefault="004001CC" w:rsidP="000B0100">
            <w:pPr>
              <w:keepNext/>
              <w:keepLines/>
              <w:spacing w:after="0" w:line="240" w:lineRule="auto"/>
              <w:cnfStyle w:val="000000100000"/>
              <w:rPr>
                <w:rFonts w:ascii="Arial" w:hAnsi="Arial" w:cs="Arial"/>
                <w:sz w:val="18"/>
                <w:szCs w:val="18"/>
              </w:rPr>
            </w:pPr>
            <w:r w:rsidRPr="007231D5">
              <w:rPr>
                <w:rFonts w:ascii="Arial" w:hAnsi="Arial" w:cs="Arial"/>
                <w:sz w:val="18"/>
                <w:szCs w:val="18"/>
              </w:rPr>
              <w:t>Total RPS targets for renewables</w:t>
            </w:r>
            <w:r w:rsidRPr="007231D5">
              <w:rPr>
                <w:rFonts w:ascii="Arial" w:hAnsi="Arial" w:cs="Arial"/>
                <w:sz w:val="18"/>
                <w:szCs w:val="18"/>
              </w:rPr>
              <w:br/>
              <w:t>and energy efficiency as a percentage of New England’s projected electric energy use</w:t>
            </w:r>
            <w:r w:rsidRPr="007231D5">
              <w:rPr>
                <w:rFonts w:ascii="Arial" w:hAnsi="Arial" w:cs="Arial"/>
                <w:sz w:val="18"/>
                <w:szCs w:val="18"/>
                <w:vertAlign w:val="superscript"/>
              </w:rPr>
              <w:t>(e)</w:t>
            </w:r>
          </w:p>
        </w:tc>
        <w:tc>
          <w:tcPr>
            <w:tcW w:w="1170"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w:t>
            </w:r>
            <w:r w:rsidR="000A4845">
              <w:rPr>
                <w:rFonts w:ascii="Arial" w:hAnsi="Arial" w:cs="Arial"/>
                <w:sz w:val="18"/>
                <w:szCs w:val="18"/>
              </w:rPr>
              <w:t>3</w:t>
            </w:r>
            <w:r w:rsidRPr="007231D5">
              <w:rPr>
                <w:rFonts w:ascii="Arial" w:hAnsi="Arial" w:cs="Arial"/>
                <w:sz w:val="18"/>
                <w:szCs w:val="18"/>
              </w:rPr>
              <w:t>.</w:t>
            </w:r>
            <w:r w:rsidR="000A4845">
              <w:rPr>
                <w:rFonts w:ascii="Arial" w:hAnsi="Arial" w:cs="Arial"/>
                <w:sz w:val="18"/>
                <w:szCs w:val="18"/>
              </w:rPr>
              <w:t>5</w:t>
            </w:r>
            <w:r w:rsidRPr="007231D5">
              <w:rPr>
                <w:rFonts w:ascii="Arial" w:hAnsi="Arial" w:cs="Arial"/>
                <w:sz w:val="18"/>
                <w:szCs w:val="18"/>
              </w:rPr>
              <w:t>%</w:t>
            </w:r>
          </w:p>
        </w:tc>
        <w:tc>
          <w:tcPr>
            <w:tcW w:w="1170"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1</w:t>
            </w:r>
            <w:r w:rsidR="000A4845">
              <w:rPr>
                <w:rFonts w:ascii="Arial" w:hAnsi="Arial" w:cs="Arial"/>
                <w:sz w:val="18"/>
                <w:szCs w:val="18"/>
              </w:rPr>
              <w:t>8</w:t>
            </w:r>
            <w:r w:rsidRPr="007231D5">
              <w:rPr>
                <w:rFonts w:ascii="Arial" w:hAnsi="Arial" w:cs="Arial"/>
                <w:sz w:val="18"/>
                <w:szCs w:val="18"/>
              </w:rPr>
              <w:t>.</w:t>
            </w:r>
            <w:r w:rsidR="000A4845">
              <w:rPr>
                <w:rFonts w:ascii="Arial" w:hAnsi="Arial" w:cs="Arial"/>
                <w:sz w:val="18"/>
                <w:szCs w:val="18"/>
              </w:rPr>
              <w:t>6</w:t>
            </w:r>
            <w:r w:rsidRPr="007231D5">
              <w:rPr>
                <w:rFonts w:ascii="Arial" w:hAnsi="Arial" w:cs="Arial"/>
                <w:sz w:val="18"/>
                <w:szCs w:val="18"/>
              </w:rPr>
              <w:t>%</w:t>
            </w:r>
          </w:p>
        </w:tc>
        <w:tc>
          <w:tcPr>
            <w:tcW w:w="1170" w:type="dxa"/>
            <w:shd w:val="clear" w:color="auto" w:fill="FBCE76" w:themeFill="background2" w:themeFillTint="99"/>
            <w:tcMar>
              <w:bottom w:w="43" w:type="dxa"/>
            </w:tcMar>
          </w:tcPr>
          <w:p w:rsidR="00FB7A9D" w:rsidRDefault="004001CC" w:rsidP="000B0100">
            <w:pPr>
              <w:keepNext/>
              <w:keepLines/>
              <w:spacing w:after="0" w:line="240" w:lineRule="auto"/>
              <w:jc w:val="right"/>
              <w:cnfStyle w:val="000000100000"/>
              <w:rPr>
                <w:rFonts w:ascii="Arial" w:hAnsi="Arial" w:cs="Arial"/>
                <w:sz w:val="18"/>
                <w:szCs w:val="18"/>
              </w:rPr>
            </w:pPr>
            <w:r w:rsidRPr="007231D5">
              <w:rPr>
                <w:rFonts w:ascii="Arial" w:hAnsi="Arial" w:cs="Arial"/>
                <w:sz w:val="18"/>
                <w:szCs w:val="18"/>
              </w:rPr>
              <w:t>2</w:t>
            </w:r>
            <w:r w:rsidR="000A4845">
              <w:rPr>
                <w:rFonts w:ascii="Arial" w:hAnsi="Arial" w:cs="Arial"/>
                <w:sz w:val="18"/>
                <w:szCs w:val="18"/>
              </w:rPr>
              <w:t>5</w:t>
            </w:r>
            <w:r w:rsidRPr="007231D5">
              <w:rPr>
                <w:rFonts w:ascii="Arial" w:hAnsi="Arial" w:cs="Arial"/>
                <w:sz w:val="18"/>
                <w:szCs w:val="18"/>
              </w:rPr>
              <w:t>.</w:t>
            </w:r>
            <w:r w:rsidR="000A4845">
              <w:rPr>
                <w:rFonts w:ascii="Arial" w:hAnsi="Arial" w:cs="Arial"/>
                <w:sz w:val="18"/>
                <w:szCs w:val="18"/>
              </w:rPr>
              <w:t>5</w:t>
            </w:r>
            <w:r w:rsidRPr="007231D5">
              <w:rPr>
                <w:rFonts w:ascii="Arial" w:hAnsi="Arial" w:cs="Arial"/>
                <w:sz w:val="18"/>
                <w:szCs w:val="18"/>
              </w:rPr>
              <w:t>%</w:t>
            </w:r>
          </w:p>
        </w:tc>
        <w:tc>
          <w:tcPr>
            <w:tcW w:w="1052" w:type="dxa"/>
            <w:shd w:val="clear" w:color="auto" w:fill="FBCE76" w:themeFill="background2" w:themeFillTint="99"/>
            <w:tcMar>
              <w:bottom w:w="43" w:type="dxa"/>
            </w:tcMar>
          </w:tcPr>
          <w:p w:rsidR="00FB7A9D" w:rsidRDefault="000A4845" w:rsidP="000B0100">
            <w:pPr>
              <w:keepNext/>
              <w:keepLines/>
              <w:spacing w:after="0" w:line="240" w:lineRule="auto"/>
              <w:jc w:val="right"/>
              <w:cnfStyle w:val="000000100000"/>
              <w:rPr>
                <w:rFonts w:ascii="Arial" w:hAnsi="Arial" w:cs="Arial"/>
                <w:sz w:val="18"/>
                <w:szCs w:val="18"/>
              </w:rPr>
            </w:pPr>
            <w:r>
              <w:rPr>
                <w:rFonts w:ascii="Arial" w:hAnsi="Arial" w:cs="Arial"/>
                <w:sz w:val="18"/>
                <w:szCs w:val="18"/>
              </w:rPr>
              <w:t>30</w:t>
            </w:r>
            <w:r w:rsidR="004001CC" w:rsidRPr="007231D5">
              <w:rPr>
                <w:rFonts w:ascii="Arial" w:hAnsi="Arial" w:cs="Arial"/>
                <w:sz w:val="18"/>
                <w:szCs w:val="18"/>
              </w:rPr>
              <w:t>.</w:t>
            </w:r>
            <w:r>
              <w:rPr>
                <w:rFonts w:ascii="Arial" w:hAnsi="Arial" w:cs="Arial"/>
                <w:sz w:val="18"/>
                <w:szCs w:val="18"/>
              </w:rPr>
              <w:t>4</w:t>
            </w:r>
            <w:r w:rsidR="004001CC" w:rsidRPr="007231D5">
              <w:rPr>
                <w:rFonts w:ascii="Arial" w:hAnsi="Arial" w:cs="Arial"/>
                <w:sz w:val="18"/>
                <w:szCs w:val="18"/>
              </w:rPr>
              <w:t>%</w:t>
            </w:r>
          </w:p>
        </w:tc>
      </w:tr>
    </w:tbl>
    <w:p w:rsidR="004001CC" w:rsidRDefault="004001CC" w:rsidP="000B0100">
      <w:pPr>
        <w:pStyle w:val="TableNote"/>
        <w:keepLines/>
        <w:tabs>
          <w:tab w:val="left" w:pos="270"/>
          <w:tab w:val="left" w:pos="9360"/>
        </w:tabs>
        <w:spacing w:before="60"/>
        <w:ind w:left="274" w:hanging="274"/>
      </w:pPr>
      <w:r w:rsidRPr="00B7774B">
        <w:t>(a)</w:t>
      </w:r>
      <w:r w:rsidRPr="00B7774B">
        <w:tab/>
        <w:t xml:space="preserve">This category includes </w:t>
      </w:r>
      <w:r w:rsidR="000A4845">
        <w:t xml:space="preserve">CT Class II, </w:t>
      </w:r>
      <w:r>
        <w:t xml:space="preserve">new MA Class II, </w:t>
      </w:r>
      <w:r w:rsidRPr="00B7774B">
        <w:t>ME Class II, RI Existing, and NH Classe</w:t>
      </w:r>
      <w:smartTag w:uri="urn:schemas-microsoft-com:office:smarttags" w:element="stockticker">
        <w:r w:rsidRPr="00B7774B">
          <w:t xml:space="preserve">s </w:t>
        </w:r>
        <w:smartTag w:uri="urn:schemas-microsoft-com:office:smarttags" w:element="stockticker">
          <w:r w:rsidRPr="00B7774B">
            <w:t>I</w:t>
          </w:r>
        </w:smartTag>
      </w:smartTag>
      <w:r w:rsidRPr="00B7774B">
        <w:t>II and IV. Th</w:t>
      </w:r>
      <w:r>
        <w:t>is</w:t>
      </w:r>
      <w:r w:rsidRPr="00B7774B">
        <w:t xml:space="preserve"> </w:t>
      </w:r>
      <w:r>
        <w:t xml:space="preserve">RPS category </w:t>
      </w:r>
      <w:r w:rsidRPr="00B7774B">
        <w:t>grow</w:t>
      </w:r>
      <w:r>
        <w:t>s</w:t>
      </w:r>
      <w:r w:rsidRPr="00B7774B">
        <w:t xml:space="preserve"> through time as a result of the growth in </w:t>
      </w:r>
      <w:r w:rsidRPr="00D93D8A">
        <w:t>electricity demand. NH’s</w:t>
      </w:r>
      <w:r w:rsidRPr="00B7774B">
        <w:t xml:space="preserve"> classes also include some growth in the use of renewable resources to meet the </w:t>
      </w:r>
      <w:r>
        <w:t xml:space="preserve">RPS </w:t>
      </w:r>
      <w:r w:rsidRPr="00B7774B">
        <w:t>percentage of electric energy use.</w:t>
      </w:r>
    </w:p>
    <w:p w:rsidR="004001CC" w:rsidRDefault="004001CC" w:rsidP="002254F0">
      <w:pPr>
        <w:pStyle w:val="TableNote"/>
        <w:keepLines/>
        <w:tabs>
          <w:tab w:val="left" w:pos="270"/>
          <w:tab w:val="left" w:pos="9360"/>
        </w:tabs>
        <w:ind w:left="270" w:hanging="270"/>
      </w:pPr>
      <w:r w:rsidRPr="00BD4F74">
        <w:t>(b)</w:t>
      </w:r>
      <w:r>
        <w:tab/>
        <w:t>This category i</w:t>
      </w:r>
      <w:r w:rsidRPr="00BD4F74">
        <w:t>ncludes CT Class I,</w:t>
      </w:r>
      <w:r>
        <w:t xml:space="preserve"> ME </w:t>
      </w:r>
      <w:r w:rsidRPr="00B7774B">
        <w:t>Class I, MA</w:t>
      </w:r>
      <w:r>
        <w:t xml:space="preserve"> Class I</w:t>
      </w:r>
      <w:r w:rsidRPr="00B7774B">
        <w:t>, RI’s “new</w:t>
      </w:r>
      <w:r w:rsidRPr="00BD4F74">
        <w:t xml:space="preserve">” category, and NH Classes I and </w:t>
      </w:r>
      <w:r w:rsidRPr="00EC11DC">
        <w:t>II.</w:t>
      </w:r>
    </w:p>
    <w:p w:rsidR="004001CC" w:rsidRPr="00BD4F74" w:rsidRDefault="004001CC" w:rsidP="002254F0">
      <w:pPr>
        <w:pStyle w:val="TableNote"/>
        <w:keepLines/>
        <w:tabs>
          <w:tab w:val="left" w:pos="270"/>
          <w:tab w:val="left" w:pos="9360"/>
        </w:tabs>
        <w:ind w:left="270" w:hanging="270"/>
      </w:pPr>
      <w:r w:rsidRPr="00BD4F74">
        <w:t>(c)</w:t>
      </w:r>
      <w:r>
        <w:tab/>
      </w:r>
      <w:r w:rsidR="00492AC1">
        <w:t>I</w:t>
      </w:r>
      <w:r w:rsidR="00492AC1" w:rsidRPr="00382018">
        <w:t>t has been assumed that Vermont’s SPEED program will be renewed beyond 2012</w:t>
      </w:r>
      <w:r w:rsidR="00492AC1">
        <w:t xml:space="preserve">. </w:t>
      </w:r>
      <w:r>
        <w:t>Th</w:t>
      </w:r>
      <w:r w:rsidR="00183C5E">
        <w:t>us, th</w:t>
      </w:r>
      <w:r>
        <w:t>is category i</w:t>
      </w:r>
      <w:r w:rsidRPr="00BD4F74">
        <w:t xml:space="preserve">ncludes VT’s </w:t>
      </w:r>
      <w:r>
        <w:t xml:space="preserve">goal </w:t>
      </w:r>
      <w:r w:rsidR="0086235B">
        <w:t>for</w:t>
      </w:r>
      <w:r>
        <w:t xml:space="preserve"> renewable resources </w:t>
      </w:r>
      <w:r w:rsidR="0086235B">
        <w:t xml:space="preserve">to </w:t>
      </w:r>
      <w:r>
        <w:t>meet 2</w:t>
      </w:r>
      <w:r w:rsidR="0025434B">
        <w:t>0</w:t>
      </w:r>
      <w:r>
        <w:t>% of the demand for electric energy by 20</w:t>
      </w:r>
      <w:r w:rsidR="0025434B">
        <w:t xml:space="preserve">17 and assumed </w:t>
      </w:r>
      <w:r w:rsidR="0086235B">
        <w:t xml:space="preserve">will </w:t>
      </w:r>
      <w:r w:rsidR="00183C5E">
        <w:t xml:space="preserve">meet </w:t>
      </w:r>
      <w:r w:rsidR="0025434B">
        <w:t>20% for 2020</w:t>
      </w:r>
      <w:r w:rsidR="009747D3">
        <w:t>. Incremental increases up to 2017 were assumed for meeting this renewable goal</w:t>
      </w:r>
      <w:r>
        <w:t>.</w:t>
      </w:r>
      <w:r w:rsidR="00382018">
        <w:t xml:space="preserve"> </w:t>
      </w:r>
    </w:p>
    <w:p w:rsidR="004001CC" w:rsidRDefault="004001CC" w:rsidP="002254F0">
      <w:pPr>
        <w:pStyle w:val="TableNote"/>
        <w:keepLines/>
        <w:tabs>
          <w:tab w:val="left" w:pos="270"/>
          <w:tab w:val="left" w:pos="6864"/>
          <w:tab w:val="left" w:pos="9360"/>
        </w:tabs>
        <w:ind w:left="270" w:hanging="270"/>
      </w:pPr>
      <w:r w:rsidRPr="00BD4F74">
        <w:t>(</w:t>
      </w:r>
      <w:r w:rsidRPr="00A12B63">
        <w:t>d)</w:t>
      </w:r>
      <w:r>
        <w:tab/>
      </w:r>
      <w:r w:rsidRPr="00A12B63">
        <w:t xml:space="preserve">This </w:t>
      </w:r>
      <w:r>
        <w:t xml:space="preserve">incorporates only </w:t>
      </w:r>
      <w:r w:rsidRPr="00A12B63">
        <w:t>CT Clas</w:t>
      </w:r>
      <w:smartTag w:uri="urn:schemas-microsoft-com:office:smarttags" w:element="stockticker">
        <w:r w:rsidRPr="00A12B63">
          <w:t xml:space="preserve">s </w:t>
        </w:r>
        <w:smartTag w:uri="urn:schemas-microsoft-com:office:smarttags" w:element="stockticker">
          <w:r w:rsidRPr="00A12B63">
            <w:t>I</w:t>
          </w:r>
        </w:smartTag>
      </w:smartTag>
      <w:r w:rsidRPr="00A12B63">
        <w:t xml:space="preserve">II (energy efficiency </w:t>
      </w:r>
      <w:r w:rsidRPr="00883C66">
        <w:t>an</w:t>
      </w:r>
      <w:smartTag w:uri="urn:schemas-microsoft-com:office:smarttags" w:element="stockticker">
        <w:r w:rsidRPr="00883C66">
          <w:t>d C</w:t>
        </w:r>
      </w:smartTag>
      <w:r w:rsidRPr="00883C66">
        <w:t>HP) and</w:t>
      </w:r>
      <w:r w:rsidRPr="00A12B63">
        <w:t xml:space="preserve"> MA’s </w:t>
      </w:r>
      <w:r>
        <w:t xml:space="preserve">goal of 25% </w:t>
      </w:r>
      <w:r w:rsidRPr="00A12B63">
        <w:t>energy</w:t>
      </w:r>
      <w:r>
        <w:t xml:space="preserve"> </w:t>
      </w:r>
      <w:r w:rsidRPr="00A12B63">
        <w:t xml:space="preserve">efficiency </w:t>
      </w:r>
      <w:r>
        <w:t xml:space="preserve">by 2020 </w:t>
      </w:r>
      <w:r w:rsidRPr="00A12B63">
        <w:t xml:space="preserve">from its </w:t>
      </w:r>
      <w:r w:rsidRPr="002D7947">
        <w:rPr>
          <w:i/>
        </w:rPr>
        <w:t>Green Communities Act</w:t>
      </w:r>
      <w:r w:rsidRPr="00A47820">
        <w:t>.</w:t>
      </w:r>
    </w:p>
    <w:p w:rsidR="004001CC" w:rsidRPr="00391D7A" w:rsidRDefault="004001CC" w:rsidP="000B0100">
      <w:pPr>
        <w:pStyle w:val="TableNote"/>
        <w:keepNext w:val="0"/>
        <w:tabs>
          <w:tab w:val="left" w:pos="270"/>
          <w:tab w:val="left" w:pos="6864"/>
          <w:tab w:val="left" w:pos="9360"/>
        </w:tabs>
        <w:ind w:left="274" w:hanging="274"/>
      </w:pPr>
      <w:r>
        <w:t>(e)</w:t>
      </w:r>
      <w:r w:rsidRPr="00AA7111">
        <w:t xml:space="preserve"> </w:t>
      </w:r>
      <w:r>
        <w:tab/>
        <w:t>The numbers may not add to the totals shown because of rounding.</w:t>
      </w:r>
    </w:p>
    <w:p w:rsidR="004001CC" w:rsidRDefault="00832C7A" w:rsidP="002254F0">
      <w:fldSimple w:instr=" REF _Ref234062011 \h  \* MERGEFORMAT ">
        <w:r w:rsidR="00E5699E" w:rsidRPr="00CE7FAD">
          <w:t xml:space="preserve">Figure </w:t>
        </w:r>
        <w:r w:rsidR="00E5699E">
          <w:t>8</w:t>
        </w:r>
        <w:r w:rsidR="00E5699E">
          <w:noBreakHyphen/>
          <w:t>4</w:t>
        </w:r>
      </w:fldSimple>
      <w:r w:rsidR="004001CC" w:rsidRPr="00892882">
        <w:t xml:space="preserve"> shows the projected cumulative targets for renewable resources and energy efficiency in New England based on RPSs and related policies </w:t>
      </w:r>
      <w:r w:rsidR="004001CC" w:rsidRPr="0059704A">
        <w:t xml:space="preserve">similar to </w:t>
      </w:r>
      <w:fldSimple w:instr=" REF _Ref229906800 \h  \* MERGEFORMAT ">
        <w:r w:rsidR="00E5699E" w:rsidRPr="00CE7FAD">
          <w:t>Table </w:t>
        </w:r>
        <w:r w:rsidR="00E5699E">
          <w:t>8</w:t>
        </w:r>
        <w:r w:rsidR="00E5699E">
          <w:noBreakHyphen/>
          <w:t>16</w:t>
        </w:r>
      </w:fldSimple>
      <w:r w:rsidR="00092DC3">
        <w:t>.</w:t>
      </w:r>
    </w:p>
    <w:p w:rsidR="00EF7B41" w:rsidRDefault="00EF7B41" w:rsidP="007A5D67">
      <w:pPr>
        <w:spacing w:after="0" w:line="240" w:lineRule="auto"/>
        <w:jc w:val="center"/>
      </w:pPr>
      <w:r w:rsidRPr="00EF7B41">
        <w:rPr>
          <w:noProof/>
        </w:rPr>
        <w:drawing>
          <wp:inline distT="0" distB="0" distL="0" distR="0">
            <wp:extent cx="5137785" cy="3733596"/>
            <wp:effectExtent l="19050" t="19050" r="24765" b="19254"/>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132247" cy="3729572"/>
                    </a:xfrm>
                    <a:prstGeom prst="rect">
                      <a:avLst/>
                    </a:prstGeom>
                    <a:noFill/>
                    <a:ln w="3175">
                      <a:solidFill>
                        <a:schemeClr val="tx1"/>
                      </a:solidFill>
                      <a:miter lim="800000"/>
                      <a:headEnd/>
                      <a:tailEnd/>
                    </a:ln>
                  </pic:spPr>
                </pic:pic>
              </a:graphicData>
            </a:graphic>
          </wp:inline>
        </w:drawing>
      </w:r>
    </w:p>
    <w:p w:rsidR="00E41E3A" w:rsidRDefault="004001CC" w:rsidP="0073464F">
      <w:pPr>
        <w:pStyle w:val="Caption-Figure"/>
        <w:ind w:left="630" w:right="540"/>
      </w:pPr>
      <w:bookmarkStart w:id="671" w:name="_Ref234062011"/>
      <w:bookmarkStart w:id="672" w:name="_Toc239157192"/>
      <w:bookmarkStart w:id="673" w:name="_Toc271552384"/>
      <w:r w:rsidRPr="00CE7FAD">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4</w:t>
      </w:r>
      <w:r w:rsidR="00832C7A">
        <w:fldChar w:fldCharType="end"/>
      </w:r>
      <w:bookmarkEnd w:id="671"/>
      <w:r w:rsidRPr="00CE7FAD">
        <w:t>: Projected cumulative targets for renewables and energy efficiency based on RPSs and related policies</w:t>
      </w:r>
      <w:r>
        <w:t>, 2010 to 2</w:t>
      </w:r>
      <w:r w:rsidR="00987991" w:rsidRPr="00987991">
        <w:t>020.</w:t>
      </w:r>
      <w:bookmarkEnd w:id="672"/>
      <w:bookmarkEnd w:id="673"/>
    </w:p>
    <w:p w:rsidR="004001CC" w:rsidRDefault="004001CC" w:rsidP="004001CC">
      <w:pPr>
        <w:pStyle w:val="TableNote"/>
        <w:keepNext w:val="0"/>
        <w:tabs>
          <w:tab w:val="left" w:pos="-270"/>
          <w:tab w:val="left" w:pos="6864"/>
        </w:tabs>
        <w:ind w:left="-270" w:right="-648" w:hanging="270"/>
      </w:pPr>
    </w:p>
    <w:bookmarkEnd w:id="664"/>
    <w:bookmarkEnd w:id="665"/>
    <w:bookmarkEnd w:id="666"/>
    <w:bookmarkEnd w:id="667"/>
    <w:p w:rsidR="004001CC" w:rsidRDefault="00832C7A" w:rsidP="00073277">
      <w:r w:rsidRPr="00892882">
        <w:rPr>
          <w:rFonts w:cs="Times New Roman"/>
        </w:rPr>
        <w:fldChar w:fldCharType="begin"/>
      </w:r>
      <w:r w:rsidR="004001CC" w:rsidRPr="00892882">
        <w:rPr>
          <w:rFonts w:cs="Times New Roman"/>
        </w:rPr>
        <w:instrText xml:space="preserve"> REF _Ref229906850 \h </w:instrText>
      </w:r>
      <w:r w:rsidR="004001CC">
        <w:rPr>
          <w:rFonts w:cs="Times New Roman"/>
        </w:rPr>
        <w:instrText xml:space="preserve"> \* MERGEFORMAT </w:instrText>
      </w:r>
      <w:r w:rsidRPr="00892882">
        <w:rPr>
          <w:rFonts w:cs="Times New Roman"/>
        </w:rPr>
      </w:r>
      <w:r w:rsidRPr="00892882">
        <w:rPr>
          <w:rFonts w:cs="Times New Roman"/>
        </w:rPr>
        <w:fldChar w:fldCharType="separate"/>
      </w:r>
      <w:r w:rsidR="00E5699E" w:rsidRPr="00E5699E">
        <w:rPr>
          <w:rFonts w:cs="Times New Roman"/>
        </w:rPr>
        <w:t xml:space="preserve">Table </w:t>
      </w:r>
      <w:r w:rsidR="00E5699E" w:rsidRPr="00E5699E">
        <w:rPr>
          <w:rFonts w:cs="Times New Roman"/>
          <w:noProof/>
        </w:rPr>
        <w:t>8</w:t>
      </w:r>
      <w:r w:rsidR="00E5699E" w:rsidRPr="00E5699E">
        <w:rPr>
          <w:rFonts w:cs="Times New Roman"/>
          <w:noProof/>
        </w:rPr>
        <w:noBreakHyphen/>
        <w:t>17</w:t>
      </w:r>
      <w:r w:rsidRPr="00892882">
        <w:rPr>
          <w:rFonts w:cs="Times New Roman"/>
        </w:rPr>
        <w:fldChar w:fldCharType="end"/>
      </w:r>
      <w:r w:rsidR="004001CC" w:rsidRPr="00892882">
        <w:t xml:space="preserve"> shows that to meet </w:t>
      </w:r>
      <w:r w:rsidR="004001CC" w:rsidRPr="00A6547B">
        <w:t>the RPS</w:t>
      </w:r>
      <w:r w:rsidR="00DF3A84">
        <w:t>-</w:t>
      </w:r>
      <w:r w:rsidR="00A6547B">
        <w:t xml:space="preserve">related targets </w:t>
      </w:r>
      <w:r w:rsidR="004001CC" w:rsidRPr="00892882">
        <w:t xml:space="preserve">for 2017, these four categories of renewables (i.e., existing, new, </w:t>
      </w:r>
      <w:r w:rsidR="00522E3F">
        <w:t>Ve</w:t>
      </w:r>
      <w:r w:rsidR="00A6547B">
        <w:t>r</w:t>
      </w:r>
      <w:r w:rsidR="00522E3F">
        <w:t>mont’s</w:t>
      </w:r>
      <w:r w:rsidR="004001CC" w:rsidRPr="00892882">
        <w:t>, and energy-efficiency resources) need to supply about 2</w:t>
      </w:r>
      <w:r w:rsidR="000A4845">
        <w:t>5</w:t>
      </w:r>
      <w:r w:rsidR="004001CC" w:rsidRPr="00892882">
        <w:t>.</w:t>
      </w:r>
      <w:r w:rsidR="000A4845">
        <w:t>5</w:t>
      </w:r>
      <w:r w:rsidR="004001CC" w:rsidRPr="00892882">
        <w:t xml:space="preserve">% of the total amount of electricity projected to be needed in New England and, similarly, about </w:t>
      </w:r>
      <w:r w:rsidR="00951A59">
        <w:t>30</w:t>
      </w:r>
      <w:r w:rsidR="004001CC" w:rsidRPr="00892882">
        <w:t>.</w:t>
      </w:r>
      <w:r w:rsidR="00951A59">
        <w:t>4</w:t>
      </w:r>
      <w:r w:rsidR="004001CC" w:rsidRPr="00892882">
        <w:t xml:space="preserve">% for 2020. </w:t>
      </w:r>
      <w:fldSimple w:instr=" REF _Ref229906850 \h  \* MERGEFORMAT ">
        <w:r w:rsidR="00E5699E" w:rsidRPr="004B48C2">
          <w:t xml:space="preserve">Table </w:t>
        </w:r>
        <w:r w:rsidR="00E5699E">
          <w:rPr>
            <w:noProof/>
          </w:rPr>
          <w:t>8</w:t>
        </w:r>
        <w:r w:rsidR="00E5699E">
          <w:rPr>
            <w:noProof/>
          </w:rPr>
          <w:noBreakHyphen/>
          <w:t>17</w:t>
        </w:r>
      </w:fldSimple>
      <w:r w:rsidR="004001CC" w:rsidRPr="00892882">
        <w:t xml:space="preserve"> shows the percentages for each of these categories of resources.</w:t>
      </w:r>
      <w:r w:rsidR="004001CC">
        <w:t xml:space="preserve"> Energy efficiency is only calculated for states with specific numerical targets. </w:t>
      </w:r>
      <w:r w:rsidR="004001CC">
        <w:tab/>
      </w:r>
    </w:p>
    <w:p w:rsidR="004001CC" w:rsidRDefault="004001CC" w:rsidP="00073277">
      <w:pPr>
        <w:pStyle w:val="Caption"/>
      </w:pPr>
      <w:bookmarkStart w:id="674" w:name="_Ref229906850"/>
      <w:bookmarkStart w:id="675" w:name="_Toc207531987"/>
      <w:bookmarkStart w:id="676" w:name="_Toc239157238"/>
      <w:bookmarkStart w:id="677" w:name="_Toc271552437"/>
      <w:r w:rsidRPr="004B48C2">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17</w:t>
      </w:r>
      <w:r w:rsidR="00832C7A">
        <w:fldChar w:fldCharType="end"/>
      </w:r>
      <w:bookmarkEnd w:id="674"/>
      <w:r w:rsidRPr="004B48C2">
        <w:br/>
        <w:t>New England RPS and Related Targets for Renewables</w:t>
      </w:r>
      <w:r w:rsidRPr="004B48C2">
        <w:br/>
        <w:t>and Energy Efficiency, by Category (%)</w:t>
      </w:r>
      <w:bookmarkEnd w:id="675"/>
      <w:bookmarkEnd w:id="676"/>
      <w:bookmarkEnd w:id="677"/>
    </w:p>
    <w:tbl>
      <w:tblPr>
        <w:tblStyle w:val="MediumShading1-Accent12"/>
        <w:tblW w:w="0" w:type="auto"/>
        <w:tblInd w:w="-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606"/>
        <w:gridCol w:w="1035"/>
        <w:gridCol w:w="1035"/>
      </w:tblGrid>
      <w:tr w:rsidR="004001CC" w:rsidRPr="006517A2" w:rsidTr="00001224">
        <w:trPr>
          <w:cnfStyle w:val="100000000000"/>
          <w:trHeight w:val="384"/>
        </w:trPr>
        <w:tc>
          <w:tcPr>
            <w:cnfStyle w:val="001000000100"/>
            <w:tcW w:w="2606" w:type="dxa"/>
            <w:shd w:val="clear" w:color="auto" w:fill="FBCE76" w:themeFill="background2" w:themeFillTint="99"/>
          </w:tcPr>
          <w:p w:rsidR="004001CC" w:rsidRPr="006517A2" w:rsidRDefault="004001CC" w:rsidP="006517A2">
            <w:pPr>
              <w:spacing w:after="0"/>
              <w:jc w:val="center"/>
              <w:rPr>
                <w:rFonts w:ascii="Arial" w:hAnsi="Arial" w:cs="Arial"/>
                <w:b w:val="0"/>
                <w:bCs w:val="0"/>
                <w:color w:val="000000" w:themeColor="text1"/>
                <w:sz w:val="18"/>
                <w:szCs w:val="18"/>
              </w:rPr>
            </w:pPr>
            <w:r w:rsidRPr="006517A2">
              <w:rPr>
                <w:rFonts w:ascii="Arial" w:hAnsi="Arial" w:cs="Arial"/>
                <w:color w:val="000000" w:themeColor="text1"/>
                <w:sz w:val="18"/>
                <w:szCs w:val="18"/>
              </w:rPr>
              <w:t>Category</w:t>
            </w:r>
          </w:p>
        </w:tc>
        <w:tc>
          <w:tcPr>
            <w:tcW w:w="1035" w:type="dxa"/>
            <w:shd w:val="clear" w:color="auto" w:fill="FBCE76" w:themeFill="background2" w:themeFillTint="99"/>
          </w:tcPr>
          <w:p w:rsidR="004001CC" w:rsidRPr="006517A2" w:rsidRDefault="004001CC" w:rsidP="006517A2">
            <w:pPr>
              <w:spacing w:after="0"/>
              <w:cnfStyle w:val="100000000000"/>
              <w:rPr>
                <w:rFonts w:ascii="Arial" w:hAnsi="Arial" w:cs="Arial"/>
                <w:color w:val="000000" w:themeColor="text1"/>
                <w:sz w:val="18"/>
                <w:szCs w:val="18"/>
              </w:rPr>
            </w:pPr>
            <w:r w:rsidRPr="006517A2">
              <w:rPr>
                <w:rFonts w:ascii="Arial" w:hAnsi="Arial" w:cs="Arial"/>
                <w:color w:val="000000" w:themeColor="text1"/>
                <w:sz w:val="18"/>
                <w:szCs w:val="18"/>
              </w:rPr>
              <w:t>2017</w:t>
            </w:r>
          </w:p>
        </w:tc>
        <w:tc>
          <w:tcPr>
            <w:tcW w:w="1035" w:type="dxa"/>
            <w:shd w:val="clear" w:color="auto" w:fill="FBCE76" w:themeFill="background2" w:themeFillTint="99"/>
          </w:tcPr>
          <w:p w:rsidR="004001CC" w:rsidRPr="006517A2" w:rsidRDefault="004001CC" w:rsidP="006517A2">
            <w:pPr>
              <w:spacing w:after="0"/>
              <w:cnfStyle w:val="100000000000"/>
              <w:rPr>
                <w:rFonts w:ascii="Arial" w:hAnsi="Arial" w:cs="Arial"/>
                <w:color w:val="000000" w:themeColor="text1"/>
                <w:sz w:val="18"/>
                <w:szCs w:val="18"/>
              </w:rPr>
            </w:pPr>
            <w:r w:rsidRPr="006517A2">
              <w:rPr>
                <w:rFonts w:ascii="Arial" w:hAnsi="Arial" w:cs="Arial"/>
                <w:color w:val="000000" w:themeColor="text1"/>
                <w:sz w:val="18"/>
                <w:szCs w:val="18"/>
              </w:rPr>
              <w:t>2020</w:t>
            </w:r>
          </w:p>
        </w:tc>
      </w:tr>
      <w:tr w:rsidR="004001CC" w:rsidRPr="006A4439" w:rsidTr="00001224">
        <w:trPr>
          <w:cnfStyle w:val="000000100000"/>
          <w:trHeight w:val="288"/>
        </w:trPr>
        <w:tc>
          <w:tcPr>
            <w:cnfStyle w:val="001000000000"/>
            <w:tcW w:w="2606" w:type="dxa"/>
          </w:tcPr>
          <w:p w:rsidR="004001CC" w:rsidRPr="006A4439" w:rsidRDefault="004001CC" w:rsidP="006517A2">
            <w:pPr>
              <w:spacing w:after="0"/>
              <w:rPr>
                <w:rFonts w:ascii="Arial" w:hAnsi="Arial" w:cs="Arial"/>
                <w:sz w:val="18"/>
                <w:szCs w:val="18"/>
              </w:rPr>
            </w:pPr>
            <w:r w:rsidRPr="006A4439">
              <w:rPr>
                <w:rFonts w:ascii="Arial" w:hAnsi="Arial" w:cs="Arial"/>
                <w:sz w:val="18"/>
                <w:szCs w:val="18"/>
              </w:rPr>
              <w:t>Existing</w:t>
            </w:r>
          </w:p>
        </w:tc>
        <w:tc>
          <w:tcPr>
            <w:tcW w:w="1035" w:type="dxa"/>
          </w:tcPr>
          <w:p w:rsidR="00FB7A9D" w:rsidRDefault="00951A59">
            <w:pPr>
              <w:spacing w:after="0"/>
              <w:cnfStyle w:val="000000100000"/>
              <w:rPr>
                <w:rFonts w:ascii="Arial" w:hAnsi="Arial" w:cs="Arial"/>
                <w:sz w:val="18"/>
                <w:szCs w:val="18"/>
              </w:rPr>
            </w:pPr>
            <w:r>
              <w:rPr>
                <w:rFonts w:ascii="Arial" w:hAnsi="Arial" w:cs="Arial"/>
                <w:sz w:val="18"/>
                <w:szCs w:val="18"/>
              </w:rPr>
              <w:t>6.6</w:t>
            </w:r>
          </w:p>
        </w:tc>
        <w:tc>
          <w:tcPr>
            <w:tcW w:w="1035" w:type="dxa"/>
          </w:tcPr>
          <w:p w:rsidR="001B3090" w:rsidRDefault="00951A59">
            <w:pPr>
              <w:spacing w:after="0"/>
              <w:cnfStyle w:val="000000100000"/>
              <w:rPr>
                <w:rFonts w:ascii="Arial" w:hAnsi="Arial" w:cs="Arial"/>
                <w:sz w:val="18"/>
                <w:szCs w:val="18"/>
              </w:rPr>
            </w:pPr>
            <w:r>
              <w:rPr>
                <w:rFonts w:ascii="Arial" w:hAnsi="Arial" w:cs="Arial"/>
                <w:sz w:val="18"/>
                <w:szCs w:val="18"/>
              </w:rPr>
              <w:t>6.4</w:t>
            </w:r>
          </w:p>
        </w:tc>
      </w:tr>
      <w:tr w:rsidR="004001CC" w:rsidRPr="006A4439" w:rsidTr="00001224">
        <w:trPr>
          <w:cnfStyle w:val="000000010000"/>
          <w:trHeight w:val="288"/>
        </w:trPr>
        <w:tc>
          <w:tcPr>
            <w:cnfStyle w:val="001000000000"/>
            <w:tcW w:w="2606" w:type="dxa"/>
            <w:shd w:val="clear" w:color="auto" w:fill="FDEED1" w:themeFill="background2" w:themeFillTint="33"/>
          </w:tcPr>
          <w:p w:rsidR="004001CC" w:rsidRPr="006A4439" w:rsidRDefault="004001CC" w:rsidP="006517A2">
            <w:pPr>
              <w:spacing w:after="0"/>
              <w:rPr>
                <w:rFonts w:ascii="Arial" w:hAnsi="Arial" w:cs="Arial"/>
                <w:sz w:val="18"/>
                <w:szCs w:val="18"/>
              </w:rPr>
            </w:pPr>
            <w:r w:rsidRPr="006A4439">
              <w:rPr>
                <w:rFonts w:ascii="Arial" w:hAnsi="Arial" w:cs="Arial"/>
                <w:sz w:val="18"/>
                <w:szCs w:val="18"/>
              </w:rPr>
              <w:t>New</w:t>
            </w:r>
          </w:p>
        </w:tc>
        <w:tc>
          <w:tcPr>
            <w:tcW w:w="1035" w:type="dxa"/>
            <w:shd w:val="clear" w:color="auto" w:fill="FDEED1" w:themeFill="background2" w:themeFillTint="33"/>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9.8</w:t>
            </w:r>
          </w:p>
        </w:tc>
        <w:tc>
          <w:tcPr>
            <w:tcW w:w="1035" w:type="dxa"/>
            <w:shd w:val="clear" w:color="auto" w:fill="FDEED1" w:themeFill="background2" w:themeFillTint="33"/>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11.9</w:t>
            </w:r>
          </w:p>
        </w:tc>
      </w:tr>
      <w:tr w:rsidR="004001CC" w:rsidRPr="006A4439" w:rsidTr="00001224">
        <w:trPr>
          <w:cnfStyle w:val="000000100000"/>
          <w:trHeight w:val="288"/>
        </w:trPr>
        <w:tc>
          <w:tcPr>
            <w:cnfStyle w:val="001000000000"/>
            <w:tcW w:w="2606" w:type="dxa"/>
          </w:tcPr>
          <w:p w:rsidR="004001CC" w:rsidRPr="006A4439" w:rsidRDefault="00867D31" w:rsidP="00867D31">
            <w:pPr>
              <w:spacing w:after="0"/>
              <w:rPr>
                <w:rFonts w:ascii="Arial" w:hAnsi="Arial" w:cs="Arial"/>
                <w:sz w:val="18"/>
                <w:szCs w:val="18"/>
              </w:rPr>
            </w:pPr>
            <w:r>
              <w:rPr>
                <w:rFonts w:ascii="Arial" w:hAnsi="Arial" w:cs="Arial"/>
                <w:sz w:val="18"/>
                <w:szCs w:val="18"/>
              </w:rPr>
              <w:t>Vermont goals</w:t>
            </w:r>
          </w:p>
        </w:tc>
        <w:tc>
          <w:tcPr>
            <w:tcW w:w="1035" w:type="dxa"/>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1.1</w:t>
            </w:r>
          </w:p>
        </w:tc>
        <w:tc>
          <w:tcPr>
            <w:tcW w:w="1035" w:type="dxa"/>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1.2</w:t>
            </w:r>
          </w:p>
        </w:tc>
      </w:tr>
      <w:tr w:rsidR="004001CC" w:rsidRPr="006A4439" w:rsidTr="00001224">
        <w:trPr>
          <w:cnfStyle w:val="000000010000"/>
          <w:trHeight w:val="288"/>
        </w:trPr>
        <w:tc>
          <w:tcPr>
            <w:cnfStyle w:val="001000000000"/>
            <w:tcW w:w="2606" w:type="dxa"/>
            <w:shd w:val="clear" w:color="auto" w:fill="FDEED1" w:themeFill="background2" w:themeFillTint="33"/>
          </w:tcPr>
          <w:p w:rsidR="004001CC" w:rsidRPr="006A4439" w:rsidRDefault="004001CC" w:rsidP="006517A2">
            <w:pPr>
              <w:spacing w:after="0"/>
              <w:rPr>
                <w:rFonts w:ascii="Arial" w:hAnsi="Arial" w:cs="Arial"/>
                <w:sz w:val="18"/>
                <w:szCs w:val="18"/>
              </w:rPr>
            </w:pPr>
            <w:r w:rsidRPr="006A4439">
              <w:rPr>
                <w:rFonts w:ascii="Arial" w:hAnsi="Arial" w:cs="Arial"/>
                <w:sz w:val="18"/>
                <w:szCs w:val="18"/>
              </w:rPr>
              <w:t>Energy efficiency/CHP</w:t>
            </w:r>
          </w:p>
        </w:tc>
        <w:tc>
          <w:tcPr>
            <w:tcW w:w="1035" w:type="dxa"/>
            <w:shd w:val="clear" w:color="auto" w:fill="FDEED1" w:themeFill="background2" w:themeFillTint="33"/>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8.1</w:t>
            </w:r>
          </w:p>
        </w:tc>
        <w:tc>
          <w:tcPr>
            <w:tcW w:w="1035" w:type="dxa"/>
            <w:shd w:val="clear" w:color="auto" w:fill="FDEED1" w:themeFill="background2" w:themeFillTint="33"/>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11.0</w:t>
            </w:r>
          </w:p>
        </w:tc>
      </w:tr>
      <w:tr w:rsidR="004001CC" w:rsidRPr="006A4439" w:rsidTr="00001224">
        <w:trPr>
          <w:cnfStyle w:val="000000100000"/>
          <w:trHeight w:val="288"/>
        </w:trPr>
        <w:tc>
          <w:tcPr>
            <w:cnfStyle w:val="001000000000"/>
            <w:tcW w:w="2606" w:type="dxa"/>
            <w:shd w:val="clear" w:color="auto" w:fill="FBCE76" w:themeFill="background2" w:themeFillTint="99"/>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Total</w:t>
            </w:r>
            <w:r w:rsidR="00CE6260" w:rsidRPr="00CE6260">
              <w:rPr>
                <w:rFonts w:ascii="Arial" w:hAnsi="Arial" w:cs="Arial"/>
                <w:sz w:val="18"/>
                <w:szCs w:val="18"/>
                <w:vertAlign w:val="superscript"/>
              </w:rPr>
              <w:t>(a)</w:t>
            </w:r>
          </w:p>
        </w:tc>
        <w:tc>
          <w:tcPr>
            <w:tcW w:w="1035" w:type="dxa"/>
            <w:shd w:val="clear" w:color="auto" w:fill="FBCE76" w:themeFill="background2" w:themeFillTint="99"/>
          </w:tcPr>
          <w:p w:rsidR="00FB7A9D" w:rsidRDefault="004001CC">
            <w:pPr>
              <w:spacing w:after="0"/>
              <w:cnfStyle w:val="000000100000"/>
              <w:rPr>
                <w:rFonts w:ascii="Arial" w:hAnsi="Arial" w:cs="Arial"/>
                <w:sz w:val="18"/>
                <w:szCs w:val="18"/>
              </w:rPr>
            </w:pPr>
            <w:r w:rsidRPr="006A4439">
              <w:rPr>
                <w:rFonts w:ascii="Arial" w:hAnsi="Arial" w:cs="Arial"/>
                <w:sz w:val="18"/>
                <w:szCs w:val="18"/>
              </w:rPr>
              <w:t>2</w:t>
            </w:r>
            <w:r w:rsidR="00951A59">
              <w:rPr>
                <w:rFonts w:ascii="Arial" w:hAnsi="Arial" w:cs="Arial"/>
                <w:sz w:val="18"/>
                <w:szCs w:val="18"/>
              </w:rPr>
              <w:t>5</w:t>
            </w:r>
            <w:r w:rsidRPr="006A4439">
              <w:rPr>
                <w:rFonts w:ascii="Arial" w:hAnsi="Arial" w:cs="Arial"/>
                <w:sz w:val="18"/>
                <w:szCs w:val="18"/>
              </w:rPr>
              <w:t>.</w:t>
            </w:r>
            <w:r w:rsidR="00951A59">
              <w:rPr>
                <w:rFonts w:ascii="Arial" w:hAnsi="Arial" w:cs="Arial"/>
                <w:sz w:val="18"/>
                <w:szCs w:val="18"/>
              </w:rPr>
              <w:t>5</w:t>
            </w:r>
          </w:p>
        </w:tc>
        <w:tc>
          <w:tcPr>
            <w:tcW w:w="1035" w:type="dxa"/>
            <w:shd w:val="clear" w:color="auto" w:fill="FBCE76" w:themeFill="background2" w:themeFillTint="99"/>
          </w:tcPr>
          <w:p w:rsidR="001B3090" w:rsidRDefault="00951A59">
            <w:pPr>
              <w:spacing w:after="0"/>
              <w:cnfStyle w:val="000000100000"/>
              <w:rPr>
                <w:rFonts w:ascii="Arial" w:hAnsi="Arial" w:cs="Arial"/>
                <w:sz w:val="18"/>
                <w:szCs w:val="18"/>
              </w:rPr>
            </w:pPr>
            <w:r>
              <w:rPr>
                <w:rFonts w:ascii="Arial" w:hAnsi="Arial" w:cs="Arial"/>
                <w:sz w:val="18"/>
                <w:szCs w:val="18"/>
              </w:rPr>
              <w:t>30.4</w:t>
            </w:r>
          </w:p>
        </w:tc>
      </w:tr>
    </w:tbl>
    <w:p w:rsidR="00E41E3A" w:rsidRDefault="00CE6260" w:rsidP="00CF21AB">
      <w:pPr>
        <w:spacing w:before="120" w:line="240" w:lineRule="auto"/>
        <w:ind w:left="2347"/>
        <w:rPr>
          <w:rFonts w:ascii="Arial" w:hAnsi="Arial" w:cs="Arial"/>
          <w:sz w:val="16"/>
          <w:szCs w:val="16"/>
        </w:rPr>
      </w:pPr>
      <w:r w:rsidRPr="00CE6260">
        <w:rPr>
          <w:rFonts w:ascii="Arial" w:hAnsi="Arial" w:cs="Arial"/>
          <w:sz w:val="16"/>
          <w:szCs w:val="16"/>
        </w:rPr>
        <w:t>(a)</w:t>
      </w:r>
      <w:r>
        <w:rPr>
          <w:rFonts w:ascii="Arial" w:hAnsi="Arial" w:cs="Arial"/>
          <w:b/>
          <w:sz w:val="16"/>
          <w:szCs w:val="16"/>
        </w:rPr>
        <w:t xml:space="preserve"> </w:t>
      </w:r>
      <w:r w:rsidR="004001CC" w:rsidRPr="006A4439">
        <w:rPr>
          <w:rFonts w:ascii="Arial" w:hAnsi="Arial" w:cs="Arial"/>
          <w:sz w:val="16"/>
          <w:szCs w:val="16"/>
        </w:rPr>
        <w:t>The numbers may not add to the totals because of rounding.</w:t>
      </w:r>
    </w:p>
    <w:p w:rsidR="004001CC" w:rsidRDefault="004001CC" w:rsidP="00073277">
      <w:r w:rsidRPr="00892882">
        <w:t>New renewable resources are the focus of the ISO’s assessment because these resources represent the growth required in renewable resources</w:t>
      </w:r>
      <w:r>
        <w:t xml:space="preserve">. </w:t>
      </w:r>
      <w:fldSimple w:instr=" REF _Ref229906964 \h  \* MERGEFORMAT ">
        <w:r w:rsidR="00E5699E">
          <w:t xml:space="preserve">Table </w:t>
        </w:r>
        <w:r w:rsidR="00E5699E">
          <w:rPr>
            <w:noProof/>
          </w:rPr>
          <w:t>8</w:t>
        </w:r>
        <w:r w:rsidR="00E5699E">
          <w:rPr>
            <w:noProof/>
          </w:rPr>
          <w:noBreakHyphen/>
          <w:t>18</w:t>
        </w:r>
      </w:fldSimple>
      <w:r w:rsidRPr="00073277">
        <w:t xml:space="preserve"> shows the RPS targets for incremental new renewable resources (as shown in </w:t>
      </w:r>
      <w:fldSimple w:instr=" REF _Ref229906800 \h  \* MERGEFORMAT ">
        <w:r w:rsidR="00E5699E" w:rsidRPr="00CE7FAD">
          <w:t>Table </w:t>
        </w:r>
        <w:r w:rsidR="00E5699E">
          <w:t>8</w:t>
        </w:r>
        <w:r w:rsidR="00E5699E">
          <w:noBreakHyphen/>
          <w:t>16</w:t>
        </w:r>
      </w:fldSimple>
      <w:r w:rsidRPr="00073277">
        <w:t xml:space="preserve">, line 3). </w:t>
      </w:r>
      <w:fldSimple w:instr=" REF _Ref229906964 \h  \* MERGEFORMAT ">
        <w:r w:rsidR="00E5699E">
          <w:t xml:space="preserve">Table </w:t>
        </w:r>
        <w:r w:rsidR="00E5699E">
          <w:rPr>
            <w:noProof/>
          </w:rPr>
          <w:t>8</w:t>
        </w:r>
        <w:r w:rsidR="00E5699E">
          <w:rPr>
            <w:noProof/>
          </w:rPr>
          <w:noBreakHyphen/>
          <w:t>18</w:t>
        </w:r>
      </w:fldSimple>
      <w:r w:rsidR="00E930E8">
        <w:t xml:space="preserve">, lines 1 to 5, </w:t>
      </w:r>
      <w:r w:rsidRPr="00892882">
        <w:t>show the breakdown by state class of the RPSs for new renewable resources</w:t>
      </w:r>
      <w:r w:rsidR="00E930E8">
        <w:t>,</w:t>
      </w:r>
      <w:r w:rsidRPr="00892882">
        <w:t xml:space="preserve"> and </w:t>
      </w:r>
      <w:r w:rsidR="00E930E8">
        <w:t xml:space="preserve">line 6 shows </w:t>
      </w:r>
      <w:r w:rsidRPr="00892882">
        <w:t>the 200</w:t>
      </w:r>
      <w:r>
        <w:t>9</w:t>
      </w:r>
      <w:r w:rsidRPr="00892882">
        <w:t xml:space="preserve"> total New England RPS. Assuming the 200</w:t>
      </w:r>
      <w:r>
        <w:t>9</w:t>
      </w:r>
      <w:r w:rsidRPr="00892882">
        <w:t xml:space="preserve"> targets for RPS classes for new renewables are met by existing renewable resources and then subtracting the 200</w:t>
      </w:r>
      <w:r>
        <w:t>9</w:t>
      </w:r>
      <w:r w:rsidRPr="00892882">
        <w:t xml:space="preserve"> “new” RPS (line 7) </w:t>
      </w:r>
      <w:r w:rsidR="004116BF" w:rsidRPr="004116BF">
        <w:t xml:space="preserve">from the total (line 6), the new incremental RPS would </w:t>
      </w:r>
      <w:r w:rsidR="00595483">
        <w:t xml:space="preserve">range from </w:t>
      </w:r>
      <w:r w:rsidR="004116BF" w:rsidRPr="004116BF">
        <w:t>868 GWh of electricity annually for 2010</w:t>
      </w:r>
      <w:r w:rsidR="00595483">
        <w:t xml:space="preserve"> to </w:t>
      </w:r>
      <w:r w:rsidR="004116BF" w:rsidRPr="004116BF">
        <w:t>12,773</w:t>
      </w:r>
      <w:r w:rsidR="0076739E">
        <w:t xml:space="preserve"> </w:t>
      </w:r>
      <w:r w:rsidR="004116BF" w:rsidRPr="004116BF">
        <w:t>GWh for 2020 (line 8).</w:t>
      </w:r>
      <w:bookmarkStart w:id="678" w:name="_Ref173477309"/>
      <w:bookmarkStart w:id="679" w:name="_Ref200274808"/>
      <w:bookmarkStart w:id="680" w:name="_Toc176244950"/>
      <w:bookmarkStart w:id="681" w:name="_Toc200169062"/>
      <w:r w:rsidR="004116BF" w:rsidRPr="004116BF">
        <w:t xml:space="preserve"> </w:t>
      </w:r>
    </w:p>
    <w:p w:rsidR="004001CC" w:rsidRDefault="004001CC" w:rsidP="00073277">
      <w:pPr>
        <w:pStyle w:val="Caption"/>
        <w:rPr>
          <w:vertAlign w:val="superscript"/>
        </w:rPr>
      </w:pPr>
      <w:bookmarkStart w:id="682" w:name="_Ref229906964"/>
      <w:bookmarkStart w:id="683" w:name="_Toc239157239"/>
      <w:bookmarkStart w:id="684" w:name="_Toc271552438"/>
      <w:bookmarkEnd w:id="678"/>
      <w:bookmarkEnd w:id="679"/>
      <w:bookmarkEnd w:id="680"/>
      <w:bookmarkEnd w:id="681"/>
      <w:r>
        <w:t xml:space="preserve">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18</w:t>
      </w:r>
      <w:r w:rsidR="00832C7A">
        <w:fldChar w:fldCharType="end"/>
      </w:r>
      <w:bookmarkEnd w:id="682"/>
      <w:r w:rsidRPr="00621CD2">
        <w:br/>
      </w:r>
      <w:r w:rsidRPr="00614A50">
        <w:t xml:space="preserve">Projected </w:t>
      </w:r>
      <w:r>
        <w:t xml:space="preserve">New </w:t>
      </w:r>
      <w:r w:rsidRPr="00CE7FAD">
        <w:t>England RPSs for “New” Renewables Beyond</w:t>
      </w:r>
      <w:r>
        <w:t> 2009 (</w:t>
      </w:r>
      <w:r w:rsidRPr="00614A50">
        <w:t>GWh</w:t>
      </w:r>
      <w:r>
        <w:t>)</w:t>
      </w:r>
      <w:r w:rsidRPr="00614A50">
        <w:rPr>
          <w:vertAlign w:val="superscript"/>
        </w:rPr>
        <w:t>(a)</w:t>
      </w:r>
      <w:bookmarkEnd w:id="683"/>
      <w:bookmarkEnd w:id="684"/>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15" w:type="dxa"/>
          <w:right w:w="115" w:type="dxa"/>
        </w:tblCellMar>
        <w:tblLook w:val="04A0"/>
      </w:tblPr>
      <w:tblGrid>
        <w:gridCol w:w="701"/>
        <w:gridCol w:w="2444"/>
        <w:gridCol w:w="1317"/>
        <w:gridCol w:w="1318"/>
        <w:gridCol w:w="1317"/>
        <w:gridCol w:w="1318"/>
      </w:tblGrid>
      <w:tr w:rsidR="004001CC" w:rsidRPr="006517A2" w:rsidTr="00AA5716">
        <w:trPr>
          <w:cnfStyle w:val="100000000000"/>
          <w:trHeight w:val="691"/>
        </w:trPr>
        <w:tc>
          <w:tcPr>
            <w:cnfStyle w:val="001000000100"/>
            <w:tcW w:w="701" w:type="dxa"/>
            <w:shd w:val="clear" w:color="auto" w:fill="FBCE76" w:themeFill="background2" w:themeFillTint="99"/>
          </w:tcPr>
          <w:p w:rsidR="004001CC" w:rsidRPr="006517A2" w:rsidRDefault="004001CC" w:rsidP="006517A2">
            <w:pPr>
              <w:spacing w:after="0"/>
              <w:rPr>
                <w:rFonts w:ascii="Arial" w:hAnsi="Arial" w:cs="Arial"/>
                <w:b w:val="0"/>
                <w:bCs w:val="0"/>
                <w:color w:val="000000" w:themeColor="text1"/>
                <w:sz w:val="18"/>
                <w:szCs w:val="18"/>
              </w:rPr>
            </w:pPr>
            <w:r w:rsidRPr="006517A2">
              <w:rPr>
                <w:rFonts w:ascii="Arial" w:hAnsi="Arial" w:cs="Arial"/>
                <w:color w:val="000000" w:themeColor="text1"/>
                <w:sz w:val="18"/>
                <w:szCs w:val="18"/>
              </w:rPr>
              <w:t>Line #</w:t>
            </w:r>
          </w:p>
        </w:tc>
        <w:tc>
          <w:tcPr>
            <w:tcW w:w="2444" w:type="dxa"/>
            <w:shd w:val="clear" w:color="auto" w:fill="FBCE76" w:themeFill="background2" w:themeFillTint="99"/>
          </w:tcPr>
          <w:p w:rsidR="004001CC" w:rsidRPr="006517A2" w:rsidRDefault="004001CC" w:rsidP="006517A2">
            <w:pPr>
              <w:spacing w:after="0"/>
              <w:cnfStyle w:val="100000000000"/>
              <w:rPr>
                <w:rFonts w:ascii="Arial" w:hAnsi="Arial" w:cs="Arial"/>
                <w:b w:val="0"/>
                <w:bCs w:val="0"/>
                <w:color w:val="000000" w:themeColor="text1"/>
                <w:sz w:val="18"/>
                <w:szCs w:val="18"/>
                <w:vertAlign w:val="superscript"/>
              </w:rPr>
            </w:pPr>
            <w:r w:rsidRPr="006517A2">
              <w:rPr>
                <w:rFonts w:ascii="Arial" w:hAnsi="Arial" w:cs="Arial"/>
                <w:color w:val="000000" w:themeColor="text1"/>
                <w:sz w:val="18"/>
                <w:szCs w:val="18"/>
              </w:rPr>
              <w:t>State</w:t>
            </w:r>
          </w:p>
        </w:tc>
        <w:tc>
          <w:tcPr>
            <w:tcW w:w="1317" w:type="dxa"/>
            <w:shd w:val="clear" w:color="auto" w:fill="FBCE76" w:themeFill="background2" w:themeFillTint="99"/>
          </w:tcPr>
          <w:p w:rsidR="004001CC" w:rsidRPr="006517A2" w:rsidRDefault="004001CC" w:rsidP="006517A2">
            <w:pPr>
              <w:spacing w:after="0"/>
              <w:cnfStyle w:val="100000000000"/>
              <w:rPr>
                <w:rFonts w:ascii="Arial" w:hAnsi="Arial" w:cs="Arial"/>
                <w:b w:val="0"/>
                <w:bCs w:val="0"/>
                <w:color w:val="000000" w:themeColor="text1"/>
                <w:sz w:val="18"/>
                <w:szCs w:val="18"/>
              </w:rPr>
            </w:pPr>
            <w:r w:rsidRPr="006517A2">
              <w:rPr>
                <w:rFonts w:ascii="Arial" w:hAnsi="Arial" w:cs="Arial"/>
                <w:color w:val="000000" w:themeColor="text1"/>
                <w:sz w:val="18"/>
                <w:szCs w:val="18"/>
              </w:rPr>
              <w:t>2010</w:t>
            </w:r>
          </w:p>
        </w:tc>
        <w:tc>
          <w:tcPr>
            <w:tcW w:w="1318" w:type="dxa"/>
            <w:shd w:val="clear" w:color="auto" w:fill="FBCE76" w:themeFill="background2" w:themeFillTint="99"/>
          </w:tcPr>
          <w:p w:rsidR="004001CC" w:rsidRPr="006517A2" w:rsidRDefault="004001CC" w:rsidP="006517A2">
            <w:pPr>
              <w:spacing w:after="0"/>
              <w:cnfStyle w:val="100000000000"/>
              <w:rPr>
                <w:rFonts w:ascii="Arial" w:hAnsi="Arial" w:cs="Arial"/>
                <w:b w:val="0"/>
                <w:bCs w:val="0"/>
                <w:color w:val="000000" w:themeColor="text1"/>
                <w:sz w:val="18"/>
                <w:szCs w:val="18"/>
              </w:rPr>
            </w:pPr>
            <w:r w:rsidRPr="006517A2">
              <w:rPr>
                <w:rFonts w:ascii="Arial" w:hAnsi="Arial" w:cs="Arial"/>
                <w:color w:val="000000" w:themeColor="text1"/>
                <w:sz w:val="18"/>
                <w:szCs w:val="18"/>
              </w:rPr>
              <w:t>2013</w:t>
            </w:r>
          </w:p>
        </w:tc>
        <w:tc>
          <w:tcPr>
            <w:tcW w:w="1317" w:type="dxa"/>
            <w:shd w:val="clear" w:color="auto" w:fill="FBCE76" w:themeFill="background2" w:themeFillTint="99"/>
          </w:tcPr>
          <w:p w:rsidR="004001CC" w:rsidRPr="006517A2" w:rsidRDefault="004001CC" w:rsidP="006517A2">
            <w:pPr>
              <w:spacing w:after="0"/>
              <w:cnfStyle w:val="100000000000"/>
              <w:rPr>
                <w:rFonts w:ascii="Arial" w:hAnsi="Arial" w:cs="Arial"/>
                <w:b w:val="0"/>
                <w:bCs w:val="0"/>
                <w:color w:val="000000" w:themeColor="text1"/>
                <w:sz w:val="18"/>
                <w:szCs w:val="18"/>
              </w:rPr>
            </w:pPr>
            <w:r w:rsidRPr="006517A2">
              <w:rPr>
                <w:rFonts w:ascii="Arial" w:hAnsi="Arial" w:cs="Arial"/>
                <w:color w:val="000000" w:themeColor="text1"/>
                <w:sz w:val="18"/>
                <w:szCs w:val="18"/>
              </w:rPr>
              <w:t>2017</w:t>
            </w:r>
          </w:p>
        </w:tc>
        <w:tc>
          <w:tcPr>
            <w:tcW w:w="1318" w:type="dxa"/>
            <w:shd w:val="clear" w:color="auto" w:fill="FBCE76" w:themeFill="background2" w:themeFillTint="99"/>
          </w:tcPr>
          <w:p w:rsidR="004001CC" w:rsidRPr="006517A2" w:rsidRDefault="004001CC" w:rsidP="006517A2">
            <w:pPr>
              <w:spacing w:after="0"/>
              <w:cnfStyle w:val="100000000000"/>
              <w:rPr>
                <w:rFonts w:ascii="Arial" w:hAnsi="Arial" w:cs="Arial"/>
                <w:b w:val="0"/>
                <w:bCs w:val="0"/>
                <w:color w:val="000000" w:themeColor="text1"/>
                <w:sz w:val="18"/>
                <w:szCs w:val="18"/>
              </w:rPr>
            </w:pPr>
            <w:r w:rsidRPr="006517A2">
              <w:rPr>
                <w:rFonts w:ascii="Arial" w:hAnsi="Arial" w:cs="Arial"/>
                <w:color w:val="000000" w:themeColor="text1"/>
                <w:sz w:val="18"/>
                <w:szCs w:val="18"/>
              </w:rPr>
              <w:t>2020</w:t>
            </w:r>
          </w:p>
        </w:tc>
      </w:tr>
      <w:tr w:rsidR="004001CC" w:rsidRPr="006A4439" w:rsidTr="00F1111F">
        <w:trPr>
          <w:cnfStyle w:val="000000100000"/>
          <w:trHeight w:val="447"/>
        </w:trPr>
        <w:tc>
          <w:tcPr>
            <w:cnfStyle w:val="001000000000"/>
            <w:tcW w:w="701" w:type="dxa"/>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1</w:t>
            </w:r>
          </w:p>
        </w:tc>
        <w:tc>
          <w:tcPr>
            <w:tcW w:w="2444" w:type="dxa"/>
            <w:tcMar>
              <w:left w:w="115" w:type="dxa"/>
            </w:tcMar>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Connecticut Class I</w:t>
            </w:r>
          </w:p>
        </w:tc>
        <w:tc>
          <w:tcPr>
            <w:tcW w:w="1317"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308</w:t>
            </w:r>
          </w:p>
        </w:tc>
        <w:tc>
          <w:tcPr>
            <w:tcW w:w="1318"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1,276</w:t>
            </w:r>
          </w:p>
        </w:tc>
        <w:tc>
          <w:tcPr>
            <w:tcW w:w="1317"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3,138</w:t>
            </w:r>
          </w:p>
        </w:tc>
        <w:tc>
          <w:tcPr>
            <w:tcW w:w="1318"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4,730</w:t>
            </w:r>
          </w:p>
        </w:tc>
      </w:tr>
      <w:tr w:rsidR="004001CC" w:rsidRPr="006A4439" w:rsidTr="00F1111F">
        <w:trPr>
          <w:cnfStyle w:val="000000010000"/>
          <w:trHeight w:val="447"/>
        </w:trPr>
        <w:tc>
          <w:tcPr>
            <w:cnfStyle w:val="001000000000"/>
            <w:tcW w:w="701" w:type="dxa"/>
            <w:shd w:val="clear" w:color="auto" w:fill="FDEED1" w:themeFill="background2" w:themeFillTint="33"/>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2</w:t>
            </w:r>
          </w:p>
        </w:tc>
        <w:tc>
          <w:tcPr>
            <w:tcW w:w="2444" w:type="dxa"/>
            <w:shd w:val="clear" w:color="auto" w:fill="FDEED1" w:themeFill="background2" w:themeFillTint="33"/>
            <w:tcMar>
              <w:left w:w="115" w:type="dxa"/>
            </w:tcMar>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Massachusetts Class I</w:t>
            </w:r>
          </w:p>
        </w:tc>
        <w:tc>
          <w:tcPr>
            <w:tcW w:w="1317"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453</w:t>
            </w:r>
          </w:p>
        </w:tc>
        <w:tc>
          <w:tcPr>
            <w:tcW w:w="1318"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1,823</w:t>
            </w:r>
          </w:p>
        </w:tc>
        <w:tc>
          <w:tcPr>
            <w:tcW w:w="1317" w:type="dxa"/>
            <w:shd w:val="clear" w:color="auto" w:fill="FDEED1" w:themeFill="background2" w:themeFillTint="33"/>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3,473</w:t>
            </w:r>
          </w:p>
        </w:tc>
        <w:tc>
          <w:tcPr>
            <w:tcW w:w="1318" w:type="dxa"/>
            <w:shd w:val="clear" w:color="auto" w:fill="FDEED1" w:themeFill="background2" w:themeFillTint="33"/>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4,466</w:t>
            </w:r>
          </w:p>
        </w:tc>
      </w:tr>
      <w:tr w:rsidR="004001CC" w:rsidRPr="006A4439" w:rsidTr="00F1111F">
        <w:trPr>
          <w:cnfStyle w:val="000000100000"/>
          <w:trHeight w:val="447"/>
        </w:trPr>
        <w:tc>
          <w:tcPr>
            <w:cnfStyle w:val="001000000000"/>
            <w:tcW w:w="701" w:type="dxa"/>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3</w:t>
            </w:r>
          </w:p>
        </w:tc>
        <w:tc>
          <w:tcPr>
            <w:tcW w:w="2444" w:type="dxa"/>
            <w:tcMar>
              <w:left w:w="115" w:type="dxa"/>
            </w:tcMar>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Rhode Island “new”</w:t>
            </w:r>
          </w:p>
        </w:tc>
        <w:tc>
          <w:tcPr>
            <w:tcW w:w="1317"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40</w:t>
            </w:r>
          </w:p>
        </w:tc>
        <w:tc>
          <w:tcPr>
            <w:tcW w:w="1318"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296</w:t>
            </w:r>
          </w:p>
        </w:tc>
        <w:tc>
          <w:tcPr>
            <w:tcW w:w="1317"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789</w:t>
            </w:r>
          </w:p>
        </w:tc>
        <w:tc>
          <w:tcPr>
            <w:tcW w:w="1318"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1,080</w:t>
            </w:r>
          </w:p>
        </w:tc>
      </w:tr>
      <w:tr w:rsidR="004001CC" w:rsidRPr="006A4439" w:rsidTr="00F1111F">
        <w:trPr>
          <w:cnfStyle w:val="000000010000"/>
          <w:trHeight w:val="447"/>
        </w:trPr>
        <w:tc>
          <w:tcPr>
            <w:cnfStyle w:val="001000000000"/>
            <w:tcW w:w="701" w:type="dxa"/>
            <w:shd w:val="clear" w:color="auto" w:fill="FDEED1" w:themeFill="background2" w:themeFillTint="33"/>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4</w:t>
            </w:r>
          </w:p>
        </w:tc>
        <w:tc>
          <w:tcPr>
            <w:tcW w:w="2444" w:type="dxa"/>
            <w:shd w:val="clear" w:color="auto" w:fill="FDEED1" w:themeFill="background2" w:themeFillTint="33"/>
            <w:tcMar>
              <w:left w:w="115" w:type="dxa"/>
            </w:tcMar>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New Hampshire</w:t>
            </w:r>
            <w:r w:rsidRPr="006A4439">
              <w:rPr>
                <w:rFonts w:ascii="Arial" w:hAnsi="Arial" w:cs="Arial"/>
                <w:sz w:val="18"/>
                <w:szCs w:val="18"/>
              </w:rPr>
              <w:br/>
              <w:t>Classes I and II</w:t>
            </w:r>
            <w:r w:rsidRPr="006A4439">
              <w:rPr>
                <w:rFonts w:ascii="Arial" w:hAnsi="Arial" w:cs="Arial"/>
                <w:sz w:val="18"/>
                <w:szCs w:val="18"/>
                <w:vertAlign w:val="superscript"/>
              </w:rPr>
              <w:t>(b)</w:t>
            </w:r>
          </w:p>
        </w:tc>
        <w:tc>
          <w:tcPr>
            <w:tcW w:w="1317"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63</w:t>
            </w:r>
          </w:p>
        </w:tc>
        <w:tc>
          <w:tcPr>
            <w:tcW w:w="1318"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445</w:t>
            </w:r>
          </w:p>
        </w:tc>
        <w:tc>
          <w:tcPr>
            <w:tcW w:w="1317" w:type="dxa"/>
            <w:shd w:val="clear" w:color="auto" w:fill="FDEED1" w:themeFill="background2" w:themeFillTint="33"/>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989</w:t>
            </w:r>
          </w:p>
        </w:tc>
        <w:tc>
          <w:tcPr>
            <w:tcW w:w="1318" w:type="dxa"/>
            <w:shd w:val="clear" w:color="auto" w:fill="FDEED1" w:themeFill="background2" w:themeFillTint="33"/>
            <w:tcMar>
              <w:left w:w="115" w:type="dxa"/>
              <w:right w:w="360" w:type="dxa"/>
            </w:tcMar>
          </w:tcPr>
          <w:p w:rsidR="009E2433" w:rsidRDefault="004001CC">
            <w:pPr>
              <w:spacing w:after="0"/>
              <w:jc w:val="right"/>
              <w:cnfStyle w:val="000000010000"/>
              <w:rPr>
                <w:rFonts w:ascii="Arial" w:hAnsi="Arial" w:cs="Arial"/>
                <w:sz w:val="18"/>
                <w:szCs w:val="18"/>
              </w:rPr>
            </w:pPr>
            <w:r w:rsidRPr="006A4439">
              <w:rPr>
                <w:rFonts w:ascii="Arial" w:hAnsi="Arial" w:cs="Arial"/>
                <w:sz w:val="18"/>
                <w:szCs w:val="18"/>
              </w:rPr>
              <w:t>1,42</w:t>
            </w:r>
            <w:r w:rsidR="00F40783">
              <w:rPr>
                <w:rFonts w:ascii="Arial" w:hAnsi="Arial" w:cs="Arial"/>
                <w:sz w:val="18"/>
                <w:szCs w:val="18"/>
              </w:rPr>
              <w:t>3</w:t>
            </w:r>
          </w:p>
        </w:tc>
      </w:tr>
      <w:tr w:rsidR="004001CC" w:rsidRPr="006A4439" w:rsidTr="00F1111F">
        <w:trPr>
          <w:cnfStyle w:val="000000100000"/>
          <w:trHeight w:val="447"/>
        </w:trPr>
        <w:tc>
          <w:tcPr>
            <w:cnfStyle w:val="001000000000"/>
            <w:tcW w:w="701" w:type="dxa"/>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5</w:t>
            </w:r>
          </w:p>
        </w:tc>
        <w:tc>
          <w:tcPr>
            <w:tcW w:w="2444" w:type="dxa"/>
            <w:tcMar>
              <w:left w:w="115" w:type="dxa"/>
            </w:tcMar>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Maine Class I</w:t>
            </w:r>
          </w:p>
        </w:tc>
        <w:tc>
          <w:tcPr>
            <w:tcW w:w="1317"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w:t>
            </w:r>
          </w:p>
        </w:tc>
        <w:tc>
          <w:tcPr>
            <w:tcW w:w="1318"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381</w:t>
            </w:r>
          </w:p>
        </w:tc>
        <w:tc>
          <w:tcPr>
            <w:tcW w:w="1317"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911</w:t>
            </w:r>
          </w:p>
        </w:tc>
        <w:tc>
          <w:tcPr>
            <w:tcW w:w="1318"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1,075</w:t>
            </w:r>
          </w:p>
        </w:tc>
      </w:tr>
      <w:tr w:rsidR="004001CC" w:rsidRPr="006A4439" w:rsidTr="00F1111F">
        <w:trPr>
          <w:cnfStyle w:val="000000010000"/>
          <w:trHeight w:val="447"/>
        </w:trPr>
        <w:tc>
          <w:tcPr>
            <w:cnfStyle w:val="001000000000"/>
            <w:tcW w:w="701" w:type="dxa"/>
            <w:shd w:val="clear" w:color="auto" w:fill="FDEED1" w:themeFill="background2" w:themeFillTint="33"/>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6</w:t>
            </w:r>
          </w:p>
        </w:tc>
        <w:tc>
          <w:tcPr>
            <w:tcW w:w="2444" w:type="dxa"/>
            <w:shd w:val="clear" w:color="auto" w:fill="FDEED1" w:themeFill="background2" w:themeFillTint="33"/>
            <w:tcMar>
              <w:left w:w="115" w:type="dxa"/>
            </w:tcMar>
          </w:tcPr>
          <w:p w:rsidR="004001CC" w:rsidRPr="006A4439" w:rsidRDefault="004001CC" w:rsidP="00867D31">
            <w:pPr>
              <w:spacing w:after="0"/>
              <w:cnfStyle w:val="000000010000"/>
              <w:rPr>
                <w:rFonts w:ascii="Arial" w:hAnsi="Arial" w:cs="Arial"/>
                <w:sz w:val="18"/>
                <w:szCs w:val="18"/>
              </w:rPr>
            </w:pPr>
            <w:r w:rsidRPr="006A4439">
              <w:rPr>
                <w:rFonts w:ascii="Arial" w:hAnsi="Arial" w:cs="Arial"/>
                <w:sz w:val="18"/>
                <w:szCs w:val="18"/>
              </w:rPr>
              <w:t>Total “new” RPS targets (from</w:t>
            </w:r>
            <w:r w:rsidR="00416A15">
              <w:rPr>
                <w:rFonts w:ascii="Arial" w:hAnsi="Arial" w:cs="Arial"/>
                <w:sz w:val="18"/>
                <w:szCs w:val="18"/>
              </w:rPr>
              <w:t xml:space="preserve"> </w:t>
            </w:r>
            <w:fldSimple w:instr=" REF _Ref229906800 \h  \* MERGEFORMAT ">
              <w:r w:rsidR="00E5699E" w:rsidRPr="00E5699E">
                <w:rPr>
                  <w:rFonts w:ascii="Arial" w:hAnsi="Arial" w:cs="Arial"/>
                  <w:sz w:val="18"/>
                  <w:szCs w:val="18"/>
                </w:rPr>
                <w:t>Table 8</w:t>
              </w:r>
              <w:r w:rsidR="00E5699E" w:rsidRPr="00E5699E">
                <w:rPr>
                  <w:rFonts w:ascii="Arial" w:hAnsi="Arial" w:cs="Arial"/>
                  <w:sz w:val="18"/>
                  <w:szCs w:val="18"/>
                </w:rPr>
                <w:noBreakHyphen/>
                <w:t>16</w:t>
              </w:r>
            </w:fldSimple>
            <w:r w:rsidRPr="00867D31">
              <w:rPr>
                <w:rFonts w:ascii="Arial" w:hAnsi="Arial" w:cs="Arial"/>
                <w:sz w:val="18"/>
                <w:szCs w:val="18"/>
              </w:rPr>
              <w:t>,</w:t>
            </w:r>
            <w:r w:rsidRPr="006A4439">
              <w:rPr>
                <w:rFonts w:ascii="Arial" w:hAnsi="Arial" w:cs="Arial"/>
                <w:sz w:val="18"/>
                <w:szCs w:val="18"/>
              </w:rPr>
              <w:t xml:space="preserve"> line 3)</w:t>
            </w:r>
            <w:r w:rsidRPr="006A4439">
              <w:rPr>
                <w:rFonts w:ascii="Arial" w:hAnsi="Arial" w:cs="Arial"/>
                <w:sz w:val="18"/>
                <w:szCs w:val="18"/>
                <w:vertAlign w:val="superscript"/>
              </w:rPr>
              <w:t>(c)</w:t>
            </w:r>
          </w:p>
        </w:tc>
        <w:tc>
          <w:tcPr>
            <w:tcW w:w="1317"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5,231</w:t>
            </w:r>
          </w:p>
        </w:tc>
        <w:tc>
          <w:tcPr>
            <w:tcW w:w="1318" w:type="dxa"/>
            <w:shd w:val="clear" w:color="auto" w:fill="FDEED1" w:themeFill="background2" w:themeFillTint="33"/>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8,584</w:t>
            </w:r>
          </w:p>
        </w:tc>
        <w:tc>
          <w:tcPr>
            <w:tcW w:w="1317" w:type="dxa"/>
            <w:shd w:val="clear" w:color="auto" w:fill="FDEED1" w:themeFill="background2" w:themeFillTint="33"/>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13,662</w:t>
            </w:r>
          </w:p>
        </w:tc>
        <w:tc>
          <w:tcPr>
            <w:tcW w:w="1318" w:type="dxa"/>
            <w:shd w:val="clear" w:color="auto" w:fill="FDEED1" w:themeFill="background2" w:themeFillTint="33"/>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17,136</w:t>
            </w:r>
          </w:p>
        </w:tc>
      </w:tr>
      <w:tr w:rsidR="004001CC" w:rsidRPr="006A4439" w:rsidTr="00F1111F">
        <w:trPr>
          <w:cnfStyle w:val="000000100000"/>
          <w:trHeight w:val="447"/>
        </w:trPr>
        <w:tc>
          <w:tcPr>
            <w:cnfStyle w:val="001000000000"/>
            <w:tcW w:w="701" w:type="dxa"/>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7</w:t>
            </w:r>
          </w:p>
        </w:tc>
        <w:tc>
          <w:tcPr>
            <w:tcW w:w="2444" w:type="dxa"/>
            <w:tcMar>
              <w:left w:w="115" w:type="dxa"/>
            </w:tcMar>
          </w:tcPr>
          <w:p w:rsidR="004001CC" w:rsidRPr="006A4439" w:rsidRDefault="004001CC" w:rsidP="006517A2">
            <w:pPr>
              <w:spacing w:after="0"/>
              <w:cnfStyle w:val="000000100000"/>
              <w:rPr>
                <w:rFonts w:ascii="Arial" w:hAnsi="Arial" w:cs="Arial"/>
                <w:sz w:val="18"/>
                <w:szCs w:val="18"/>
              </w:rPr>
            </w:pPr>
            <w:r w:rsidRPr="006A4439">
              <w:rPr>
                <w:rFonts w:ascii="Arial" w:hAnsi="Arial" w:cs="Arial"/>
                <w:sz w:val="18"/>
                <w:szCs w:val="18"/>
              </w:rPr>
              <w:t xml:space="preserve">2009 “new” RPS </w:t>
            </w:r>
          </w:p>
        </w:tc>
        <w:tc>
          <w:tcPr>
            <w:tcW w:w="1317"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4,363</w:t>
            </w:r>
          </w:p>
        </w:tc>
        <w:tc>
          <w:tcPr>
            <w:tcW w:w="1318" w:type="dxa"/>
            <w:tcMar>
              <w:left w:w="0"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4,363</w:t>
            </w:r>
          </w:p>
        </w:tc>
        <w:tc>
          <w:tcPr>
            <w:tcW w:w="1317"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4,363</w:t>
            </w:r>
          </w:p>
        </w:tc>
        <w:tc>
          <w:tcPr>
            <w:tcW w:w="1318" w:type="dxa"/>
            <w:tcMar>
              <w:left w:w="115" w:type="dxa"/>
              <w:right w:w="360" w:type="dxa"/>
            </w:tcMar>
          </w:tcPr>
          <w:p w:rsidR="004001CC" w:rsidRPr="006A4439" w:rsidRDefault="004001CC" w:rsidP="006517A2">
            <w:pPr>
              <w:spacing w:after="0"/>
              <w:jc w:val="right"/>
              <w:cnfStyle w:val="000000100000"/>
              <w:rPr>
                <w:rFonts w:ascii="Arial" w:hAnsi="Arial" w:cs="Arial"/>
                <w:sz w:val="18"/>
                <w:szCs w:val="18"/>
              </w:rPr>
            </w:pPr>
            <w:r w:rsidRPr="006A4439">
              <w:rPr>
                <w:rFonts w:ascii="Arial" w:hAnsi="Arial" w:cs="Arial"/>
                <w:sz w:val="18"/>
                <w:szCs w:val="18"/>
              </w:rPr>
              <w:t>4,363</w:t>
            </w:r>
          </w:p>
        </w:tc>
      </w:tr>
      <w:tr w:rsidR="004001CC" w:rsidRPr="006A4439" w:rsidTr="00F1111F">
        <w:trPr>
          <w:cnfStyle w:val="000000010000"/>
          <w:trHeight w:val="447"/>
        </w:trPr>
        <w:tc>
          <w:tcPr>
            <w:cnfStyle w:val="001000000000"/>
            <w:tcW w:w="701" w:type="dxa"/>
            <w:shd w:val="clear" w:color="auto" w:fill="FBCE76" w:themeFill="background2" w:themeFillTint="99"/>
            <w:tcMar>
              <w:left w:w="115" w:type="dxa"/>
            </w:tcMar>
          </w:tcPr>
          <w:p w:rsidR="004001CC" w:rsidRPr="006A4439" w:rsidRDefault="004001CC" w:rsidP="006517A2">
            <w:pPr>
              <w:spacing w:after="0"/>
              <w:rPr>
                <w:rFonts w:ascii="Arial" w:hAnsi="Arial" w:cs="Arial"/>
                <w:b w:val="0"/>
                <w:bCs w:val="0"/>
                <w:sz w:val="18"/>
                <w:szCs w:val="18"/>
              </w:rPr>
            </w:pPr>
            <w:r w:rsidRPr="006A4439">
              <w:rPr>
                <w:rFonts w:ascii="Arial" w:hAnsi="Arial" w:cs="Arial"/>
                <w:sz w:val="18"/>
                <w:szCs w:val="18"/>
              </w:rPr>
              <w:t>8</w:t>
            </w:r>
          </w:p>
        </w:tc>
        <w:tc>
          <w:tcPr>
            <w:tcW w:w="2444" w:type="dxa"/>
            <w:shd w:val="clear" w:color="auto" w:fill="FBCE76" w:themeFill="background2" w:themeFillTint="99"/>
            <w:tcMar>
              <w:left w:w="115" w:type="dxa"/>
            </w:tcMar>
          </w:tcPr>
          <w:p w:rsidR="004001CC" w:rsidRPr="006A4439" w:rsidRDefault="004001CC" w:rsidP="006517A2">
            <w:pPr>
              <w:spacing w:after="0"/>
              <w:cnfStyle w:val="000000010000"/>
              <w:rPr>
                <w:rFonts w:ascii="Arial" w:hAnsi="Arial" w:cs="Arial"/>
                <w:sz w:val="18"/>
                <w:szCs w:val="18"/>
              </w:rPr>
            </w:pPr>
            <w:r w:rsidRPr="006A4439">
              <w:rPr>
                <w:rFonts w:ascii="Arial" w:hAnsi="Arial" w:cs="Arial"/>
                <w:sz w:val="18"/>
                <w:szCs w:val="18"/>
              </w:rPr>
              <w:t>Incremental “new” RPS beyond 2009</w:t>
            </w:r>
            <w:r w:rsidRPr="006A4439">
              <w:rPr>
                <w:rFonts w:ascii="Arial" w:hAnsi="Arial" w:cs="Arial"/>
                <w:sz w:val="18"/>
                <w:szCs w:val="18"/>
                <w:vertAlign w:val="superscript"/>
              </w:rPr>
              <w:t>(d)</w:t>
            </w:r>
          </w:p>
        </w:tc>
        <w:tc>
          <w:tcPr>
            <w:tcW w:w="1317" w:type="dxa"/>
            <w:shd w:val="clear" w:color="auto" w:fill="FBCE76" w:themeFill="background2" w:themeFillTint="99"/>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868</w:t>
            </w:r>
          </w:p>
        </w:tc>
        <w:tc>
          <w:tcPr>
            <w:tcW w:w="1318" w:type="dxa"/>
            <w:shd w:val="clear" w:color="auto" w:fill="FBCE76" w:themeFill="background2" w:themeFillTint="99"/>
            <w:tcMar>
              <w:left w:w="0"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4,221</w:t>
            </w:r>
          </w:p>
        </w:tc>
        <w:tc>
          <w:tcPr>
            <w:tcW w:w="1317" w:type="dxa"/>
            <w:shd w:val="clear" w:color="auto" w:fill="FBCE76" w:themeFill="background2" w:themeFillTint="99"/>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9,229</w:t>
            </w:r>
          </w:p>
        </w:tc>
        <w:tc>
          <w:tcPr>
            <w:tcW w:w="1318" w:type="dxa"/>
            <w:shd w:val="clear" w:color="auto" w:fill="FBCE76" w:themeFill="background2" w:themeFillTint="99"/>
            <w:tcMar>
              <w:left w:w="115" w:type="dxa"/>
              <w:right w:w="360" w:type="dxa"/>
            </w:tcMar>
          </w:tcPr>
          <w:p w:rsidR="004001CC" w:rsidRPr="006A4439" w:rsidRDefault="004001CC" w:rsidP="006517A2">
            <w:pPr>
              <w:spacing w:after="0"/>
              <w:jc w:val="right"/>
              <w:cnfStyle w:val="000000010000"/>
              <w:rPr>
                <w:rFonts w:ascii="Arial" w:hAnsi="Arial" w:cs="Arial"/>
                <w:sz w:val="18"/>
                <w:szCs w:val="18"/>
              </w:rPr>
            </w:pPr>
            <w:r w:rsidRPr="006A4439">
              <w:rPr>
                <w:rFonts w:ascii="Arial" w:hAnsi="Arial" w:cs="Arial"/>
                <w:sz w:val="18"/>
                <w:szCs w:val="18"/>
              </w:rPr>
              <w:t>12,773</w:t>
            </w:r>
          </w:p>
        </w:tc>
      </w:tr>
    </w:tbl>
    <w:p w:rsidR="004001CC" w:rsidRPr="00043C34" w:rsidRDefault="004001CC" w:rsidP="00043C34">
      <w:pPr>
        <w:tabs>
          <w:tab w:val="left" w:pos="9360"/>
        </w:tabs>
        <w:spacing w:before="120" w:after="80" w:line="240" w:lineRule="auto"/>
        <w:ind w:left="720" w:right="540" w:hanging="274"/>
        <w:rPr>
          <w:rFonts w:ascii="Arial" w:hAnsi="Arial" w:cs="Arial"/>
          <w:sz w:val="16"/>
          <w:szCs w:val="16"/>
        </w:rPr>
      </w:pPr>
      <w:r w:rsidRPr="00043C34">
        <w:rPr>
          <w:rFonts w:ascii="Arial" w:hAnsi="Arial" w:cs="Arial"/>
          <w:sz w:val="16"/>
          <w:szCs w:val="16"/>
        </w:rPr>
        <w:t xml:space="preserve">(a) </w:t>
      </w:r>
      <w:r w:rsidRPr="00043C34">
        <w:rPr>
          <w:rFonts w:ascii="Arial" w:hAnsi="Arial" w:cs="Arial"/>
          <w:sz w:val="16"/>
          <w:szCs w:val="16"/>
        </w:rPr>
        <w:tab/>
        <w:t>The projection is based on the ISO’s 2010 state electric energy use forecast deducting 5% for noncompetitive LSEs in CT, and similarly, 14% for MA and 0.6% for RI. Modest growth requirements in the “existing” and “other</w:t>
      </w:r>
      <w:r w:rsidR="00DF3A84" w:rsidRPr="00043C34">
        <w:rPr>
          <w:rFonts w:ascii="Arial" w:hAnsi="Arial" w:cs="Arial"/>
          <w:sz w:val="16"/>
          <w:szCs w:val="16"/>
        </w:rPr>
        <w:t>”</w:t>
      </w:r>
      <w:r w:rsidR="00043C34" w:rsidRPr="00043C34">
        <w:rPr>
          <w:rFonts w:ascii="Arial" w:hAnsi="Arial" w:cs="Arial"/>
          <w:sz w:val="16"/>
          <w:szCs w:val="16"/>
        </w:rPr>
        <w:t xml:space="preserve"> </w:t>
      </w:r>
      <w:r w:rsidRPr="00043C34">
        <w:rPr>
          <w:rFonts w:ascii="Arial" w:hAnsi="Arial" w:cs="Arial"/>
          <w:sz w:val="16"/>
          <w:szCs w:val="16"/>
        </w:rPr>
        <w:t>categories are not included here.</w:t>
      </w:r>
    </w:p>
    <w:p w:rsidR="004001CC" w:rsidRPr="00043C34" w:rsidRDefault="004001CC" w:rsidP="00043C34">
      <w:pPr>
        <w:pStyle w:val="TableNote"/>
        <w:keepLines/>
        <w:tabs>
          <w:tab w:val="left" w:pos="270"/>
          <w:tab w:val="left" w:pos="9360"/>
        </w:tabs>
        <w:spacing w:before="0" w:after="80"/>
        <w:ind w:left="720" w:right="540" w:hanging="270"/>
        <w:rPr>
          <w:rFonts w:cs="Arial"/>
          <w:szCs w:val="16"/>
        </w:rPr>
      </w:pPr>
      <w:r w:rsidRPr="00043C34">
        <w:rPr>
          <w:rFonts w:cs="Arial"/>
          <w:szCs w:val="16"/>
        </w:rPr>
        <w:t>(b)</w:t>
      </w:r>
      <w:r w:rsidRPr="00043C34">
        <w:rPr>
          <w:rFonts w:cs="Arial"/>
          <w:szCs w:val="16"/>
        </w:rPr>
        <w:tab/>
        <w:t>New Hampshire’s Classes I and II will go into effect in 200</w:t>
      </w:r>
      <w:r w:rsidR="0041052B" w:rsidRPr="00043C34">
        <w:rPr>
          <w:rFonts w:cs="Arial"/>
          <w:szCs w:val="16"/>
        </w:rPr>
        <w:t>9</w:t>
      </w:r>
      <w:r w:rsidRPr="00043C34">
        <w:rPr>
          <w:rFonts w:cs="Arial"/>
          <w:szCs w:val="16"/>
        </w:rPr>
        <w:t xml:space="preserve"> and 2010, respectively. However, NH’s Class </w:t>
      </w:r>
      <w:r w:rsidR="00DF3A84" w:rsidRPr="00043C34">
        <w:rPr>
          <w:rFonts w:cs="Arial"/>
          <w:szCs w:val="16"/>
        </w:rPr>
        <w:t>I</w:t>
      </w:r>
      <w:r w:rsidRPr="00043C34">
        <w:rPr>
          <w:rFonts w:cs="Arial"/>
          <w:szCs w:val="16"/>
        </w:rPr>
        <w:t xml:space="preserve"> requirement starts at 0.5% in 2009. </w:t>
      </w:r>
    </w:p>
    <w:p w:rsidR="004001CC" w:rsidRPr="00043C34" w:rsidRDefault="004001CC" w:rsidP="00043C34">
      <w:pPr>
        <w:pStyle w:val="TableNote"/>
        <w:keepLines/>
        <w:tabs>
          <w:tab w:val="left" w:pos="270"/>
          <w:tab w:val="left" w:pos="9360"/>
        </w:tabs>
        <w:spacing w:before="0" w:after="80"/>
        <w:ind w:left="720" w:right="540" w:hanging="270"/>
        <w:rPr>
          <w:rFonts w:cs="Arial"/>
          <w:szCs w:val="16"/>
        </w:rPr>
      </w:pPr>
      <w:r w:rsidRPr="00043C34">
        <w:rPr>
          <w:rFonts w:cs="Arial"/>
          <w:szCs w:val="16"/>
        </w:rPr>
        <w:t>(c)</w:t>
      </w:r>
      <w:r w:rsidRPr="00043C34">
        <w:rPr>
          <w:rFonts w:cs="Arial"/>
          <w:szCs w:val="16"/>
        </w:rPr>
        <w:tab/>
        <w:t>The numbers may not add to the totals shown because of rounding.</w:t>
      </w:r>
    </w:p>
    <w:p w:rsidR="00867D31" w:rsidRPr="00043C34" w:rsidRDefault="004001CC" w:rsidP="00043C34">
      <w:pPr>
        <w:pStyle w:val="TableNote"/>
        <w:keepLines/>
        <w:tabs>
          <w:tab w:val="left" w:pos="270"/>
          <w:tab w:val="left" w:pos="9360"/>
        </w:tabs>
        <w:spacing w:before="0" w:after="240"/>
        <w:ind w:left="720" w:right="540" w:hanging="274"/>
        <w:rPr>
          <w:rFonts w:cs="Arial"/>
          <w:szCs w:val="16"/>
        </w:rPr>
      </w:pPr>
      <w:r w:rsidRPr="00043C34">
        <w:rPr>
          <w:rFonts w:cs="Arial"/>
          <w:szCs w:val="16"/>
        </w:rPr>
        <w:t>(d)</w:t>
      </w:r>
      <w:r w:rsidRPr="00043C34">
        <w:rPr>
          <w:rFonts w:cs="Arial"/>
          <w:szCs w:val="16"/>
        </w:rPr>
        <w:tab/>
        <w:t>This assumes existing renewable projects in New England met the 2007 requirements for “new” renewable resources.</w:t>
      </w:r>
    </w:p>
    <w:p w:rsidR="004001CC" w:rsidRDefault="00832C7A" w:rsidP="00073277">
      <w:fldSimple w:instr=" REF _Ref234062134 \h  \* MERGEFORMAT ">
        <w:r w:rsidR="00E5699E">
          <w:t xml:space="preserve">Figure </w:t>
        </w:r>
        <w:r w:rsidR="00E5699E">
          <w:rPr>
            <w:noProof/>
          </w:rPr>
          <w:t>8</w:t>
        </w:r>
        <w:r w:rsidR="00E5699E">
          <w:rPr>
            <w:noProof/>
          </w:rPr>
          <w:noBreakHyphen/>
          <w:t>5</w:t>
        </w:r>
      </w:fldSimple>
      <w:r w:rsidR="004001CC" w:rsidRPr="00892882">
        <w:t xml:space="preserve"> shows the annual cumulative RPS targets for new renewable resources included in </w:t>
      </w:r>
      <w:fldSimple w:instr=" REF _Ref229906964 \h  \* MERGEFORMAT ">
        <w:r w:rsidR="00E5699E">
          <w:t xml:space="preserve">Table </w:t>
        </w:r>
        <w:r w:rsidR="00E5699E">
          <w:rPr>
            <w:noProof/>
          </w:rPr>
          <w:t>8</w:t>
        </w:r>
        <w:r w:rsidR="00E5699E">
          <w:rPr>
            <w:noProof/>
          </w:rPr>
          <w:noBreakHyphen/>
          <w:t>18</w:t>
        </w:r>
      </w:fldSimple>
      <w:r w:rsidR="004001CC" w:rsidRPr="00892882">
        <w:t xml:space="preserve"> by state (lines 1 through 6) for each year of the forecast period. By 2020, the RPSs for Connecticut and Massachusetts will make up </w:t>
      </w:r>
      <w:r w:rsidR="004116BF" w:rsidRPr="004116BF">
        <w:t>72% of the</w:t>
      </w:r>
      <w:r w:rsidR="004001CC" w:rsidRPr="00892882">
        <w:t xml:space="preserve"> total RPSs for new renewable resources for the New England states.</w:t>
      </w:r>
    </w:p>
    <w:p w:rsidR="00B7553B" w:rsidRDefault="0026565E" w:rsidP="0026565E">
      <w:pPr>
        <w:spacing w:after="0" w:line="240" w:lineRule="auto"/>
        <w:jc w:val="center"/>
      </w:pPr>
      <w:r w:rsidRPr="0026565E">
        <w:rPr>
          <w:noProof/>
        </w:rPr>
        <w:drawing>
          <wp:inline distT="0" distB="0" distL="0" distR="0">
            <wp:extent cx="4189677" cy="3038736"/>
            <wp:effectExtent l="19050" t="19050" r="20373" b="28314"/>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183805" cy="3034477"/>
                    </a:xfrm>
                    <a:prstGeom prst="rect">
                      <a:avLst/>
                    </a:prstGeom>
                    <a:noFill/>
                    <a:ln w="3175">
                      <a:solidFill>
                        <a:schemeClr val="tx1"/>
                      </a:solidFill>
                      <a:miter lim="800000"/>
                      <a:headEnd/>
                      <a:tailEnd/>
                    </a:ln>
                  </pic:spPr>
                </pic:pic>
              </a:graphicData>
            </a:graphic>
          </wp:inline>
        </w:drawing>
      </w:r>
    </w:p>
    <w:p w:rsidR="00A12257" w:rsidRDefault="004001CC" w:rsidP="00B7553B">
      <w:pPr>
        <w:pStyle w:val="Caption-Figure"/>
        <w:spacing w:before="80" w:after="240"/>
        <w:ind w:left="1354" w:right="1354"/>
      </w:pPr>
      <w:bookmarkStart w:id="685" w:name="_Ref234062134"/>
      <w:bookmarkStart w:id="686" w:name="_Toc239157193"/>
      <w:bookmarkStart w:id="687" w:name="_Toc271552385"/>
      <w:r>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5</w:t>
      </w:r>
      <w:r w:rsidR="00832C7A">
        <w:fldChar w:fldCharType="end"/>
      </w:r>
      <w:bookmarkEnd w:id="685"/>
      <w:r>
        <w:t>: Cumulative RPS targets for new renewable resource classes beyond 2009</w:t>
      </w:r>
      <w:r w:rsidR="004C4BE7">
        <w:t>,</w:t>
      </w:r>
      <w:r>
        <w:t xml:space="preserve"> by </w:t>
      </w:r>
      <w:r w:rsidRPr="0095781F">
        <w:t>state</w:t>
      </w:r>
      <w:r w:rsidR="00595483">
        <w:t xml:space="preserve"> (GWh)</w:t>
      </w:r>
      <w:r w:rsidRPr="0095781F">
        <w:t>.</w:t>
      </w:r>
      <w:bookmarkEnd w:id="686"/>
      <w:bookmarkEnd w:id="687"/>
    </w:p>
    <w:p w:rsidR="00FC0261" w:rsidRDefault="004001CC" w:rsidP="00235A65">
      <w:pPr>
        <w:pStyle w:val="Heading4"/>
      </w:pPr>
      <w:bookmarkStart w:id="688" w:name="_Ref231185856"/>
      <w:r w:rsidRPr="0095781F">
        <w:t>Incremental RPS Targets for New Renewables Compared with Renewable Projects in</w:t>
      </w:r>
      <w:r w:rsidRPr="0095781F">
        <w:br/>
        <w:t>the ISO Queue</w:t>
      </w:r>
      <w:bookmarkEnd w:id="688"/>
      <w:r w:rsidRPr="0095781F">
        <w:t xml:space="preserve"> </w:t>
      </w:r>
    </w:p>
    <w:p w:rsidR="00327255" w:rsidRDefault="00832C7A" w:rsidP="00073277">
      <w:fldSimple w:instr=" REF _Ref229906935 \h  \* MERGEFORMAT ">
        <w:r w:rsidR="00E5699E">
          <w:t xml:space="preserve">Figure </w:t>
        </w:r>
        <w:r w:rsidR="00E5699E">
          <w:rPr>
            <w:noProof/>
          </w:rPr>
          <w:t>8</w:t>
        </w:r>
        <w:r w:rsidR="00E5699E">
          <w:rPr>
            <w:noProof/>
          </w:rPr>
          <w:noBreakHyphen/>
          <w:t>6</w:t>
        </w:r>
      </w:fldSimple>
      <w:r w:rsidR="004001CC" w:rsidRPr="00892882">
        <w:t xml:space="preserve"> shows the renewable resource projects in the ISO queue as of April 1, 2010. They total </w:t>
      </w:r>
      <w:r w:rsidR="001E549B">
        <w:t>3,5</w:t>
      </w:r>
      <w:r w:rsidR="00F40783">
        <w:t>15</w:t>
      </w:r>
      <w:r w:rsidR="004001CC" w:rsidRPr="00892882">
        <w:t xml:space="preserve"> MW, with wind projects comprising </w:t>
      </w:r>
      <w:r w:rsidR="004001CC">
        <w:t>87</w:t>
      </w:r>
      <w:r w:rsidR="004001CC" w:rsidRPr="00892882">
        <w:t>% of the total megawatts</w:t>
      </w:r>
      <w:r w:rsidR="00DF3A84">
        <w:t>,</w:t>
      </w:r>
      <w:r w:rsidR="004001CC" w:rsidRPr="00892882">
        <w:t xml:space="preserve"> and biomass projects, 11%. The remaining 2% of the projects comprises landfill gas, hydroelectric, and fuel cell projects.</w:t>
      </w:r>
    </w:p>
    <w:p w:rsidR="00327255" w:rsidRDefault="00327255" w:rsidP="000C48A7">
      <w:pPr>
        <w:keepNext/>
        <w:keepLines/>
        <w:spacing w:after="0" w:line="240" w:lineRule="auto"/>
        <w:jc w:val="center"/>
      </w:pPr>
      <w:r w:rsidRPr="00327255">
        <w:rPr>
          <w:noProof/>
        </w:rPr>
        <w:drawing>
          <wp:inline distT="0" distB="0" distL="0" distR="0">
            <wp:extent cx="4010025" cy="2917663"/>
            <wp:effectExtent l="19050" t="19050" r="28575" b="16037"/>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010025" cy="2917663"/>
                    </a:xfrm>
                    <a:prstGeom prst="rect">
                      <a:avLst/>
                    </a:prstGeom>
                    <a:noFill/>
                    <a:ln w="3175">
                      <a:solidFill>
                        <a:schemeClr val="tx1"/>
                      </a:solidFill>
                      <a:miter lim="800000"/>
                      <a:headEnd/>
                      <a:tailEnd/>
                    </a:ln>
                  </pic:spPr>
                </pic:pic>
              </a:graphicData>
            </a:graphic>
          </wp:inline>
        </w:drawing>
      </w:r>
    </w:p>
    <w:p w:rsidR="009E2433" w:rsidRDefault="009E2433" w:rsidP="000C48A7">
      <w:pPr>
        <w:pStyle w:val="Caption"/>
        <w:spacing w:before="80" w:after="80"/>
        <w:ind w:left="1530" w:right="1440"/>
        <w:jc w:val="left"/>
      </w:pPr>
      <w:bookmarkStart w:id="689" w:name="_Ref229906935"/>
      <w:bookmarkStart w:id="690" w:name="_Toc239157194"/>
      <w:bookmarkStart w:id="691" w:name="_Toc271552386"/>
      <w:r>
        <w:t xml:space="preserve">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6</w:t>
      </w:r>
      <w:r w:rsidR="00832C7A">
        <w:fldChar w:fldCharType="end"/>
      </w:r>
      <w:bookmarkEnd w:id="689"/>
      <w:r w:rsidR="004001CC" w:rsidRPr="00D93A06">
        <w:t>: Proposed New England renewable resources in the</w:t>
      </w:r>
      <w:r w:rsidR="005C75B7">
        <w:t xml:space="preserve"> </w:t>
      </w:r>
      <w:r w:rsidR="004001CC" w:rsidRPr="00D93A06">
        <w:t>ISO</w:t>
      </w:r>
      <w:r w:rsidR="005C75B7">
        <w:t xml:space="preserve"> </w:t>
      </w:r>
      <w:r w:rsidR="004001CC" w:rsidRPr="00D93A06">
        <w:t>Generator</w:t>
      </w:r>
      <w:r w:rsidR="005C75B7">
        <w:t xml:space="preserve"> </w:t>
      </w:r>
      <w:r w:rsidR="004001CC" w:rsidRPr="00D93A06">
        <w:t>Interconnection Queue as of April 1, 2010</w:t>
      </w:r>
      <w:r w:rsidR="00867D31">
        <w:t xml:space="preserve"> (</w:t>
      </w:r>
      <w:r w:rsidR="004001CC" w:rsidRPr="00D93A06">
        <w:t>MW and </w:t>
      </w:r>
      <w:r w:rsidR="00B6045B">
        <w:t>%</w:t>
      </w:r>
      <w:r w:rsidR="00867D31">
        <w:t>)</w:t>
      </w:r>
      <w:r w:rsidR="004001CC" w:rsidRPr="00D93A06">
        <w:t>.</w:t>
      </w:r>
      <w:bookmarkEnd w:id="690"/>
      <w:bookmarkEnd w:id="691"/>
    </w:p>
    <w:p w:rsidR="001B3090" w:rsidRDefault="0087506B" w:rsidP="00172829">
      <w:pPr>
        <w:tabs>
          <w:tab w:val="left" w:pos="7830"/>
          <w:tab w:val="left" w:pos="8010"/>
        </w:tabs>
        <w:spacing w:line="240" w:lineRule="auto"/>
        <w:ind w:left="1526" w:right="1440"/>
        <w:rPr>
          <w:rFonts w:ascii="Arial" w:hAnsi="Arial" w:cs="Arial"/>
          <w:sz w:val="16"/>
          <w:szCs w:val="16"/>
        </w:rPr>
      </w:pPr>
      <w:r w:rsidRPr="0087506B">
        <w:rPr>
          <w:rFonts w:ascii="Arial" w:hAnsi="Arial" w:cs="Arial"/>
          <w:b/>
          <w:sz w:val="16"/>
          <w:szCs w:val="16"/>
        </w:rPr>
        <w:t>Note:</w:t>
      </w:r>
      <w:r w:rsidRPr="0087506B">
        <w:rPr>
          <w:rFonts w:ascii="Arial" w:hAnsi="Arial" w:cs="Arial"/>
          <w:sz w:val="16"/>
          <w:szCs w:val="16"/>
        </w:rPr>
        <w:t xml:space="preserve"> </w:t>
      </w:r>
      <w:r w:rsidRPr="00867D31">
        <w:rPr>
          <w:rFonts w:ascii="Arial" w:hAnsi="Arial" w:cs="Arial"/>
          <w:sz w:val="16"/>
          <w:szCs w:val="16"/>
        </w:rPr>
        <w:t>Totals include all queue wind projects in New England. The total amount of renewable resources is 3,</w:t>
      </w:r>
      <w:r w:rsidR="00867D31" w:rsidRPr="00867D31">
        <w:rPr>
          <w:rFonts w:ascii="Arial" w:hAnsi="Arial" w:cs="Arial"/>
          <w:sz w:val="16"/>
          <w:szCs w:val="16"/>
        </w:rPr>
        <w:t>515</w:t>
      </w:r>
      <w:r w:rsidR="00867D31">
        <w:rPr>
          <w:rFonts w:ascii="Arial" w:hAnsi="Arial" w:cs="Arial"/>
          <w:sz w:val="16"/>
          <w:szCs w:val="16"/>
        </w:rPr>
        <w:t> </w:t>
      </w:r>
      <w:r w:rsidRPr="00867D31">
        <w:rPr>
          <w:rFonts w:ascii="Arial" w:hAnsi="Arial" w:cs="Arial"/>
          <w:sz w:val="16"/>
          <w:szCs w:val="16"/>
        </w:rPr>
        <w:t>MW.</w:t>
      </w:r>
    </w:p>
    <w:p w:rsidR="008C39A4" w:rsidRDefault="004001CC" w:rsidP="00172829">
      <w:r w:rsidRPr="00892882">
        <w:t>To provide an estimate of the regional outlook for meeting the new incremental growth in the RPS Class </w:t>
      </w:r>
      <w:r w:rsidR="0060183E">
        <w:t>I</w:t>
      </w:r>
      <w:r w:rsidRPr="00892882">
        <w:t xml:space="preserve"> targets by 2020 with just resources in the ISO queue, </w:t>
      </w:r>
      <w:fldSimple w:instr=" REF _Ref229907059 \h  \* MERGEFORMAT ">
        <w:r w:rsidR="00E5699E" w:rsidRPr="00E17A73">
          <w:t>Table </w:t>
        </w:r>
        <w:r w:rsidR="00E5699E">
          <w:t>8</w:t>
        </w:r>
        <w:r w:rsidR="00E5699E">
          <w:noBreakHyphen/>
          <w:t>19</w:t>
        </w:r>
      </w:fldSimple>
      <w:r w:rsidRPr="00892882">
        <w:t xml:space="preserve"> develops an estimate of total electric energy production from a </w:t>
      </w:r>
      <w:r w:rsidRPr="0085621C">
        <w:t xml:space="preserve">total </w:t>
      </w:r>
      <w:r w:rsidRPr="00D3526C">
        <w:t xml:space="preserve">of </w:t>
      </w:r>
      <w:r w:rsidR="00F40783">
        <w:t>52</w:t>
      </w:r>
      <w:r w:rsidRPr="00D3526C">
        <w:t xml:space="preserve"> renewable energy projects in the queue</w:t>
      </w:r>
      <w:r w:rsidRPr="0085621C">
        <w:t xml:space="preserve"> (as</w:t>
      </w:r>
      <w:r w:rsidRPr="00892882">
        <w:t xml:space="preserve"> of April 1, 2010). These projects are assumed to become qualified to meet the total of the states’ new RPS targets (line 8 of </w:t>
      </w:r>
      <w:fldSimple w:instr=" REF _Ref229906964 \h  \* MERGEFORMAT ">
        <w:r w:rsidR="00E5699E">
          <w:t xml:space="preserve">Table </w:t>
        </w:r>
        <w:r w:rsidR="00E5699E">
          <w:rPr>
            <w:noProof/>
          </w:rPr>
          <w:t>8</w:t>
        </w:r>
        <w:r w:rsidR="00E5699E">
          <w:rPr>
            <w:noProof/>
          </w:rPr>
          <w:noBreakHyphen/>
          <w:t>18</w:t>
        </w:r>
      </w:fldSimple>
      <w:r w:rsidRPr="00892882">
        <w:t xml:space="preserve">). The table shows estimates of the electricity that the proposed renewable projects in the queue might provide annually. These estimates are based on an assumed capacity factor for each type of renewable resource. The estimates also assume all the projects would be built as proposed and the New England states would certify them as RPS projects so </w:t>
      </w:r>
      <w:r w:rsidR="0060183E">
        <w:t xml:space="preserve">that </w:t>
      </w:r>
      <w:r w:rsidRPr="00892882">
        <w:t>they can count as RECs toward compliance with the RPS.</w:t>
      </w:r>
      <w:r w:rsidRPr="00892882">
        <w:rPr>
          <w:vertAlign w:val="superscript"/>
        </w:rPr>
        <w:footnoteReference w:id="248"/>
      </w:r>
      <w:bookmarkStart w:id="692" w:name="_Toc176244951"/>
      <w:bookmarkStart w:id="693" w:name="_Toc200169063"/>
      <w:bookmarkStart w:id="694" w:name="_Ref173478061"/>
      <w:bookmarkStart w:id="695" w:name="_Ref200379673"/>
      <w:bookmarkStart w:id="696" w:name="_Toc200440166"/>
      <w:r w:rsidR="0076739E">
        <w:rPr>
          <w:vertAlign w:val="superscript"/>
        </w:rPr>
        <w:t xml:space="preserve"> </w:t>
      </w:r>
      <w:fldSimple w:instr=" REF _Ref230686336 \h  \* MERGEFORMAT ">
        <w:r w:rsidR="00E5699E" w:rsidRPr="00540DE0">
          <w:t>Figure </w:t>
        </w:r>
        <w:r w:rsidR="00E5699E">
          <w:t>8</w:t>
        </w:r>
        <w:r w:rsidR="00E5699E">
          <w:noBreakHyphen/>
          <w:t>7</w:t>
        </w:r>
      </w:fldSimple>
      <w:r w:rsidRPr="00892882">
        <w:t xml:space="preserve"> also shows the projected energy from these resources similar to </w:t>
      </w:r>
      <w:fldSimple w:instr=" REF _Ref229907059  \* MERGEFORMAT ">
        <w:r w:rsidR="00E5699E" w:rsidRPr="00E17A73">
          <w:t>Table </w:t>
        </w:r>
        <w:r w:rsidR="00E5699E">
          <w:t>8</w:t>
        </w:r>
        <w:r w:rsidR="00E5699E">
          <w:noBreakHyphen/>
          <w:t>19</w:t>
        </w:r>
      </w:fldSimple>
      <w:r w:rsidRPr="00892882">
        <w:t>.</w:t>
      </w:r>
    </w:p>
    <w:p w:rsidR="004001CC" w:rsidRDefault="004001CC" w:rsidP="002258D1">
      <w:pPr>
        <w:pStyle w:val="Caption"/>
      </w:pPr>
      <w:bookmarkStart w:id="697" w:name="_Ref229907059"/>
      <w:bookmarkStart w:id="698" w:name="_Toc207531989"/>
      <w:bookmarkStart w:id="699" w:name="_Toc239157240"/>
      <w:bookmarkStart w:id="700" w:name="_Toc271552439"/>
      <w:r w:rsidRPr="00E17A73">
        <w:t>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19</w:t>
      </w:r>
      <w:r w:rsidR="00832C7A">
        <w:fldChar w:fldCharType="end"/>
      </w:r>
      <w:bookmarkEnd w:id="697"/>
      <w:r w:rsidRPr="00E17A73">
        <w:br/>
        <w:t>Estimated Energy from New England Renewable Energy Projects</w:t>
      </w:r>
      <w:r w:rsidRPr="00E17A73">
        <w:br/>
        <w:t xml:space="preserve">in the </w:t>
      </w:r>
      <w:r w:rsidRPr="0085621C">
        <w:t>ISO </w:t>
      </w:r>
      <w:r w:rsidRPr="00D3526C">
        <w:t>Queue</w:t>
      </w:r>
      <w:r w:rsidRPr="0085621C">
        <w:t> as</w:t>
      </w:r>
      <w:r w:rsidRPr="00E17A73">
        <w:t> of </w:t>
      </w:r>
      <w:r>
        <w:t>April</w:t>
      </w:r>
      <w:r w:rsidRPr="00E17A73">
        <w:t> 1, 20</w:t>
      </w:r>
      <w:r>
        <w:t>1</w:t>
      </w:r>
      <w:r w:rsidRPr="00E17A73">
        <w:t>0</w:t>
      </w:r>
      <w:bookmarkEnd w:id="698"/>
      <w:bookmarkEnd w:id="699"/>
      <w:bookmarkEnd w:id="700"/>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115" w:type="dxa"/>
          <w:right w:w="115" w:type="dxa"/>
        </w:tblCellMar>
        <w:tblLook w:val="04A0"/>
      </w:tblPr>
      <w:tblGrid>
        <w:gridCol w:w="2096"/>
        <w:gridCol w:w="1606"/>
        <w:gridCol w:w="1530"/>
        <w:gridCol w:w="1839"/>
      </w:tblGrid>
      <w:tr w:rsidR="004001CC" w:rsidRPr="005C75B7" w:rsidTr="00B95D34">
        <w:trPr>
          <w:cnfStyle w:val="100000000000"/>
        </w:trPr>
        <w:tc>
          <w:tcPr>
            <w:cnfStyle w:val="001000000100"/>
            <w:tcW w:w="2096" w:type="dxa"/>
            <w:shd w:val="clear" w:color="auto" w:fill="FBCE76" w:themeFill="background2" w:themeFillTint="99"/>
            <w:tcMar>
              <w:top w:w="72" w:type="dxa"/>
              <w:bottom w:w="72" w:type="dxa"/>
            </w:tcMar>
          </w:tcPr>
          <w:p w:rsidR="004001CC" w:rsidRPr="005C75B7" w:rsidRDefault="004001CC" w:rsidP="002258D1">
            <w:pPr>
              <w:pStyle w:val="TablefontHeading"/>
              <w:spacing w:before="0" w:after="0" w:line="260" w:lineRule="atLeast"/>
              <w:rPr>
                <w:rFonts w:cs="Arial"/>
                <w:color w:val="000000" w:themeColor="text1"/>
                <w:sz w:val="18"/>
                <w:szCs w:val="18"/>
              </w:rPr>
            </w:pPr>
            <w:r w:rsidRPr="005C75B7">
              <w:rPr>
                <w:rFonts w:cs="Arial"/>
                <w:color w:val="000000" w:themeColor="text1"/>
                <w:sz w:val="18"/>
                <w:szCs w:val="18"/>
              </w:rPr>
              <w:t>Type (#) of Projects</w:t>
            </w:r>
          </w:p>
        </w:tc>
        <w:tc>
          <w:tcPr>
            <w:tcW w:w="1606" w:type="dxa"/>
            <w:shd w:val="clear" w:color="auto" w:fill="FBCE76" w:themeFill="background2" w:themeFillTint="99"/>
            <w:tcMar>
              <w:top w:w="72" w:type="dxa"/>
              <w:bottom w:w="72" w:type="dxa"/>
            </w:tcMar>
          </w:tcPr>
          <w:p w:rsidR="004001CC" w:rsidRPr="005C75B7" w:rsidRDefault="004001CC" w:rsidP="0011226E">
            <w:pPr>
              <w:pStyle w:val="TablefontHeading"/>
              <w:spacing w:before="0" w:after="0" w:line="260" w:lineRule="atLeast"/>
              <w:cnfStyle w:val="100000000000"/>
              <w:rPr>
                <w:rFonts w:cs="Arial"/>
                <w:color w:val="000000" w:themeColor="text1"/>
                <w:sz w:val="18"/>
                <w:szCs w:val="18"/>
              </w:rPr>
            </w:pPr>
            <w:r w:rsidRPr="005C75B7">
              <w:rPr>
                <w:rFonts w:cs="Arial"/>
                <w:color w:val="000000" w:themeColor="text1"/>
                <w:sz w:val="18"/>
                <w:szCs w:val="18"/>
              </w:rPr>
              <w:t>Nameplate Capacity (MW)</w:t>
            </w:r>
            <w:r w:rsidR="0011226E" w:rsidRPr="00821C68">
              <w:rPr>
                <w:rFonts w:cs="Arial"/>
                <w:color w:val="000000" w:themeColor="text1"/>
                <w:sz w:val="18"/>
                <w:szCs w:val="18"/>
                <w:vertAlign w:val="superscript"/>
              </w:rPr>
              <w:t>(a)</w:t>
            </w:r>
          </w:p>
        </w:tc>
        <w:tc>
          <w:tcPr>
            <w:tcW w:w="1530" w:type="dxa"/>
            <w:shd w:val="clear" w:color="auto" w:fill="FBCE76" w:themeFill="background2" w:themeFillTint="99"/>
            <w:tcMar>
              <w:top w:w="72" w:type="dxa"/>
              <w:bottom w:w="72" w:type="dxa"/>
            </w:tcMar>
          </w:tcPr>
          <w:p w:rsidR="004001CC" w:rsidRPr="005C75B7" w:rsidRDefault="004001CC" w:rsidP="0011226E">
            <w:pPr>
              <w:pStyle w:val="TablefontHeading"/>
              <w:spacing w:before="0" w:after="0" w:line="260" w:lineRule="atLeast"/>
              <w:cnfStyle w:val="100000000000"/>
              <w:rPr>
                <w:rFonts w:cs="Arial"/>
                <w:color w:val="000000" w:themeColor="text1"/>
                <w:sz w:val="18"/>
                <w:szCs w:val="18"/>
              </w:rPr>
            </w:pPr>
            <w:r w:rsidRPr="005C75B7">
              <w:rPr>
                <w:rFonts w:cs="Arial"/>
                <w:color w:val="000000" w:themeColor="text1"/>
                <w:sz w:val="18"/>
                <w:szCs w:val="18"/>
              </w:rPr>
              <w:t>Assumed Capacity Factor (%)</w:t>
            </w:r>
            <w:r w:rsidR="0011226E" w:rsidRPr="005C75B7">
              <w:rPr>
                <w:rFonts w:cs="Arial"/>
                <w:color w:val="000000" w:themeColor="text1"/>
                <w:sz w:val="18"/>
                <w:szCs w:val="18"/>
                <w:vertAlign w:val="superscript"/>
              </w:rPr>
              <w:t>(</w:t>
            </w:r>
            <w:r w:rsidR="0011226E">
              <w:rPr>
                <w:rFonts w:cs="Arial"/>
                <w:color w:val="000000" w:themeColor="text1"/>
                <w:sz w:val="18"/>
                <w:szCs w:val="18"/>
                <w:vertAlign w:val="superscript"/>
              </w:rPr>
              <w:t>b</w:t>
            </w:r>
            <w:r w:rsidR="0011226E" w:rsidRPr="005C75B7">
              <w:rPr>
                <w:rFonts w:cs="Arial"/>
                <w:color w:val="000000" w:themeColor="text1"/>
                <w:sz w:val="18"/>
                <w:szCs w:val="18"/>
                <w:vertAlign w:val="superscript"/>
              </w:rPr>
              <w:t>)</w:t>
            </w:r>
          </w:p>
        </w:tc>
        <w:tc>
          <w:tcPr>
            <w:tcW w:w="1839" w:type="dxa"/>
            <w:shd w:val="clear" w:color="auto" w:fill="FBCE76" w:themeFill="background2" w:themeFillTint="99"/>
            <w:tcMar>
              <w:top w:w="72" w:type="dxa"/>
              <w:bottom w:w="72" w:type="dxa"/>
            </w:tcMar>
          </w:tcPr>
          <w:p w:rsidR="004001CC" w:rsidRPr="005C75B7" w:rsidRDefault="004001CC" w:rsidP="002258D1">
            <w:pPr>
              <w:pStyle w:val="TablefontHeading"/>
              <w:spacing w:before="0" w:after="0" w:line="260" w:lineRule="atLeast"/>
              <w:cnfStyle w:val="100000000000"/>
              <w:rPr>
                <w:rFonts w:cs="Arial"/>
                <w:color w:val="000000" w:themeColor="text1"/>
                <w:sz w:val="18"/>
                <w:szCs w:val="18"/>
              </w:rPr>
            </w:pPr>
            <w:r w:rsidRPr="005C75B7">
              <w:rPr>
                <w:rFonts w:cs="Arial"/>
                <w:color w:val="000000" w:themeColor="text1"/>
                <w:sz w:val="18"/>
                <w:szCs w:val="18"/>
              </w:rPr>
              <w:t>Estimated Annual Electricity Production</w:t>
            </w:r>
            <w:r w:rsidRPr="005C75B7">
              <w:rPr>
                <w:rFonts w:cs="Arial"/>
                <w:color w:val="000000" w:themeColor="text1"/>
                <w:sz w:val="18"/>
                <w:szCs w:val="18"/>
              </w:rPr>
              <w:br/>
              <w:t>(GWh)</w:t>
            </w:r>
          </w:p>
        </w:tc>
      </w:tr>
      <w:tr w:rsidR="004001CC" w:rsidRPr="007B237F" w:rsidTr="00F767C6">
        <w:trPr>
          <w:cnfStyle w:val="000000100000"/>
        </w:trPr>
        <w:tc>
          <w:tcPr>
            <w:cnfStyle w:val="001000000000"/>
            <w:tcW w:w="2096" w:type="dxa"/>
            <w:tcMar>
              <w:top w:w="72" w:type="dxa"/>
              <w:bottom w:w="72" w:type="dxa"/>
            </w:tcMar>
          </w:tcPr>
          <w:p w:rsidR="009E2433" w:rsidRDefault="004001CC">
            <w:pPr>
              <w:keepNext/>
              <w:keepLines/>
              <w:spacing w:after="0"/>
              <w:rPr>
                <w:rFonts w:ascii="Arial" w:hAnsi="Arial" w:cs="Arial"/>
                <w:b w:val="0"/>
                <w:bCs w:val="0"/>
                <w:sz w:val="18"/>
                <w:szCs w:val="18"/>
              </w:rPr>
            </w:pPr>
            <w:r w:rsidRPr="007B237F">
              <w:rPr>
                <w:rFonts w:ascii="Arial" w:hAnsi="Arial" w:cs="Arial"/>
                <w:sz w:val="18"/>
                <w:szCs w:val="18"/>
              </w:rPr>
              <w:t>Hydro (</w:t>
            </w:r>
            <w:r w:rsidR="00F40783">
              <w:rPr>
                <w:rFonts w:ascii="Arial" w:hAnsi="Arial" w:cs="Arial"/>
                <w:sz w:val="18"/>
                <w:szCs w:val="18"/>
              </w:rPr>
              <w:t>6</w:t>
            </w:r>
            <w:r w:rsidRPr="007B237F">
              <w:rPr>
                <w:rFonts w:ascii="Arial" w:hAnsi="Arial" w:cs="Arial"/>
                <w:sz w:val="18"/>
                <w:szCs w:val="18"/>
              </w:rPr>
              <w:t>)</w:t>
            </w:r>
          </w:p>
        </w:tc>
        <w:tc>
          <w:tcPr>
            <w:tcW w:w="1606" w:type="dxa"/>
            <w:tcMar>
              <w:top w:w="72" w:type="dxa"/>
              <w:left w:w="0"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38</w:t>
            </w:r>
          </w:p>
        </w:tc>
        <w:tc>
          <w:tcPr>
            <w:tcW w:w="1530" w:type="dxa"/>
            <w:tcMar>
              <w:top w:w="72" w:type="dxa"/>
              <w:left w:w="0"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25</w:t>
            </w:r>
          </w:p>
        </w:tc>
        <w:tc>
          <w:tcPr>
            <w:tcW w:w="1839" w:type="dxa"/>
            <w:tcMar>
              <w:top w:w="72"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83</w:t>
            </w:r>
          </w:p>
        </w:tc>
      </w:tr>
      <w:tr w:rsidR="004001CC" w:rsidRPr="007B237F" w:rsidTr="00F767C6">
        <w:trPr>
          <w:cnfStyle w:val="000000010000"/>
        </w:trPr>
        <w:tc>
          <w:tcPr>
            <w:cnfStyle w:val="001000000000"/>
            <w:tcW w:w="2096" w:type="dxa"/>
            <w:shd w:val="clear" w:color="auto" w:fill="FDEED1" w:themeFill="background2" w:themeFillTint="33"/>
            <w:tcMar>
              <w:top w:w="72" w:type="dxa"/>
              <w:bottom w:w="72" w:type="dxa"/>
            </w:tcMar>
          </w:tcPr>
          <w:p w:rsidR="009E2433" w:rsidRDefault="004001CC">
            <w:pPr>
              <w:keepNext/>
              <w:keepLines/>
              <w:spacing w:after="0"/>
              <w:rPr>
                <w:rFonts w:ascii="Arial" w:hAnsi="Arial" w:cs="Arial"/>
                <w:b w:val="0"/>
                <w:bCs w:val="0"/>
                <w:sz w:val="18"/>
                <w:szCs w:val="18"/>
              </w:rPr>
            </w:pPr>
            <w:r w:rsidRPr="007B237F">
              <w:rPr>
                <w:rFonts w:ascii="Arial" w:hAnsi="Arial" w:cs="Arial"/>
                <w:sz w:val="18"/>
                <w:szCs w:val="18"/>
              </w:rPr>
              <w:t>Landfill gas (</w:t>
            </w:r>
            <w:r w:rsidR="00F40783">
              <w:rPr>
                <w:rFonts w:ascii="Arial" w:hAnsi="Arial" w:cs="Arial"/>
                <w:sz w:val="18"/>
                <w:szCs w:val="18"/>
              </w:rPr>
              <w:t>2</w:t>
            </w:r>
            <w:r w:rsidRPr="007B237F">
              <w:rPr>
                <w:rFonts w:ascii="Arial" w:hAnsi="Arial" w:cs="Arial"/>
                <w:sz w:val="18"/>
                <w:szCs w:val="18"/>
              </w:rPr>
              <w:t>)</w:t>
            </w:r>
          </w:p>
        </w:tc>
        <w:tc>
          <w:tcPr>
            <w:tcW w:w="1606" w:type="dxa"/>
            <w:shd w:val="clear" w:color="auto" w:fill="FDEED1" w:themeFill="background2" w:themeFillTint="33"/>
            <w:tcMar>
              <w:top w:w="72" w:type="dxa"/>
              <w:left w:w="0"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36</w:t>
            </w:r>
          </w:p>
        </w:tc>
        <w:tc>
          <w:tcPr>
            <w:tcW w:w="1530" w:type="dxa"/>
            <w:shd w:val="clear" w:color="auto" w:fill="FDEED1" w:themeFill="background2" w:themeFillTint="33"/>
            <w:tcMar>
              <w:top w:w="72" w:type="dxa"/>
              <w:left w:w="0"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90</w:t>
            </w:r>
          </w:p>
        </w:tc>
        <w:tc>
          <w:tcPr>
            <w:tcW w:w="1839" w:type="dxa"/>
            <w:shd w:val="clear" w:color="auto" w:fill="FDEED1" w:themeFill="background2" w:themeFillTint="33"/>
            <w:tcMar>
              <w:top w:w="72" w:type="dxa"/>
              <w:bottom w:w="72" w:type="dxa"/>
              <w:right w:w="360" w:type="dxa"/>
            </w:tcMar>
          </w:tcPr>
          <w:p w:rsidR="009E2433" w:rsidRDefault="004001CC">
            <w:pPr>
              <w:keepNext/>
              <w:keepLines/>
              <w:spacing w:after="0"/>
              <w:jc w:val="right"/>
              <w:cnfStyle w:val="000000010000"/>
              <w:rPr>
                <w:rFonts w:ascii="Arial" w:hAnsi="Arial" w:cs="Arial"/>
                <w:sz w:val="18"/>
                <w:szCs w:val="18"/>
              </w:rPr>
            </w:pPr>
            <w:r w:rsidRPr="007B237F">
              <w:rPr>
                <w:rFonts w:ascii="Arial" w:hAnsi="Arial" w:cs="Arial"/>
                <w:sz w:val="18"/>
                <w:szCs w:val="18"/>
              </w:rPr>
              <w:t>28</w:t>
            </w:r>
            <w:r w:rsidR="00F40783">
              <w:rPr>
                <w:rFonts w:ascii="Arial" w:hAnsi="Arial" w:cs="Arial"/>
                <w:sz w:val="18"/>
                <w:szCs w:val="18"/>
              </w:rPr>
              <w:t>4</w:t>
            </w:r>
          </w:p>
        </w:tc>
      </w:tr>
      <w:tr w:rsidR="004001CC" w:rsidRPr="007B237F" w:rsidTr="00F767C6">
        <w:trPr>
          <w:cnfStyle w:val="000000100000"/>
        </w:trPr>
        <w:tc>
          <w:tcPr>
            <w:cnfStyle w:val="001000000000"/>
            <w:tcW w:w="2096" w:type="dxa"/>
            <w:tcMar>
              <w:top w:w="72" w:type="dxa"/>
              <w:bottom w:w="72" w:type="dxa"/>
            </w:tcMar>
          </w:tcPr>
          <w:p w:rsidR="004001CC" w:rsidRPr="007B237F" w:rsidRDefault="004001CC" w:rsidP="002258D1">
            <w:pPr>
              <w:keepNext/>
              <w:keepLines/>
              <w:spacing w:after="0"/>
              <w:rPr>
                <w:rFonts w:ascii="Arial" w:hAnsi="Arial" w:cs="Arial"/>
                <w:b w:val="0"/>
                <w:bCs w:val="0"/>
                <w:sz w:val="18"/>
                <w:szCs w:val="18"/>
              </w:rPr>
            </w:pPr>
            <w:r w:rsidRPr="007B237F">
              <w:rPr>
                <w:rFonts w:ascii="Arial" w:hAnsi="Arial" w:cs="Arial"/>
                <w:sz w:val="18"/>
                <w:szCs w:val="18"/>
              </w:rPr>
              <w:t>Biomass (11)</w:t>
            </w:r>
          </w:p>
        </w:tc>
        <w:tc>
          <w:tcPr>
            <w:tcW w:w="1606" w:type="dxa"/>
            <w:tcMar>
              <w:top w:w="72" w:type="dxa"/>
              <w:left w:w="0" w:type="dxa"/>
              <w:bottom w:w="72" w:type="dxa"/>
              <w:right w:w="360" w:type="dxa"/>
            </w:tcMar>
          </w:tcPr>
          <w:p w:rsidR="009E2433" w:rsidRDefault="004001CC">
            <w:pPr>
              <w:keepNext/>
              <w:keepLines/>
              <w:spacing w:after="0"/>
              <w:jc w:val="right"/>
              <w:cnfStyle w:val="000000100000"/>
              <w:rPr>
                <w:rFonts w:ascii="Arial" w:hAnsi="Arial" w:cs="Arial"/>
                <w:sz w:val="18"/>
                <w:szCs w:val="18"/>
              </w:rPr>
            </w:pPr>
            <w:r w:rsidRPr="007B237F">
              <w:rPr>
                <w:rFonts w:ascii="Arial" w:hAnsi="Arial" w:cs="Arial"/>
                <w:sz w:val="18"/>
                <w:szCs w:val="18"/>
              </w:rPr>
              <w:t>3</w:t>
            </w:r>
            <w:r w:rsidR="00F40783">
              <w:rPr>
                <w:rFonts w:ascii="Arial" w:hAnsi="Arial" w:cs="Arial"/>
                <w:sz w:val="18"/>
                <w:szCs w:val="18"/>
              </w:rPr>
              <w:t>80</w:t>
            </w:r>
          </w:p>
        </w:tc>
        <w:tc>
          <w:tcPr>
            <w:tcW w:w="1530" w:type="dxa"/>
            <w:tcMar>
              <w:top w:w="72" w:type="dxa"/>
              <w:left w:w="0"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90</w:t>
            </w:r>
          </w:p>
        </w:tc>
        <w:tc>
          <w:tcPr>
            <w:tcW w:w="1839" w:type="dxa"/>
            <w:tcMar>
              <w:top w:w="72" w:type="dxa"/>
              <w:bottom w:w="72" w:type="dxa"/>
              <w:right w:w="360" w:type="dxa"/>
            </w:tcMar>
          </w:tcPr>
          <w:p w:rsidR="009E2433" w:rsidRDefault="004001CC">
            <w:pPr>
              <w:keepNext/>
              <w:keepLines/>
              <w:spacing w:after="0"/>
              <w:jc w:val="right"/>
              <w:cnfStyle w:val="000000100000"/>
              <w:rPr>
                <w:rFonts w:ascii="Arial" w:hAnsi="Arial" w:cs="Arial"/>
                <w:sz w:val="18"/>
                <w:szCs w:val="18"/>
              </w:rPr>
            </w:pPr>
            <w:r w:rsidRPr="007B237F">
              <w:rPr>
                <w:rFonts w:ascii="Arial" w:hAnsi="Arial" w:cs="Arial"/>
                <w:sz w:val="18"/>
                <w:szCs w:val="18"/>
              </w:rPr>
              <w:t>2,9</w:t>
            </w:r>
            <w:r w:rsidR="00F40783">
              <w:rPr>
                <w:rFonts w:ascii="Arial" w:hAnsi="Arial" w:cs="Arial"/>
                <w:sz w:val="18"/>
                <w:szCs w:val="18"/>
              </w:rPr>
              <w:t>96</w:t>
            </w:r>
          </w:p>
        </w:tc>
      </w:tr>
      <w:tr w:rsidR="004001CC" w:rsidRPr="007B237F" w:rsidTr="00F767C6">
        <w:trPr>
          <w:cnfStyle w:val="000000010000"/>
        </w:trPr>
        <w:tc>
          <w:tcPr>
            <w:cnfStyle w:val="001000000000"/>
            <w:tcW w:w="2096" w:type="dxa"/>
            <w:shd w:val="clear" w:color="auto" w:fill="FDEED1" w:themeFill="background2" w:themeFillTint="33"/>
            <w:tcMar>
              <w:top w:w="72" w:type="dxa"/>
              <w:bottom w:w="72" w:type="dxa"/>
            </w:tcMar>
          </w:tcPr>
          <w:p w:rsidR="009E2433" w:rsidRDefault="004001CC">
            <w:pPr>
              <w:keepNext/>
              <w:keepLines/>
              <w:spacing w:after="0"/>
              <w:rPr>
                <w:rFonts w:ascii="Arial" w:hAnsi="Arial" w:cs="Arial"/>
                <w:b w:val="0"/>
                <w:bCs w:val="0"/>
                <w:sz w:val="18"/>
                <w:szCs w:val="18"/>
              </w:rPr>
            </w:pPr>
            <w:r w:rsidRPr="007B237F">
              <w:rPr>
                <w:rFonts w:ascii="Arial" w:hAnsi="Arial" w:cs="Arial"/>
                <w:sz w:val="18"/>
                <w:szCs w:val="18"/>
              </w:rPr>
              <w:t>Wind onshore (</w:t>
            </w:r>
            <w:r w:rsidR="00F40783">
              <w:rPr>
                <w:rFonts w:ascii="Arial" w:hAnsi="Arial" w:cs="Arial"/>
                <w:sz w:val="18"/>
                <w:szCs w:val="18"/>
              </w:rPr>
              <w:t>29</w:t>
            </w:r>
            <w:r w:rsidRPr="007B237F">
              <w:rPr>
                <w:rFonts w:ascii="Arial" w:hAnsi="Arial" w:cs="Arial"/>
                <w:sz w:val="18"/>
                <w:szCs w:val="18"/>
              </w:rPr>
              <w:t>)</w:t>
            </w:r>
            <w:r w:rsidRPr="007B237F">
              <w:rPr>
                <w:rFonts w:ascii="Arial" w:hAnsi="Arial" w:cs="Arial"/>
                <w:sz w:val="18"/>
                <w:szCs w:val="18"/>
                <w:vertAlign w:val="superscript"/>
              </w:rPr>
              <w:t>(</w:t>
            </w:r>
            <w:r w:rsidR="00D45D71">
              <w:rPr>
                <w:rFonts w:ascii="Arial" w:hAnsi="Arial" w:cs="Arial"/>
                <w:sz w:val="18"/>
                <w:szCs w:val="18"/>
                <w:vertAlign w:val="superscript"/>
              </w:rPr>
              <w:t>c</w:t>
            </w:r>
            <w:r w:rsidRPr="007B237F">
              <w:rPr>
                <w:rFonts w:ascii="Arial" w:hAnsi="Arial" w:cs="Arial"/>
                <w:sz w:val="18"/>
                <w:szCs w:val="18"/>
                <w:vertAlign w:val="superscript"/>
              </w:rPr>
              <w:t>)</w:t>
            </w:r>
          </w:p>
        </w:tc>
        <w:tc>
          <w:tcPr>
            <w:tcW w:w="1606" w:type="dxa"/>
            <w:shd w:val="clear" w:color="auto" w:fill="FDEED1" w:themeFill="background2" w:themeFillTint="33"/>
            <w:tcMar>
              <w:top w:w="72" w:type="dxa"/>
              <w:left w:w="0" w:type="dxa"/>
              <w:bottom w:w="72" w:type="dxa"/>
              <w:right w:w="360" w:type="dxa"/>
            </w:tcMar>
          </w:tcPr>
          <w:p w:rsidR="009E2433" w:rsidRDefault="004001CC">
            <w:pPr>
              <w:keepNext/>
              <w:keepLines/>
              <w:spacing w:after="0"/>
              <w:jc w:val="right"/>
              <w:cnfStyle w:val="000000010000"/>
              <w:rPr>
                <w:rFonts w:ascii="Arial" w:hAnsi="Arial" w:cs="Arial"/>
                <w:sz w:val="18"/>
                <w:szCs w:val="18"/>
              </w:rPr>
            </w:pPr>
            <w:r w:rsidRPr="007B237F">
              <w:rPr>
                <w:rFonts w:ascii="Arial" w:hAnsi="Arial" w:cs="Arial"/>
                <w:sz w:val="18"/>
                <w:szCs w:val="18"/>
              </w:rPr>
              <w:t>2,0</w:t>
            </w:r>
            <w:r w:rsidR="00F40783">
              <w:rPr>
                <w:rFonts w:ascii="Arial" w:hAnsi="Arial" w:cs="Arial"/>
                <w:sz w:val="18"/>
                <w:szCs w:val="18"/>
              </w:rPr>
              <w:t>2</w:t>
            </w:r>
            <w:r w:rsidRPr="007B237F">
              <w:rPr>
                <w:rFonts w:ascii="Arial" w:hAnsi="Arial" w:cs="Arial"/>
                <w:sz w:val="18"/>
                <w:szCs w:val="18"/>
              </w:rPr>
              <w:t>5</w:t>
            </w:r>
          </w:p>
        </w:tc>
        <w:tc>
          <w:tcPr>
            <w:tcW w:w="1530" w:type="dxa"/>
            <w:shd w:val="clear" w:color="auto" w:fill="FDEED1" w:themeFill="background2" w:themeFillTint="33"/>
            <w:tcMar>
              <w:top w:w="72" w:type="dxa"/>
              <w:left w:w="0"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32</w:t>
            </w:r>
          </w:p>
        </w:tc>
        <w:tc>
          <w:tcPr>
            <w:tcW w:w="1839" w:type="dxa"/>
            <w:shd w:val="clear" w:color="auto" w:fill="FDEED1" w:themeFill="background2" w:themeFillTint="33"/>
            <w:tcMar>
              <w:top w:w="72" w:type="dxa"/>
              <w:bottom w:w="72" w:type="dxa"/>
              <w:right w:w="360" w:type="dxa"/>
            </w:tcMar>
          </w:tcPr>
          <w:p w:rsidR="009E2433" w:rsidRDefault="004001CC">
            <w:pPr>
              <w:keepNext/>
              <w:keepLines/>
              <w:spacing w:after="0"/>
              <w:jc w:val="right"/>
              <w:cnfStyle w:val="000000010000"/>
              <w:rPr>
                <w:rFonts w:ascii="Arial" w:hAnsi="Arial" w:cs="Arial"/>
                <w:sz w:val="18"/>
                <w:szCs w:val="18"/>
              </w:rPr>
            </w:pPr>
            <w:r w:rsidRPr="007B237F">
              <w:rPr>
                <w:rFonts w:ascii="Arial" w:hAnsi="Arial" w:cs="Arial"/>
                <w:sz w:val="18"/>
                <w:szCs w:val="18"/>
              </w:rPr>
              <w:t>5,</w:t>
            </w:r>
            <w:r w:rsidR="00F40783">
              <w:rPr>
                <w:rFonts w:ascii="Arial" w:hAnsi="Arial" w:cs="Arial"/>
                <w:sz w:val="18"/>
                <w:szCs w:val="18"/>
              </w:rPr>
              <w:t>676</w:t>
            </w:r>
          </w:p>
        </w:tc>
      </w:tr>
      <w:tr w:rsidR="004001CC" w:rsidRPr="007B237F" w:rsidTr="00F767C6">
        <w:trPr>
          <w:cnfStyle w:val="000000100000"/>
        </w:trPr>
        <w:tc>
          <w:tcPr>
            <w:cnfStyle w:val="001000000000"/>
            <w:tcW w:w="2096" w:type="dxa"/>
            <w:tcMar>
              <w:top w:w="72" w:type="dxa"/>
              <w:bottom w:w="72" w:type="dxa"/>
            </w:tcMar>
          </w:tcPr>
          <w:p w:rsidR="004001CC" w:rsidRPr="007B237F" w:rsidRDefault="004001CC" w:rsidP="002258D1">
            <w:pPr>
              <w:keepNext/>
              <w:keepLines/>
              <w:spacing w:after="0"/>
              <w:rPr>
                <w:rFonts w:ascii="Arial" w:hAnsi="Arial" w:cs="Arial"/>
                <w:b w:val="0"/>
                <w:bCs w:val="0"/>
                <w:sz w:val="18"/>
                <w:szCs w:val="18"/>
              </w:rPr>
            </w:pPr>
            <w:r w:rsidRPr="007B237F">
              <w:rPr>
                <w:rFonts w:ascii="Arial" w:hAnsi="Arial" w:cs="Arial"/>
                <w:sz w:val="18"/>
                <w:szCs w:val="18"/>
              </w:rPr>
              <w:t>Wind offshore (3)</w:t>
            </w:r>
          </w:p>
        </w:tc>
        <w:tc>
          <w:tcPr>
            <w:tcW w:w="1606" w:type="dxa"/>
            <w:tcMar>
              <w:top w:w="72" w:type="dxa"/>
              <w:left w:w="0" w:type="dxa"/>
              <w:bottom w:w="72" w:type="dxa"/>
              <w:right w:w="360" w:type="dxa"/>
            </w:tcMar>
          </w:tcPr>
          <w:p w:rsidR="009E2433" w:rsidRDefault="004001CC">
            <w:pPr>
              <w:keepNext/>
              <w:keepLines/>
              <w:spacing w:after="0"/>
              <w:jc w:val="right"/>
              <w:cnfStyle w:val="000000100000"/>
              <w:rPr>
                <w:rFonts w:ascii="Arial" w:hAnsi="Arial" w:cs="Arial"/>
                <w:sz w:val="18"/>
                <w:szCs w:val="18"/>
              </w:rPr>
            </w:pPr>
            <w:r w:rsidRPr="007B237F">
              <w:rPr>
                <w:rFonts w:ascii="Arial" w:hAnsi="Arial" w:cs="Arial"/>
                <w:sz w:val="18"/>
                <w:szCs w:val="18"/>
              </w:rPr>
              <w:t>1,02</w:t>
            </w:r>
            <w:r w:rsidR="00F40783">
              <w:rPr>
                <w:rFonts w:ascii="Arial" w:hAnsi="Arial" w:cs="Arial"/>
                <w:sz w:val="18"/>
                <w:szCs w:val="18"/>
              </w:rPr>
              <w:t>7</w:t>
            </w:r>
          </w:p>
        </w:tc>
        <w:tc>
          <w:tcPr>
            <w:tcW w:w="1530" w:type="dxa"/>
            <w:tcMar>
              <w:top w:w="72" w:type="dxa"/>
              <w:left w:w="0"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37</w:t>
            </w:r>
          </w:p>
        </w:tc>
        <w:tc>
          <w:tcPr>
            <w:tcW w:w="1839" w:type="dxa"/>
            <w:tcMar>
              <w:top w:w="72" w:type="dxa"/>
              <w:bottom w:w="72" w:type="dxa"/>
              <w:right w:w="360" w:type="dxa"/>
            </w:tcMar>
          </w:tcPr>
          <w:p w:rsidR="00E02278" w:rsidRDefault="004001CC" w:rsidP="002258D1">
            <w:pPr>
              <w:keepNext/>
              <w:keepLines/>
              <w:spacing w:after="0"/>
              <w:jc w:val="right"/>
              <w:cnfStyle w:val="000000100000"/>
              <w:rPr>
                <w:rFonts w:ascii="Arial" w:hAnsi="Arial" w:cs="Arial"/>
                <w:sz w:val="18"/>
                <w:szCs w:val="18"/>
              </w:rPr>
            </w:pPr>
            <w:r w:rsidRPr="007B237F">
              <w:rPr>
                <w:rFonts w:ascii="Arial" w:hAnsi="Arial" w:cs="Arial"/>
                <w:sz w:val="18"/>
                <w:szCs w:val="18"/>
              </w:rPr>
              <w:t>3,32</w:t>
            </w:r>
            <w:r w:rsidR="00F40783">
              <w:rPr>
                <w:rFonts w:ascii="Arial" w:hAnsi="Arial" w:cs="Arial"/>
                <w:sz w:val="18"/>
                <w:szCs w:val="18"/>
              </w:rPr>
              <w:t>9</w:t>
            </w:r>
          </w:p>
        </w:tc>
      </w:tr>
      <w:tr w:rsidR="004001CC" w:rsidRPr="007B237F" w:rsidTr="00F767C6">
        <w:trPr>
          <w:cnfStyle w:val="000000010000"/>
        </w:trPr>
        <w:tc>
          <w:tcPr>
            <w:cnfStyle w:val="001000000000"/>
            <w:tcW w:w="2096" w:type="dxa"/>
            <w:shd w:val="clear" w:color="auto" w:fill="FDEED1" w:themeFill="background2" w:themeFillTint="33"/>
            <w:tcMar>
              <w:top w:w="72" w:type="dxa"/>
              <w:bottom w:w="72" w:type="dxa"/>
            </w:tcMar>
          </w:tcPr>
          <w:p w:rsidR="004001CC" w:rsidRPr="007B237F" w:rsidRDefault="004001CC" w:rsidP="00BF49F7">
            <w:pPr>
              <w:keepNext/>
              <w:keepLines/>
              <w:spacing w:after="0"/>
              <w:rPr>
                <w:rFonts w:ascii="Arial" w:hAnsi="Arial" w:cs="Arial"/>
                <w:sz w:val="18"/>
                <w:szCs w:val="18"/>
              </w:rPr>
            </w:pPr>
            <w:r w:rsidRPr="007B237F">
              <w:rPr>
                <w:rFonts w:ascii="Arial" w:hAnsi="Arial" w:cs="Arial"/>
                <w:sz w:val="18"/>
                <w:szCs w:val="18"/>
              </w:rPr>
              <w:t xml:space="preserve">Fuel </w:t>
            </w:r>
            <w:r w:rsidR="00BF49F7">
              <w:rPr>
                <w:rFonts w:ascii="Arial" w:hAnsi="Arial" w:cs="Arial"/>
                <w:sz w:val="18"/>
                <w:szCs w:val="18"/>
              </w:rPr>
              <w:t>c</w:t>
            </w:r>
            <w:r w:rsidRPr="007B237F">
              <w:rPr>
                <w:rFonts w:ascii="Arial" w:hAnsi="Arial" w:cs="Arial"/>
                <w:sz w:val="18"/>
                <w:szCs w:val="18"/>
              </w:rPr>
              <w:t>ells (1)</w:t>
            </w:r>
          </w:p>
        </w:tc>
        <w:tc>
          <w:tcPr>
            <w:tcW w:w="1606" w:type="dxa"/>
            <w:shd w:val="clear" w:color="auto" w:fill="FDEED1" w:themeFill="background2" w:themeFillTint="33"/>
            <w:tcMar>
              <w:top w:w="72" w:type="dxa"/>
              <w:left w:w="0"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9</w:t>
            </w:r>
          </w:p>
        </w:tc>
        <w:tc>
          <w:tcPr>
            <w:tcW w:w="1530" w:type="dxa"/>
            <w:shd w:val="clear" w:color="auto" w:fill="FDEED1" w:themeFill="background2" w:themeFillTint="33"/>
            <w:tcMar>
              <w:top w:w="72" w:type="dxa"/>
              <w:left w:w="0"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95</w:t>
            </w:r>
          </w:p>
        </w:tc>
        <w:tc>
          <w:tcPr>
            <w:tcW w:w="1839" w:type="dxa"/>
            <w:shd w:val="clear" w:color="auto" w:fill="FDEED1" w:themeFill="background2" w:themeFillTint="33"/>
            <w:tcMar>
              <w:top w:w="72" w:type="dxa"/>
              <w:bottom w:w="72" w:type="dxa"/>
              <w:right w:w="360" w:type="dxa"/>
            </w:tcMar>
          </w:tcPr>
          <w:p w:rsidR="00E02278" w:rsidRDefault="004001CC" w:rsidP="002258D1">
            <w:pPr>
              <w:keepNext/>
              <w:keepLines/>
              <w:spacing w:after="0"/>
              <w:jc w:val="right"/>
              <w:cnfStyle w:val="000000010000"/>
              <w:rPr>
                <w:rFonts w:ascii="Arial" w:hAnsi="Arial" w:cs="Arial"/>
                <w:sz w:val="18"/>
                <w:szCs w:val="18"/>
              </w:rPr>
            </w:pPr>
            <w:r w:rsidRPr="007B237F">
              <w:rPr>
                <w:rFonts w:ascii="Arial" w:hAnsi="Arial" w:cs="Arial"/>
                <w:sz w:val="18"/>
                <w:szCs w:val="18"/>
              </w:rPr>
              <w:t>75</w:t>
            </w:r>
          </w:p>
        </w:tc>
      </w:tr>
      <w:tr w:rsidR="004001CC" w:rsidRPr="005C75B7" w:rsidTr="00F767C6">
        <w:trPr>
          <w:cnfStyle w:val="000000100000"/>
        </w:trPr>
        <w:tc>
          <w:tcPr>
            <w:cnfStyle w:val="001000000000"/>
            <w:tcW w:w="2096" w:type="dxa"/>
            <w:shd w:val="clear" w:color="auto" w:fill="FBCE76" w:themeFill="background2" w:themeFillTint="99"/>
            <w:tcMar>
              <w:top w:w="72" w:type="dxa"/>
              <w:bottom w:w="72" w:type="dxa"/>
            </w:tcMar>
          </w:tcPr>
          <w:p w:rsidR="009E2433" w:rsidRDefault="00580991">
            <w:pPr>
              <w:pStyle w:val="Tablefont"/>
              <w:spacing w:before="0" w:after="0" w:line="260" w:lineRule="atLeast"/>
              <w:rPr>
                <w:rFonts w:cs="Arial"/>
                <w:b w:val="0"/>
                <w:bCs w:val="0"/>
                <w:color w:val="000000" w:themeColor="text1"/>
                <w:sz w:val="18"/>
                <w:szCs w:val="18"/>
              </w:rPr>
            </w:pPr>
            <w:r w:rsidRPr="005C75B7">
              <w:rPr>
                <w:rFonts w:cs="Arial"/>
                <w:color w:val="000000" w:themeColor="text1"/>
                <w:sz w:val="18"/>
                <w:szCs w:val="18"/>
              </w:rPr>
              <w:t>Total (</w:t>
            </w:r>
            <w:r w:rsidR="00F40783">
              <w:rPr>
                <w:rFonts w:cs="Arial"/>
                <w:color w:val="000000" w:themeColor="text1"/>
                <w:sz w:val="18"/>
                <w:szCs w:val="18"/>
              </w:rPr>
              <w:t>52</w:t>
            </w:r>
            <w:r w:rsidRPr="005C75B7">
              <w:rPr>
                <w:rFonts w:cs="Arial"/>
                <w:color w:val="000000" w:themeColor="text1"/>
                <w:sz w:val="18"/>
                <w:szCs w:val="18"/>
              </w:rPr>
              <w:t>)</w:t>
            </w:r>
          </w:p>
        </w:tc>
        <w:tc>
          <w:tcPr>
            <w:tcW w:w="1606" w:type="dxa"/>
            <w:shd w:val="clear" w:color="auto" w:fill="FBCE76" w:themeFill="background2" w:themeFillTint="99"/>
            <w:tcMar>
              <w:top w:w="72" w:type="dxa"/>
              <w:left w:w="0" w:type="dxa"/>
              <w:bottom w:w="72" w:type="dxa"/>
              <w:right w:w="360" w:type="dxa"/>
            </w:tcMar>
          </w:tcPr>
          <w:p w:rsidR="009E2433" w:rsidRDefault="00580991">
            <w:pPr>
              <w:keepNext/>
              <w:keepLines/>
              <w:spacing w:after="0"/>
              <w:jc w:val="right"/>
              <w:cnfStyle w:val="000000100000"/>
              <w:rPr>
                <w:rFonts w:ascii="Arial" w:hAnsi="Arial" w:cs="Arial"/>
                <w:b/>
                <w:color w:val="000000" w:themeColor="text1"/>
                <w:sz w:val="18"/>
                <w:szCs w:val="18"/>
              </w:rPr>
            </w:pPr>
            <w:r w:rsidRPr="005C75B7">
              <w:rPr>
                <w:rFonts w:ascii="Arial" w:hAnsi="Arial" w:cs="Arial"/>
                <w:b/>
                <w:color w:val="000000" w:themeColor="text1"/>
                <w:sz w:val="18"/>
                <w:szCs w:val="18"/>
              </w:rPr>
              <w:t>3,5</w:t>
            </w:r>
            <w:r w:rsidR="00F40783">
              <w:rPr>
                <w:rFonts w:ascii="Arial" w:hAnsi="Arial" w:cs="Arial"/>
                <w:b/>
                <w:color w:val="000000" w:themeColor="text1"/>
                <w:sz w:val="18"/>
                <w:szCs w:val="18"/>
              </w:rPr>
              <w:t>15</w:t>
            </w:r>
          </w:p>
        </w:tc>
        <w:tc>
          <w:tcPr>
            <w:tcW w:w="1530" w:type="dxa"/>
            <w:shd w:val="clear" w:color="auto" w:fill="FBCE76" w:themeFill="background2" w:themeFillTint="99"/>
            <w:tcMar>
              <w:top w:w="72" w:type="dxa"/>
              <w:left w:w="0" w:type="dxa"/>
              <w:bottom w:w="72" w:type="dxa"/>
              <w:right w:w="360" w:type="dxa"/>
            </w:tcMar>
          </w:tcPr>
          <w:p w:rsidR="00E02278" w:rsidRPr="005C75B7" w:rsidRDefault="00580991" w:rsidP="002258D1">
            <w:pPr>
              <w:keepNext/>
              <w:keepLines/>
              <w:spacing w:after="0"/>
              <w:jc w:val="right"/>
              <w:cnfStyle w:val="000000100000"/>
              <w:rPr>
                <w:rFonts w:ascii="Arial" w:hAnsi="Arial" w:cs="Arial"/>
                <w:b/>
                <w:color w:val="000000" w:themeColor="text1"/>
                <w:sz w:val="18"/>
                <w:szCs w:val="18"/>
              </w:rPr>
            </w:pPr>
            <w:r w:rsidRPr="005C75B7">
              <w:rPr>
                <w:rFonts w:ascii="Arial" w:hAnsi="Arial" w:cs="Arial"/>
                <w:b/>
                <w:color w:val="000000" w:themeColor="text1"/>
                <w:sz w:val="18"/>
                <w:szCs w:val="18"/>
              </w:rPr>
              <w:t>40</w:t>
            </w:r>
            <w:r w:rsidRPr="005C75B7">
              <w:rPr>
                <w:rFonts w:ascii="Arial" w:hAnsi="Arial" w:cs="Arial"/>
                <w:b/>
                <w:color w:val="000000" w:themeColor="text1"/>
                <w:sz w:val="18"/>
                <w:szCs w:val="18"/>
                <w:vertAlign w:val="superscript"/>
              </w:rPr>
              <w:t>(</w:t>
            </w:r>
            <w:r w:rsidR="00D45D71">
              <w:rPr>
                <w:rFonts w:ascii="Arial" w:hAnsi="Arial" w:cs="Arial"/>
                <w:b/>
                <w:color w:val="000000" w:themeColor="text1"/>
                <w:sz w:val="18"/>
                <w:szCs w:val="18"/>
                <w:vertAlign w:val="superscript"/>
              </w:rPr>
              <w:t>d</w:t>
            </w:r>
            <w:r w:rsidRPr="005C75B7">
              <w:rPr>
                <w:rFonts w:ascii="Arial" w:hAnsi="Arial" w:cs="Arial"/>
                <w:b/>
                <w:color w:val="000000" w:themeColor="text1"/>
                <w:sz w:val="18"/>
                <w:szCs w:val="18"/>
                <w:vertAlign w:val="superscript"/>
              </w:rPr>
              <w:t>)</w:t>
            </w:r>
          </w:p>
        </w:tc>
        <w:tc>
          <w:tcPr>
            <w:tcW w:w="1839" w:type="dxa"/>
            <w:shd w:val="clear" w:color="auto" w:fill="FBCE76" w:themeFill="background2" w:themeFillTint="99"/>
            <w:tcMar>
              <w:top w:w="72" w:type="dxa"/>
              <w:bottom w:w="72" w:type="dxa"/>
              <w:right w:w="360" w:type="dxa"/>
            </w:tcMar>
          </w:tcPr>
          <w:p w:rsidR="009E2433" w:rsidRDefault="00580991">
            <w:pPr>
              <w:keepNext/>
              <w:keepLines/>
              <w:spacing w:after="0"/>
              <w:jc w:val="right"/>
              <w:cnfStyle w:val="000000100000"/>
              <w:rPr>
                <w:rFonts w:ascii="Arial" w:hAnsi="Arial" w:cs="Arial"/>
                <w:b/>
                <w:color w:val="000000" w:themeColor="text1"/>
                <w:sz w:val="18"/>
                <w:szCs w:val="18"/>
              </w:rPr>
            </w:pPr>
            <w:r w:rsidRPr="005C75B7">
              <w:rPr>
                <w:rFonts w:ascii="Arial" w:hAnsi="Arial" w:cs="Arial"/>
                <w:b/>
                <w:color w:val="000000" w:themeColor="text1"/>
                <w:sz w:val="18"/>
                <w:szCs w:val="18"/>
              </w:rPr>
              <w:t>12,</w:t>
            </w:r>
            <w:r w:rsidR="00F40783">
              <w:rPr>
                <w:rFonts w:ascii="Arial" w:hAnsi="Arial" w:cs="Arial"/>
                <w:b/>
                <w:color w:val="000000" w:themeColor="text1"/>
                <w:sz w:val="18"/>
                <w:szCs w:val="18"/>
              </w:rPr>
              <w:t>443</w:t>
            </w:r>
          </w:p>
        </w:tc>
      </w:tr>
    </w:tbl>
    <w:p w:rsidR="00D45D71" w:rsidRDefault="00D45D71" w:rsidP="00B60E87">
      <w:pPr>
        <w:pStyle w:val="TableNote"/>
        <w:keepLines/>
        <w:spacing w:after="80"/>
        <w:ind w:left="1440" w:right="1170" w:hanging="270"/>
        <w:rPr>
          <w:szCs w:val="16"/>
        </w:rPr>
      </w:pPr>
      <w:r>
        <w:rPr>
          <w:szCs w:val="16"/>
        </w:rPr>
        <w:t xml:space="preserve">(a) </w:t>
      </w:r>
      <w:r w:rsidR="008978BC">
        <w:rPr>
          <w:szCs w:val="16"/>
        </w:rPr>
        <w:tab/>
      </w:r>
      <w:r w:rsidRPr="001375B9">
        <w:rPr>
          <w:i/>
          <w:szCs w:val="16"/>
        </w:rPr>
        <w:t>Nameplate capacity</w:t>
      </w:r>
      <w:r w:rsidRPr="00D45D71">
        <w:rPr>
          <w:szCs w:val="16"/>
        </w:rPr>
        <w:t xml:space="preserve"> is a facility’s megawatt capability designated and usually guaranteed by the manufacturer or developer. </w:t>
      </w:r>
    </w:p>
    <w:p w:rsidR="004001CC" w:rsidRPr="0095781F" w:rsidRDefault="004001CC" w:rsidP="00B60E87">
      <w:pPr>
        <w:pStyle w:val="TableNote"/>
        <w:keepLines/>
        <w:spacing w:after="80"/>
        <w:ind w:left="1440" w:right="1170" w:hanging="270"/>
        <w:rPr>
          <w:szCs w:val="16"/>
        </w:rPr>
      </w:pPr>
      <w:r w:rsidRPr="0095781F">
        <w:rPr>
          <w:szCs w:val="16"/>
        </w:rPr>
        <w:t>(</w:t>
      </w:r>
      <w:r w:rsidR="00D45D71">
        <w:rPr>
          <w:szCs w:val="16"/>
        </w:rPr>
        <w:t>b</w:t>
      </w:r>
      <w:r w:rsidRPr="0095781F">
        <w:rPr>
          <w:szCs w:val="16"/>
        </w:rPr>
        <w:t xml:space="preserve">)  Capacity factors are based on the ISO’s </w:t>
      </w:r>
      <w:r w:rsidRPr="0095781F">
        <w:rPr>
          <w:i/>
          <w:szCs w:val="16"/>
        </w:rPr>
        <w:t>2007 Scenario Analysis</w:t>
      </w:r>
      <w:r w:rsidRPr="0095781F">
        <w:rPr>
          <w:szCs w:val="16"/>
        </w:rPr>
        <w:t>. The wind capacity factors were adjusted to account for a generic assumption that wind turbines have a 90% availability. See http://www.iso-ne.com/committees/comm_wkgrps/othr/sas/mtrls/elec_report/scenario_analysis_final.pdf.</w:t>
      </w:r>
    </w:p>
    <w:p w:rsidR="004001CC" w:rsidRPr="0095781F" w:rsidRDefault="004001CC" w:rsidP="00B60E87">
      <w:pPr>
        <w:pStyle w:val="TableNote"/>
        <w:keepLines/>
        <w:spacing w:after="80"/>
        <w:ind w:left="1440" w:right="1170" w:hanging="270"/>
        <w:rPr>
          <w:szCs w:val="16"/>
        </w:rPr>
      </w:pPr>
      <w:r w:rsidRPr="0095781F">
        <w:rPr>
          <w:szCs w:val="16"/>
        </w:rPr>
        <w:t>(</w:t>
      </w:r>
      <w:r w:rsidR="00D45D71">
        <w:rPr>
          <w:szCs w:val="16"/>
        </w:rPr>
        <w:t>c</w:t>
      </w:r>
      <w:r w:rsidRPr="0095781F">
        <w:rPr>
          <w:szCs w:val="16"/>
        </w:rPr>
        <w:t xml:space="preserve">) </w:t>
      </w:r>
      <w:r w:rsidR="008978BC">
        <w:rPr>
          <w:szCs w:val="16"/>
        </w:rPr>
        <w:tab/>
      </w:r>
      <w:r w:rsidRPr="0095781F">
        <w:rPr>
          <w:rFonts w:cs="Arial"/>
          <w:bCs/>
          <w:szCs w:val="16"/>
        </w:rPr>
        <w:t xml:space="preserve">This includes wind projects in New England </w:t>
      </w:r>
      <w:r w:rsidR="000862E2">
        <w:rPr>
          <w:rFonts w:cs="Arial"/>
          <w:bCs/>
          <w:szCs w:val="16"/>
        </w:rPr>
        <w:t xml:space="preserve">(including affected non-FERC queue projects) and </w:t>
      </w:r>
      <w:r w:rsidRPr="0095781F">
        <w:rPr>
          <w:rFonts w:cs="Arial"/>
          <w:bCs/>
          <w:szCs w:val="16"/>
        </w:rPr>
        <w:t>ignores duplicate listings for projects with more than one potential interconnection point.</w:t>
      </w:r>
    </w:p>
    <w:p w:rsidR="00164A74" w:rsidRDefault="004001CC" w:rsidP="00B60E87">
      <w:pPr>
        <w:pStyle w:val="TableNote"/>
        <w:keepNext w:val="0"/>
        <w:spacing w:after="80"/>
        <w:ind w:left="1440" w:right="1170" w:hanging="270"/>
        <w:rPr>
          <w:szCs w:val="16"/>
        </w:rPr>
      </w:pPr>
      <w:r w:rsidRPr="0095781F">
        <w:rPr>
          <w:szCs w:val="16"/>
        </w:rPr>
        <w:t>(</w:t>
      </w:r>
      <w:r w:rsidR="00D45D71">
        <w:rPr>
          <w:szCs w:val="16"/>
        </w:rPr>
        <w:t>d</w:t>
      </w:r>
      <w:r w:rsidRPr="0095781F">
        <w:rPr>
          <w:szCs w:val="16"/>
        </w:rPr>
        <w:t xml:space="preserve">)  An equivalent capacity factor = [{total energy production (GWh) x 1,000}/{total capacity (MW) </w:t>
      </w:r>
      <w:r w:rsidR="0060183E">
        <w:rPr>
          <w:szCs w:val="16"/>
        </w:rPr>
        <w:t xml:space="preserve">x </w:t>
      </w:r>
      <w:r w:rsidR="0060183E" w:rsidRPr="0095781F">
        <w:rPr>
          <w:szCs w:val="16"/>
        </w:rPr>
        <w:t xml:space="preserve"> </w:t>
      </w:r>
      <w:r w:rsidRPr="0095781F">
        <w:rPr>
          <w:szCs w:val="16"/>
        </w:rPr>
        <w:t>8,760 hours}].</w:t>
      </w:r>
      <w:r w:rsidRPr="00985869">
        <w:rPr>
          <w:szCs w:val="16"/>
        </w:rPr>
        <w:t xml:space="preserve"> </w:t>
      </w:r>
    </w:p>
    <w:p w:rsidR="00164A74" w:rsidRDefault="00164A74">
      <w:pPr>
        <w:pStyle w:val="TableNote"/>
        <w:keepNext w:val="0"/>
        <w:spacing w:after="80"/>
        <w:ind w:left="1180" w:right="1166" w:hanging="14"/>
        <w:rPr>
          <w:szCs w:val="16"/>
        </w:rPr>
      </w:pPr>
    </w:p>
    <w:p w:rsidR="00515000" w:rsidRDefault="00515000" w:rsidP="00515000">
      <w:pPr>
        <w:keepNext/>
        <w:keepLines/>
        <w:spacing w:after="0" w:line="240" w:lineRule="auto"/>
        <w:jc w:val="center"/>
      </w:pPr>
      <w:r w:rsidRPr="00515000">
        <w:rPr>
          <w:noProof/>
        </w:rPr>
        <w:drawing>
          <wp:inline distT="0" distB="0" distL="0" distR="0">
            <wp:extent cx="4024694" cy="2928336"/>
            <wp:effectExtent l="19050" t="19050" r="13906" b="24414"/>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021180" cy="2925779"/>
                    </a:xfrm>
                    <a:prstGeom prst="rect">
                      <a:avLst/>
                    </a:prstGeom>
                    <a:noFill/>
                    <a:ln w="3175">
                      <a:solidFill>
                        <a:schemeClr val="tx1"/>
                      </a:solidFill>
                      <a:miter lim="800000"/>
                      <a:headEnd/>
                      <a:tailEnd/>
                    </a:ln>
                  </pic:spPr>
                </pic:pic>
              </a:graphicData>
            </a:graphic>
          </wp:inline>
        </w:drawing>
      </w:r>
    </w:p>
    <w:p w:rsidR="00E41E3A" w:rsidRDefault="004001CC" w:rsidP="0053044A">
      <w:pPr>
        <w:pStyle w:val="Caption-Figure"/>
        <w:spacing w:after="240"/>
        <w:ind w:left="1526" w:right="1354"/>
      </w:pPr>
      <w:bookmarkStart w:id="701" w:name="_Ref229907084"/>
      <w:bookmarkStart w:id="702" w:name="_Ref230686336"/>
      <w:bookmarkStart w:id="703" w:name="_Ref229907011"/>
      <w:bookmarkStart w:id="704" w:name="_Toc239157195"/>
      <w:bookmarkStart w:id="705" w:name="_Toc271552387"/>
      <w:r w:rsidRPr="00540DE0">
        <w:t>Figure </w:t>
      </w:r>
      <w:r w:rsidR="00832C7A">
        <w:fldChar w:fldCharType="begin"/>
      </w:r>
      <w:r w:rsidR="00807C8D">
        <w:instrText xml:space="preserve"> STYLEREF 1 \s </w:instrText>
      </w:r>
      <w:r w:rsidR="00832C7A">
        <w:fldChar w:fldCharType="separate"/>
      </w:r>
      <w:r w:rsidR="00E5699E">
        <w:rPr>
          <w:noProof/>
        </w:rPr>
        <w:t>8</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7</w:t>
      </w:r>
      <w:r w:rsidR="00832C7A">
        <w:fldChar w:fldCharType="end"/>
      </w:r>
      <w:bookmarkEnd w:id="701"/>
      <w:bookmarkEnd w:id="702"/>
      <w:r w:rsidRPr="00540DE0">
        <w:t xml:space="preserve">: Estimated energy from proposed New England renewable resources in the ISO’s Generator Interconnection </w:t>
      </w:r>
      <w:r w:rsidRPr="00D3526C">
        <w:t>Queue</w:t>
      </w:r>
      <w:r w:rsidRPr="00540DE0">
        <w:t xml:space="preserve"> </w:t>
      </w:r>
      <w:r>
        <w:t xml:space="preserve">(including </w:t>
      </w:r>
      <w:r w:rsidR="00E023AC">
        <w:t>a</w:t>
      </w:r>
      <w:r>
        <w:t xml:space="preserve">ffected </w:t>
      </w:r>
      <w:r w:rsidR="00E023AC">
        <w:t>n</w:t>
      </w:r>
      <w:r>
        <w:t>on</w:t>
      </w:r>
      <w:r w:rsidR="00E023AC">
        <w:t>-</w:t>
      </w:r>
      <w:r>
        <w:t xml:space="preserve">FERC </w:t>
      </w:r>
      <w:r w:rsidR="00E023AC">
        <w:t>q</w:t>
      </w:r>
      <w:r>
        <w:t>ueue</w:t>
      </w:r>
      <w:r w:rsidR="004F3149">
        <w:t xml:space="preserve"> projects</w:t>
      </w:r>
      <w:r>
        <w:t xml:space="preserve">) </w:t>
      </w:r>
      <w:r w:rsidRPr="00540DE0">
        <w:t xml:space="preserve">as of </w:t>
      </w:r>
      <w:r>
        <w:t>April 1</w:t>
      </w:r>
      <w:r w:rsidRPr="00540DE0">
        <w:t>, </w:t>
      </w:r>
      <w:r w:rsidRPr="00B6045B">
        <w:t>2010</w:t>
      </w:r>
      <w:r w:rsidR="00E72DC7" w:rsidRPr="00B6045B">
        <w:t xml:space="preserve"> (</w:t>
      </w:r>
      <w:r w:rsidR="0087506B" w:rsidRPr="00B6045B">
        <w:t xml:space="preserve">GWh and </w:t>
      </w:r>
      <w:r w:rsidR="00B6045B">
        <w:t>%</w:t>
      </w:r>
      <w:r w:rsidR="00E72DC7" w:rsidRPr="00B6045B">
        <w:t>)</w:t>
      </w:r>
      <w:r w:rsidR="0087506B" w:rsidRPr="00B6045B">
        <w:t>.</w:t>
      </w:r>
      <w:bookmarkEnd w:id="703"/>
      <w:bookmarkEnd w:id="704"/>
      <w:bookmarkEnd w:id="705"/>
    </w:p>
    <w:bookmarkEnd w:id="692"/>
    <w:bookmarkEnd w:id="693"/>
    <w:bookmarkEnd w:id="694"/>
    <w:bookmarkEnd w:id="695"/>
    <w:bookmarkEnd w:id="696"/>
    <w:p w:rsidR="004001CC" w:rsidRPr="00892882" w:rsidRDefault="004001CC" w:rsidP="00073277">
      <w:r w:rsidRPr="00892882">
        <w:t>A comparis</w:t>
      </w:r>
      <w:r w:rsidRPr="0085621C">
        <w:t xml:space="preserve">on of </w:t>
      </w:r>
      <w:r w:rsidRPr="00D3526C">
        <w:t>the queue</w:t>
      </w:r>
      <w:r w:rsidRPr="0085621C">
        <w:t xml:space="preserve"> projects in </w:t>
      </w:r>
      <w:fldSimple w:instr=" REF _Ref229907059  \* MERGEFORMAT ">
        <w:r w:rsidR="00E5699E" w:rsidRPr="00E17A73">
          <w:t>Table </w:t>
        </w:r>
        <w:r w:rsidR="00E5699E">
          <w:t>8</w:t>
        </w:r>
        <w:r w:rsidR="00E5699E">
          <w:noBreakHyphen/>
          <w:t>19</w:t>
        </w:r>
      </w:fldSimple>
      <w:r w:rsidRPr="00D3526C">
        <w:t xml:space="preserve"> with the total resources in the “new” RPS category beyond 2009 (as shown</w:t>
      </w:r>
      <w:r w:rsidRPr="00892882">
        <w:t xml:space="preserve"> in </w:t>
      </w:r>
      <w:fldSimple w:instr=" REF _Ref229906964  \* MERGEFORMAT ">
        <w:r w:rsidR="00E5699E">
          <w:t>Table 8</w:t>
        </w:r>
        <w:r w:rsidR="00E5699E">
          <w:noBreakHyphen/>
          <w:t>18</w:t>
        </w:r>
      </w:fldSimple>
      <w:r w:rsidRPr="00892882">
        <w:t xml:space="preserve">, line 8), indicates </w:t>
      </w:r>
      <w:r w:rsidR="0060183E">
        <w:t xml:space="preserve">that </w:t>
      </w:r>
      <w:r w:rsidRPr="00892882">
        <w:t xml:space="preserve">the New England renewable energy resources proposed in the queue would </w:t>
      </w:r>
      <w:r>
        <w:t xml:space="preserve">not </w:t>
      </w:r>
      <w:r w:rsidRPr="00892882">
        <w:t xml:space="preserve">meet the New England RPS demand by 2020 </w:t>
      </w:r>
      <w:r>
        <w:t>even if</w:t>
      </w:r>
      <w:r w:rsidRPr="00892882">
        <w:t xml:space="preserve"> all the projects </w:t>
      </w:r>
      <w:r>
        <w:t xml:space="preserve">in the queue </w:t>
      </w:r>
      <w:r w:rsidR="0060183E">
        <w:t>were</w:t>
      </w:r>
      <w:r w:rsidRPr="00892882">
        <w:t xml:space="preserve"> completed </w:t>
      </w:r>
      <w:r w:rsidR="00987991" w:rsidRPr="00987991">
        <w:t xml:space="preserve">successfully. </w:t>
      </w:r>
      <w:r w:rsidR="00987991" w:rsidRPr="00987991">
        <w:rPr>
          <w:rFonts w:cs="Times New Roman"/>
        </w:rPr>
        <w:t>However,</w:t>
      </w:r>
      <w:r w:rsidR="00A625E2">
        <w:rPr>
          <w:rFonts w:cs="Times New Roman"/>
        </w:rPr>
        <w:t xml:space="preserve"> </w:t>
      </w:r>
      <w:r w:rsidR="00987991" w:rsidRPr="00987991">
        <w:t>additional projects not yet within the ISO queue could help meet the regional RPS demand, and the higher RP</w:t>
      </w:r>
      <w:r>
        <w:t xml:space="preserve">S requirements going </w:t>
      </w:r>
      <w:r w:rsidRPr="00B52E4D">
        <w:t>forward could provide</w:t>
      </w:r>
      <w:r>
        <w:t xml:space="preserve"> an </w:t>
      </w:r>
      <w:r w:rsidR="00890D42" w:rsidRPr="00890D42">
        <w:t>incentiv</w:t>
      </w:r>
      <w:r w:rsidRPr="00E42B1D">
        <w:t xml:space="preserve">e </w:t>
      </w:r>
      <w:r w:rsidR="00916387" w:rsidRPr="00E42B1D">
        <w:t xml:space="preserve">to develop additional renewable projects that </w:t>
      </w:r>
      <w:r w:rsidR="001F5E09" w:rsidRPr="00E42B1D">
        <w:t xml:space="preserve">may then </w:t>
      </w:r>
      <w:r w:rsidR="00916387" w:rsidRPr="00E42B1D">
        <w:t>appear</w:t>
      </w:r>
      <w:r w:rsidR="00E42B1D">
        <w:t xml:space="preserve"> i</w:t>
      </w:r>
      <w:r w:rsidR="00916387" w:rsidRPr="00E42B1D">
        <w:t>n the queue</w:t>
      </w:r>
      <w:r w:rsidRPr="00E42B1D">
        <w:t>.</w:t>
      </w:r>
      <w:r w:rsidR="00A625E2" w:rsidRPr="0004592A">
        <w:rPr>
          <w:rStyle w:val="FootnoteReference"/>
          <w:sz w:val="22"/>
        </w:rPr>
        <w:footnoteReference w:id="249"/>
      </w:r>
      <w:r w:rsidR="00535532" w:rsidRPr="0004592A">
        <w:t xml:space="preserve"> </w:t>
      </w:r>
      <w:fldSimple w:instr=" REF _Ref231198219 \h  \* MERGEFORMAT ">
        <w:r w:rsidR="00E5699E" w:rsidRPr="00540DE0">
          <w:t>Table </w:t>
        </w:r>
        <w:r w:rsidR="00E5699E">
          <w:t>8</w:t>
        </w:r>
        <w:r w:rsidR="00E5699E">
          <w:noBreakHyphen/>
          <w:t>20</w:t>
        </w:r>
      </w:fldSimple>
      <w:r w:rsidRPr="00892882">
        <w:t xml:space="preserve"> shows the amount and percentage of projects (in total projects and megawatts) that have gone commercial, are active, or have withdrawn from the queue since the queue started in June 1996. Since wind is the dominant type of renewable technology in the queue, the table also shows the total number and megawatts of wind projects that have gone commercial or are active or have been withdrawn from the queue</w:t>
      </w:r>
      <w:r w:rsidRPr="00C70D89">
        <w:t xml:space="preserve">. A total of </w:t>
      </w:r>
      <w:r w:rsidRPr="00892882">
        <w:t>5</w:t>
      </w:r>
      <w:r w:rsidR="00F40783">
        <w:t>1</w:t>
      </w:r>
      <w:r w:rsidRPr="00892882">
        <w:t>% of the projects withdrew</w:t>
      </w:r>
      <w:r w:rsidRPr="00C70D89">
        <w:t xml:space="preserve"> from the queue, which represent 68%</w:t>
      </w:r>
      <w:r w:rsidRPr="00892882">
        <w:t xml:space="preserve"> of the total megawatts withdrawn. Similarly, the number of wind projects that withdrew is </w:t>
      </w:r>
      <w:r w:rsidR="00F40783">
        <w:t>40</w:t>
      </w:r>
      <w:r w:rsidRPr="00892882">
        <w:t>%, representing a decrease in total megawatts of 70</w:t>
      </w:r>
      <w:r w:rsidRPr="00C70D89">
        <w:t>%.</w:t>
      </w:r>
    </w:p>
    <w:p w:rsidR="00E5442B" w:rsidRDefault="004001CC" w:rsidP="00382018">
      <w:pPr>
        <w:pStyle w:val="Caption"/>
        <w:tabs>
          <w:tab w:val="left" w:pos="3900"/>
          <w:tab w:val="center" w:pos="4680"/>
        </w:tabs>
      </w:pPr>
      <w:bookmarkStart w:id="706" w:name="_Ref231198219"/>
      <w:bookmarkStart w:id="707" w:name="_Toc239157241"/>
      <w:bookmarkStart w:id="708" w:name="_Toc271552440"/>
      <w:r w:rsidRPr="00540DE0">
        <w:t>Table </w:t>
      </w:r>
      <w:r w:rsidR="00832C7A">
        <w:fldChar w:fldCharType="begin"/>
      </w:r>
      <w:r w:rsidR="00B2406F">
        <w:instrText xml:space="preserve"> STYLEREF 1 \s </w:instrText>
      </w:r>
      <w:r w:rsidR="00832C7A">
        <w:fldChar w:fldCharType="separate"/>
      </w:r>
      <w:r w:rsidR="00E5699E">
        <w:rPr>
          <w:noProof/>
        </w:rPr>
        <w:t>8</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20</w:t>
      </w:r>
      <w:r w:rsidR="00832C7A">
        <w:fldChar w:fldCharType="end"/>
      </w:r>
      <w:bookmarkEnd w:id="706"/>
      <w:r>
        <w:t xml:space="preserve"> </w:t>
      </w:r>
      <w:r w:rsidRPr="00540DE0">
        <w:br/>
        <w:t xml:space="preserve">Summary of All Projects and Wind Projects in ISO Queue as of </w:t>
      </w:r>
      <w:r>
        <w:t>April 1</w:t>
      </w:r>
      <w:r w:rsidRPr="00540DE0">
        <w:t>, 20</w:t>
      </w:r>
      <w:r>
        <w:t>1</w:t>
      </w:r>
      <w:r w:rsidRPr="00540DE0">
        <w:t>0</w:t>
      </w:r>
      <w:bookmarkEnd w:id="707"/>
      <w:bookmarkEnd w:id="708"/>
    </w:p>
    <w:tbl>
      <w:tblPr>
        <w:tblStyle w:val="MediumShading1-Accent12"/>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43" w:type="dxa"/>
          <w:left w:w="115" w:type="dxa"/>
          <w:bottom w:w="43" w:type="dxa"/>
          <w:right w:w="115" w:type="dxa"/>
        </w:tblCellMar>
        <w:tblLook w:val="04A0"/>
      </w:tblPr>
      <w:tblGrid>
        <w:gridCol w:w="1719"/>
        <w:gridCol w:w="934"/>
        <w:gridCol w:w="935"/>
        <w:gridCol w:w="935"/>
        <w:gridCol w:w="935"/>
        <w:gridCol w:w="935"/>
        <w:gridCol w:w="935"/>
        <w:gridCol w:w="935"/>
        <w:gridCol w:w="935"/>
      </w:tblGrid>
      <w:tr w:rsidR="004001CC" w:rsidRPr="00E72DC7" w:rsidTr="00B95D34">
        <w:trPr>
          <w:cnfStyle w:val="100000000000"/>
        </w:trPr>
        <w:tc>
          <w:tcPr>
            <w:cnfStyle w:val="001000000100"/>
            <w:tcW w:w="1719" w:type="dxa"/>
            <w:vMerge w:val="restart"/>
            <w:shd w:val="clear" w:color="auto" w:fill="FBCE76" w:themeFill="background2" w:themeFillTint="99"/>
          </w:tcPr>
          <w:p w:rsidR="004001CC" w:rsidRPr="00E72DC7" w:rsidRDefault="004001CC" w:rsidP="0018616C">
            <w:pPr>
              <w:keepNext/>
              <w:keepLines/>
              <w:spacing w:after="0"/>
              <w:rPr>
                <w:rFonts w:ascii="Arial" w:hAnsi="Arial" w:cs="Arial"/>
                <w:color w:val="000000" w:themeColor="text1"/>
                <w:sz w:val="18"/>
                <w:szCs w:val="18"/>
              </w:rPr>
            </w:pPr>
            <w:r w:rsidRPr="00E72DC7">
              <w:rPr>
                <w:rFonts w:ascii="Arial" w:hAnsi="Arial" w:cs="Arial"/>
                <w:color w:val="000000" w:themeColor="text1"/>
                <w:sz w:val="18"/>
                <w:szCs w:val="18"/>
              </w:rPr>
              <w:t>Project Category</w:t>
            </w:r>
          </w:p>
        </w:tc>
        <w:tc>
          <w:tcPr>
            <w:tcW w:w="3739" w:type="dxa"/>
            <w:gridSpan w:val="4"/>
            <w:shd w:val="clear" w:color="auto" w:fill="FBCE76" w:themeFill="background2" w:themeFillTint="99"/>
          </w:tcPr>
          <w:p w:rsidR="004001CC" w:rsidRPr="00E72DC7" w:rsidRDefault="004001CC" w:rsidP="0018616C">
            <w:pPr>
              <w:keepNext/>
              <w:keepLines/>
              <w:spacing w:after="0"/>
              <w:cnfStyle w:val="100000000000"/>
              <w:rPr>
                <w:rFonts w:ascii="Arial" w:hAnsi="Arial" w:cs="Arial"/>
                <w:b w:val="0"/>
                <w:bCs w:val="0"/>
                <w:color w:val="000000" w:themeColor="text1"/>
                <w:sz w:val="18"/>
                <w:szCs w:val="18"/>
              </w:rPr>
            </w:pPr>
            <w:r w:rsidRPr="00E72DC7">
              <w:rPr>
                <w:rFonts w:ascii="Arial" w:hAnsi="Arial" w:cs="Arial"/>
                <w:color w:val="000000" w:themeColor="text1"/>
                <w:sz w:val="18"/>
                <w:szCs w:val="18"/>
              </w:rPr>
              <w:t xml:space="preserve">All Projects </w:t>
            </w:r>
          </w:p>
        </w:tc>
        <w:tc>
          <w:tcPr>
            <w:tcW w:w="3740" w:type="dxa"/>
            <w:gridSpan w:val="4"/>
            <w:shd w:val="clear" w:color="auto" w:fill="FBCE76" w:themeFill="background2" w:themeFillTint="99"/>
          </w:tcPr>
          <w:p w:rsidR="004001CC" w:rsidRPr="00E72DC7" w:rsidRDefault="004001CC" w:rsidP="0018616C">
            <w:pPr>
              <w:keepNext/>
              <w:keepLines/>
              <w:spacing w:after="0"/>
              <w:cnfStyle w:val="100000000000"/>
              <w:rPr>
                <w:rFonts w:ascii="Arial" w:hAnsi="Arial" w:cs="Arial"/>
                <w:color w:val="000000" w:themeColor="text1"/>
                <w:sz w:val="18"/>
                <w:szCs w:val="18"/>
              </w:rPr>
            </w:pPr>
            <w:r w:rsidRPr="00E72DC7">
              <w:rPr>
                <w:rFonts w:ascii="Arial" w:hAnsi="Arial" w:cs="Arial"/>
                <w:color w:val="000000" w:themeColor="text1"/>
                <w:sz w:val="18"/>
                <w:szCs w:val="18"/>
              </w:rPr>
              <w:t>Wind Projects</w:t>
            </w:r>
          </w:p>
        </w:tc>
      </w:tr>
      <w:tr w:rsidR="004001CC" w:rsidRPr="00E72DC7" w:rsidTr="00B95D34">
        <w:trPr>
          <w:cnfStyle w:val="000000100000"/>
        </w:trPr>
        <w:tc>
          <w:tcPr>
            <w:cnfStyle w:val="001000000000"/>
            <w:tcW w:w="1719" w:type="dxa"/>
            <w:vMerge/>
            <w:shd w:val="clear" w:color="auto" w:fill="FBCE76" w:themeFill="background2" w:themeFillTint="99"/>
          </w:tcPr>
          <w:p w:rsidR="004001CC" w:rsidRPr="00E72DC7" w:rsidRDefault="004001CC" w:rsidP="0018616C">
            <w:pPr>
              <w:keepNext/>
              <w:keepLines/>
              <w:spacing w:after="0"/>
              <w:rPr>
                <w:rFonts w:ascii="Arial" w:hAnsi="Arial" w:cs="Arial"/>
                <w:sz w:val="18"/>
                <w:szCs w:val="18"/>
              </w:rPr>
            </w:pPr>
          </w:p>
        </w:tc>
        <w:tc>
          <w:tcPr>
            <w:tcW w:w="934"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No.</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MW</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No.</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MW</w:t>
            </w:r>
          </w:p>
        </w:tc>
        <w:tc>
          <w:tcPr>
            <w:tcW w:w="935" w:type="dxa"/>
            <w:shd w:val="clear" w:color="auto" w:fill="FBCE76" w:themeFill="background2" w:themeFillTint="99"/>
          </w:tcPr>
          <w:p w:rsidR="004001CC" w:rsidRPr="00E72DC7" w:rsidRDefault="004001CC" w:rsidP="0018616C">
            <w:pPr>
              <w:keepNext/>
              <w:keepLines/>
              <w:spacing w:after="0"/>
              <w:cnfStyle w:val="000000100000"/>
              <w:rPr>
                <w:rFonts w:ascii="Arial" w:hAnsi="Arial" w:cs="Arial"/>
                <w:b/>
                <w:sz w:val="18"/>
                <w:szCs w:val="18"/>
              </w:rPr>
            </w:pPr>
            <w:r w:rsidRPr="00E72DC7">
              <w:rPr>
                <w:rFonts w:ascii="Arial" w:hAnsi="Arial" w:cs="Arial"/>
                <w:b/>
                <w:sz w:val="18"/>
                <w:szCs w:val="18"/>
              </w:rPr>
              <w:t>%</w:t>
            </w:r>
          </w:p>
        </w:tc>
      </w:tr>
      <w:tr w:rsidR="0025434B" w:rsidRPr="00E72DC7" w:rsidTr="00FB0E87">
        <w:trPr>
          <w:cnfStyle w:val="000000010000"/>
        </w:trPr>
        <w:tc>
          <w:tcPr>
            <w:cnfStyle w:val="001000000000"/>
            <w:tcW w:w="1719" w:type="dxa"/>
            <w:shd w:val="clear" w:color="auto" w:fill="auto"/>
          </w:tcPr>
          <w:p w:rsidR="0025434B" w:rsidRPr="00E72DC7" w:rsidRDefault="0025434B" w:rsidP="0018616C">
            <w:pPr>
              <w:keepNext/>
              <w:keepLines/>
              <w:spacing w:after="0"/>
              <w:rPr>
                <w:rFonts w:ascii="Arial" w:hAnsi="Arial" w:cs="Arial"/>
                <w:sz w:val="18"/>
                <w:szCs w:val="18"/>
              </w:rPr>
            </w:pPr>
            <w:r w:rsidRPr="00E72DC7">
              <w:rPr>
                <w:rFonts w:ascii="Arial" w:hAnsi="Arial" w:cs="Arial"/>
                <w:sz w:val="18"/>
                <w:szCs w:val="18"/>
              </w:rPr>
              <w:t>Commercial</w:t>
            </w:r>
          </w:p>
        </w:tc>
        <w:tc>
          <w:tcPr>
            <w:tcW w:w="934"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64</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21</w:t>
            </w:r>
          </w:p>
        </w:tc>
        <w:tc>
          <w:tcPr>
            <w:tcW w:w="935" w:type="dxa"/>
            <w:shd w:val="clear" w:color="auto" w:fill="auto"/>
            <w:noWrap/>
            <w:tcMar>
              <w:left w:w="72" w:type="dxa"/>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 xml:space="preserve">  12,871</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19</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4</w:t>
            </w:r>
          </w:p>
        </w:tc>
        <w:tc>
          <w:tcPr>
            <w:tcW w:w="935" w:type="dxa"/>
            <w:shd w:val="clear" w:color="auto" w:fill="auto"/>
            <w:tcMar>
              <w:right w:w="144" w:type="dxa"/>
            </w:tcMar>
          </w:tcPr>
          <w:p w:rsidR="0025434B" w:rsidRPr="00E72DC7" w:rsidRDefault="00A46560" w:rsidP="00A46560">
            <w:pPr>
              <w:keepNext/>
              <w:keepLines/>
              <w:spacing w:after="0"/>
              <w:jc w:val="right"/>
              <w:cnfStyle w:val="000000010000"/>
              <w:rPr>
                <w:rFonts w:ascii="Arial" w:hAnsi="Arial" w:cs="Arial"/>
                <w:sz w:val="18"/>
                <w:szCs w:val="18"/>
              </w:rPr>
            </w:pPr>
            <w:r w:rsidRPr="00E72DC7">
              <w:rPr>
                <w:rFonts w:ascii="Arial" w:hAnsi="Arial" w:cs="Arial"/>
                <w:sz w:val="18"/>
                <w:szCs w:val="18"/>
              </w:rPr>
              <w:t>7</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174</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2</w:t>
            </w:r>
          </w:p>
        </w:tc>
      </w:tr>
      <w:tr w:rsidR="0025434B" w:rsidRPr="00E72DC7" w:rsidTr="00FB0E87">
        <w:trPr>
          <w:cnfStyle w:val="000000100000"/>
        </w:trPr>
        <w:tc>
          <w:tcPr>
            <w:cnfStyle w:val="001000000000"/>
            <w:tcW w:w="1719" w:type="dxa"/>
            <w:shd w:val="clear" w:color="auto" w:fill="FDEED1" w:themeFill="background2" w:themeFillTint="33"/>
          </w:tcPr>
          <w:p w:rsidR="0025434B" w:rsidRPr="00E72DC7" w:rsidRDefault="0025434B" w:rsidP="0018616C">
            <w:pPr>
              <w:keepNext/>
              <w:keepLines/>
              <w:spacing w:after="0"/>
              <w:rPr>
                <w:rFonts w:ascii="Arial" w:hAnsi="Arial" w:cs="Arial"/>
                <w:sz w:val="18"/>
                <w:szCs w:val="18"/>
              </w:rPr>
            </w:pPr>
            <w:r w:rsidRPr="00E72DC7">
              <w:rPr>
                <w:rFonts w:ascii="Arial" w:hAnsi="Arial" w:cs="Arial"/>
                <w:sz w:val="18"/>
                <w:szCs w:val="18"/>
              </w:rPr>
              <w:t>Active</w:t>
            </w:r>
          </w:p>
        </w:tc>
        <w:tc>
          <w:tcPr>
            <w:tcW w:w="934" w:type="dxa"/>
            <w:shd w:val="clear" w:color="auto" w:fill="FDEED1" w:themeFill="background2" w:themeFillTint="33"/>
            <w:tcMar>
              <w:right w:w="144" w:type="dxa"/>
            </w:tcMar>
          </w:tcPr>
          <w:p w:rsidR="0025434B" w:rsidRPr="00E72DC7" w:rsidRDefault="0025434B" w:rsidP="0018616C">
            <w:pPr>
              <w:keepNext/>
              <w:keepLines/>
              <w:spacing w:after="0"/>
              <w:jc w:val="right"/>
              <w:cnfStyle w:val="000000100000"/>
              <w:rPr>
                <w:rFonts w:ascii="Arial" w:hAnsi="Arial" w:cs="Arial"/>
                <w:sz w:val="18"/>
                <w:szCs w:val="18"/>
              </w:rPr>
            </w:pPr>
            <w:r w:rsidRPr="00E72DC7">
              <w:rPr>
                <w:rFonts w:ascii="Arial" w:hAnsi="Arial" w:cs="Arial"/>
                <w:sz w:val="18"/>
                <w:szCs w:val="18"/>
              </w:rPr>
              <w:t>84</w:t>
            </w:r>
          </w:p>
        </w:tc>
        <w:tc>
          <w:tcPr>
            <w:tcW w:w="935" w:type="dxa"/>
            <w:shd w:val="clear" w:color="auto" w:fill="FDEED1" w:themeFill="background2" w:themeFillTint="33"/>
            <w:tcMar>
              <w:right w:w="144" w:type="dxa"/>
            </w:tcMar>
          </w:tcPr>
          <w:p w:rsidR="0025434B" w:rsidRPr="00E72DC7" w:rsidRDefault="0025434B" w:rsidP="0018616C">
            <w:pPr>
              <w:keepNext/>
              <w:keepLines/>
              <w:spacing w:after="0"/>
              <w:jc w:val="right"/>
              <w:cnfStyle w:val="000000100000"/>
              <w:rPr>
                <w:rFonts w:ascii="Arial" w:hAnsi="Arial" w:cs="Arial"/>
                <w:sz w:val="18"/>
                <w:szCs w:val="18"/>
              </w:rPr>
            </w:pPr>
            <w:r w:rsidRPr="00E72DC7">
              <w:rPr>
                <w:rFonts w:ascii="Arial" w:hAnsi="Arial" w:cs="Arial"/>
                <w:sz w:val="18"/>
                <w:szCs w:val="18"/>
              </w:rPr>
              <w:t>28</w:t>
            </w:r>
          </w:p>
        </w:tc>
        <w:tc>
          <w:tcPr>
            <w:tcW w:w="935" w:type="dxa"/>
            <w:shd w:val="clear" w:color="auto" w:fill="FDEED1" w:themeFill="background2" w:themeFillTint="33"/>
            <w:tcMar>
              <w:left w:w="72" w:type="dxa"/>
              <w:right w:w="144" w:type="dxa"/>
            </w:tcMar>
          </w:tcPr>
          <w:p w:rsidR="0025434B" w:rsidRPr="00E72DC7" w:rsidRDefault="0025434B" w:rsidP="0018616C">
            <w:pPr>
              <w:keepNext/>
              <w:keepLines/>
              <w:spacing w:after="0"/>
              <w:jc w:val="right"/>
              <w:cnfStyle w:val="000000100000"/>
              <w:rPr>
                <w:rFonts w:ascii="Arial" w:hAnsi="Arial" w:cs="Arial"/>
                <w:sz w:val="18"/>
                <w:szCs w:val="18"/>
              </w:rPr>
            </w:pPr>
            <w:r w:rsidRPr="00E72DC7">
              <w:rPr>
                <w:rFonts w:ascii="Arial" w:hAnsi="Arial" w:cs="Arial"/>
                <w:sz w:val="18"/>
                <w:szCs w:val="18"/>
              </w:rPr>
              <w:t>8,809</w:t>
            </w:r>
          </w:p>
        </w:tc>
        <w:tc>
          <w:tcPr>
            <w:tcW w:w="935" w:type="dxa"/>
            <w:shd w:val="clear" w:color="auto" w:fill="FDEED1" w:themeFill="background2" w:themeFillTint="33"/>
            <w:tcMar>
              <w:right w:w="144" w:type="dxa"/>
            </w:tcMar>
          </w:tcPr>
          <w:p w:rsidR="0025434B" w:rsidRPr="00E72DC7" w:rsidRDefault="0025434B" w:rsidP="0018616C">
            <w:pPr>
              <w:keepNext/>
              <w:keepLines/>
              <w:spacing w:after="0"/>
              <w:jc w:val="right"/>
              <w:cnfStyle w:val="000000100000"/>
              <w:rPr>
                <w:rFonts w:ascii="Arial" w:hAnsi="Arial" w:cs="Arial"/>
                <w:sz w:val="18"/>
                <w:szCs w:val="18"/>
              </w:rPr>
            </w:pPr>
            <w:r w:rsidRPr="00E72DC7">
              <w:rPr>
                <w:rFonts w:ascii="Arial" w:hAnsi="Arial" w:cs="Arial"/>
                <w:sz w:val="18"/>
                <w:szCs w:val="18"/>
              </w:rPr>
              <w:t>13</w:t>
            </w:r>
          </w:p>
        </w:tc>
        <w:tc>
          <w:tcPr>
            <w:tcW w:w="935" w:type="dxa"/>
            <w:shd w:val="clear" w:color="auto" w:fill="FDEED1" w:themeFill="background2" w:themeFillTint="33"/>
            <w:tcMar>
              <w:right w:w="144" w:type="dxa"/>
            </w:tcMar>
          </w:tcPr>
          <w:p w:rsidR="0025434B" w:rsidRPr="00E72DC7" w:rsidRDefault="0025434B" w:rsidP="00A46560">
            <w:pPr>
              <w:keepNext/>
              <w:keepLines/>
              <w:spacing w:after="0"/>
              <w:jc w:val="right"/>
              <w:cnfStyle w:val="000000100000"/>
              <w:rPr>
                <w:rFonts w:ascii="Arial" w:hAnsi="Arial" w:cs="Arial"/>
                <w:sz w:val="18"/>
                <w:szCs w:val="18"/>
              </w:rPr>
            </w:pPr>
            <w:r w:rsidRPr="00E72DC7">
              <w:rPr>
                <w:rFonts w:ascii="Arial" w:hAnsi="Arial" w:cs="Arial"/>
                <w:sz w:val="18"/>
                <w:szCs w:val="18"/>
              </w:rPr>
              <w:t>3</w:t>
            </w:r>
            <w:r w:rsidR="00A46560" w:rsidRPr="00E72DC7">
              <w:rPr>
                <w:rFonts w:ascii="Arial" w:hAnsi="Arial" w:cs="Arial"/>
                <w:sz w:val="18"/>
                <w:szCs w:val="18"/>
              </w:rPr>
              <w:t>2</w:t>
            </w:r>
          </w:p>
        </w:tc>
        <w:tc>
          <w:tcPr>
            <w:tcW w:w="935" w:type="dxa"/>
            <w:shd w:val="clear" w:color="auto" w:fill="FDEED1" w:themeFill="background2" w:themeFillTint="33"/>
            <w:tcMar>
              <w:right w:w="144" w:type="dxa"/>
            </w:tcMar>
          </w:tcPr>
          <w:p w:rsidR="0025434B" w:rsidRPr="00E72DC7" w:rsidRDefault="0025434B" w:rsidP="00A46560">
            <w:pPr>
              <w:keepNext/>
              <w:keepLines/>
              <w:spacing w:after="0"/>
              <w:jc w:val="right"/>
              <w:cnfStyle w:val="000000100000"/>
              <w:rPr>
                <w:rFonts w:ascii="Arial" w:hAnsi="Arial" w:cs="Arial"/>
                <w:sz w:val="18"/>
                <w:szCs w:val="18"/>
              </w:rPr>
            </w:pPr>
            <w:r w:rsidRPr="00E72DC7">
              <w:rPr>
                <w:rFonts w:ascii="Arial" w:hAnsi="Arial" w:cs="Arial"/>
                <w:sz w:val="18"/>
                <w:szCs w:val="18"/>
              </w:rPr>
              <w:t>5</w:t>
            </w:r>
            <w:r w:rsidR="00A46560" w:rsidRPr="00E72DC7">
              <w:rPr>
                <w:rFonts w:ascii="Arial" w:hAnsi="Arial" w:cs="Arial"/>
                <w:sz w:val="18"/>
                <w:szCs w:val="18"/>
              </w:rPr>
              <w:t>2</w:t>
            </w:r>
          </w:p>
        </w:tc>
        <w:tc>
          <w:tcPr>
            <w:tcW w:w="935" w:type="dxa"/>
            <w:shd w:val="clear" w:color="auto" w:fill="FDEED1" w:themeFill="background2" w:themeFillTint="33"/>
            <w:tcMar>
              <w:right w:w="144" w:type="dxa"/>
            </w:tcMar>
          </w:tcPr>
          <w:p w:rsidR="0025434B" w:rsidRPr="00E72DC7" w:rsidRDefault="0025434B" w:rsidP="008E6DFA">
            <w:pPr>
              <w:keepNext/>
              <w:keepLines/>
              <w:spacing w:after="0"/>
              <w:jc w:val="right"/>
              <w:cnfStyle w:val="000000100000"/>
              <w:rPr>
                <w:rFonts w:ascii="Arial" w:hAnsi="Arial" w:cs="Arial"/>
                <w:sz w:val="18"/>
                <w:szCs w:val="18"/>
              </w:rPr>
            </w:pPr>
            <w:r w:rsidRPr="00E72DC7">
              <w:rPr>
                <w:rFonts w:ascii="Arial" w:hAnsi="Arial" w:cs="Arial"/>
                <w:sz w:val="18"/>
                <w:szCs w:val="18"/>
              </w:rPr>
              <w:t>3,052</w:t>
            </w:r>
            <w:r w:rsidRPr="00E72DC7">
              <w:rPr>
                <w:rFonts w:ascii="Arial" w:hAnsi="Arial" w:cs="Arial"/>
                <w:sz w:val="18"/>
                <w:szCs w:val="18"/>
                <w:vertAlign w:val="superscript"/>
              </w:rPr>
              <w:t>(b)</w:t>
            </w:r>
          </w:p>
        </w:tc>
        <w:tc>
          <w:tcPr>
            <w:tcW w:w="935" w:type="dxa"/>
            <w:shd w:val="clear" w:color="auto" w:fill="FDEED1" w:themeFill="background2" w:themeFillTint="33"/>
            <w:tcMar>
              <w:right w:w="144" w:type="dxa"/>
            </w:tcMar>
          </w:tcPr>
          <w:p w:rsidR="0025434B" w:rsidRPr="00E72DC7" w:rsidRDefault="0025434B" w:rsidP="0018616C">
            <w:pPr>
              <w:keepNext/>
              <w:keepLines/>
              <w:spacing w:after="0"/>
              <w:jc w:val="right"/>
              <w:cnfStyle w:val="000000100000"/>
              <w:rPr>
                <w:rFonts w:ascii="Arial" w:hAnsi="Arial" w:cs="Arial"/>
                <w:sz w:val="18"/>
                <w:szCs w:val="18"/>
              </w:rPr>
            </w:pPr>
            <w:r w:rsidRPr="00E72DC7">
              <w:rPr>
                <w:rFonts w:ascii="Arial" w:hAnsi="Arial" w:cs="Arial"/>
                <w:sz w:val="18"/>
                <w:szCs w:val="18"/>
              </w:rPr>
              <w:t>29</w:t>
            </w:r>
          </w:p>
        </w:tc>
      </w:tr>
      <w:tr w:rsidR="0025434B" w:rsidRPr="00E72DC7" w:rsidTr="00FB0E87">
        <w:trPr>
          <w:cnfStyle w:val="000000010000"/>
        </w:trPr>
        <w:tc>
          <w:tcPr>
            <w:cnfStyle w:val="001000000000"/>
            <w:tcW w:w="1719" w:type="dxa"/>
            <w:shd w:val="clear" w:color="auto" w:fill="auto"/>
          </w:tcPr>
          <w:p w:rsidR="0025434B" w:rsidRPr="00E72DC7" w:rsidRDefault="0025434B" w:rsidP="0018616C">
            <w:pPr>
              <w:keepNext/>
              <w:keepLines/>
              <w:spacing w:after="0"/>
              <w:rPr>
                <w:rFonts w:ascii="Arial" w:hAnsi="Arial" w:cs="Arial"/>
                <w:sz w:val="18"/>
                <w:szCs w:val="18"/>
              </w:rPr>
            </w:pPr>
            <w:r w:rsidRPr="00E72DC7">
              <w:rPr>
                <w:rFonts w:ascii="Arial" w:hAnsi="Arial" w:cs="Arial"/>
                <w:sz w:val="18"/>
                <w:szCs w:val="18"/>
              </w:rPr>
              <w:t>Withdrawn</w:t>
            </w:r>
          </w:p>
        </w:tc>
        <w:tc>
          <w:tcPr>
            <w:tcW w:w="934"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152</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51</w:t>
            </w:r>
          </w:p>
        </w:tc>
        <w:tc>
          <w:tcPr>
            <w:tcW w:w="935" w:type="dxa"/>
            <w:shd w:val="clear" w:color="auto" w:fill="auto"/>
            <w:tcMar>
              <w:left w:w="72" w:type="dxa"/>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45,467</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68</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25</w:t>
            </w:r>
          </w:p>
        </w:tc>
        <w:tc>
          <w:tcPr>
            <w:tcW w:w="935" w:type="dxa"/>
            <w:shd w:val="clear" w:color="auto" w:fill="auto"/>
            <w:tcMar>
              <w:right w:w="144" w:type="dxa"/>
            </w:tcMar>
          </w:tcPr>
          <w:p w:rsidR="0025434B" w:rsidRPr="00E72DC7" w:rsidRDefault="0025434B" w:rsidP="00A46560">
            <w:pPr>
              <w:keepNext/>
              <w:keepLines/>
              <w:spacing w:after="0"/>
              <w:jc w:val="right"/>
              <w:cnfStyle w:val="000000010000"/>
              <w:rPr>
                <w:rFonts w:ascii="Arial" w:hAnsi="Arial" w:cs="Arial"/>
                <w:sz w:val="18"/>
                <w:szCs w:val="18"/>
              </w:rPr>
            </w:pPr>
            <w:r w:rsidRPr="00E72DC7">
              <w:rPr>
                <w:rFonts w:ascii="Arial" w:hAnsi="Arial" w:cs="Arial"/>
                <w:sz w:val="18"/>
                <w:szCs w:val="18"/>
              </w:rPr>
              <w:t>4</w:t>
            </w:r>
            <w:r w:rsidR="00A46560" w:rsidRPr="00E72DC7">
              <w:rPr>
                <w:rFonts w:ascii="Arial" w:hAnsi="Arial" w:cs="Arial"/>
                <w:sz w:val="18"/>
                <w:szCs w:val="18"/>
              </w:rPr>
              <w:t>1</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7,446</w:t>
            </w:r>
          </w:p>
        </w:tc>
        <w:tc>
          <w:tcPr>
            <w:tcW w:w="935" w:type="dxa"/>
            <w:shd w:val="clear" w:color="auto" w:fill="auto"/>
            <w:tcMar>
              <w:right w:w="144" w:type="dxa"/>
            </w:tcMar>
          </w:tcPr>
          <w:p w:rsidR="0025434B" w:rsidRPr="00E72DC7" w:rsidRDefault="0025434B" w:rsidP="0018616C">
            <w:pPr>
              <w:keepNext/>
              <w:keepLines/>
              <w:spacing w:after="0"/>
              <w:jc w:val="right"/>
              <w:cnfStyle w:val="000000010000"/>
              <w:rPr>
                <w:rFonts w:ascii="Arial" w:hAnsi="Arial" w:cs="Arial"/>
                <w:sz w:val="18"/>
                <w:szCs w:val="18"/>
              </w:rPr>
            </w:pPr>
            <w:r w:rsidRPr="00E72DC7">
              <w:rPr>
                <w:rFonts w:ascii="Arial" w:hAnsi="Arial" w:cs="Arial"/>
                <w:sz w:val="18"/>
                <w:szCs w:val="18"/>
              </w:rPr>
              <w:t>70</w:t>
            </w:r>
          </w:p>
        </w:tc>
      </w:tr>
      <w:tr w:rsidR="0025434B" w:rsidRPr="0010044D" w:rsidTr="00FB0E87">
        <w:trPr>
          <w:cnfStyle w:val="000000100000"/>
        </w:trPr>
        <w:tc>
          <w:tcPr>
            <w:cnfStyle w:val="001000000000"/>
            <w:tcW w:w="1719" w:type="dxa"/>
            <w:shd w:val="clear" w:color="auto" w:fill="FBCE76" w:themeFill="background2" w:themeFillTint="99"/>
          </w:tcPr>
          <w:p w:rsidR="0025434B" w:rsidRPr="00E72DC7" w:rsidRDefault="0025434B" w:rsidP="0018616C">
            <w:pPr>
              <w:keepNext/>
              <w:keepLines/>
              <w:spacing w:after="0"/>
              <w:rPr>
                <w:rFonts w:ascii="Arial" w:hAnsi="Arial" w:cs="Arial"/>
                <w:bCs w:val="0"/>
                <w:color w:val="000000" w:themeColor="text1"/>
                <w:sz w:val="18"/>
                <w:szCs w:val="18"/>
              </w:rPr>
            </w:pPr>
            <w:r w:rsidRPr="00E72DC7">
              <w:rPr>
                <w:rFonts w:ascii="Arial" w:hAnsi="Arial" w:cs="Arial"/>
                <w:color w:val="000000" w:themeColor="text1"/>
                <w:sz w:val="18"/>
                <w:szCs w:val="18"/>
              </w:rPr>
              <w:t>Total</w:t>
            </w:r>
            <w:r w:rsidRPr="00E72DC7">
              <w:rPr>
                <w:rFonts w:ascii="Arial" w:hAnsi="Arial" w:cs="Arial"/>
                <w:color w:val="000000" w:themeColor="text1"/>
                <w:sz w:val="18"/>
                <w:szCs w:val="18"/>
                <w:vertAlign w:val="superscript"/>
              </w:rPr>
              <w:t>(a)</w:t>
            </w:r>
          </w:p>
        </w:tc>
        <w:tc>
          <w:tcPr>
            <w:tcW w:w="934"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300</w:t>
            </w:r>
          </w:p>
        </w:tc>
        <w:tc>
          <w:tcPr>
            <w:tcW w:w="935"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100</w:t>
            </w:r>
          </w:p>
        </w:tc>
        <w:tc>
          <w:tcPr>
            <w:tcW w:w="935"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67,147</w:t>
            </w:r>
          </w:p>
        </w:tc>
        <w:tc>
          <w:tcPr>
            <w:tcW w:w="935"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100</w:t>
            </w:r>
          </w:p>
        </w:tc>
        <w:tc>
          <w:tcPr>
            <w:tcW w:w="935" w:type="dxa"/>
            <w:shd w:val="clear" w:color="auto" w:fill="FBCE76" w:themeFill="background2" w:themeFillTint="99"/>
            <w:tcMar>
              <w:right w:w="144" w:type="dxa"/>
            </w:tcMar>
          </w:tcPr>
          <w:p w:rsidR="0025434B" w:rsidRPr="00E72DC7" w:rsidRDefault="0025434B" w:rsidP="00A46560">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6</w:t>
            </w:r>
            <w:r w:rsidR="00A46560" w:rsidRPr="00E72DC7">
              <w:rPr>
                <w:rFonts w:ascii="Arial" w:hAnsi="Arial" w:cs="Arial"/>
                <w:b/>
                <w:color w:val="000000" w:themeColor="text1"/>
                <w:sz w:val="18"/>
                <w:szCs w:val="18"/>
              </w:rPr>
              <w:t>1</w:t>
            </w:r>
          </w:p>
        </w:tc>
        <w:tc>
          <w:tcPr>
            <w:tcW w:w="935"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100</w:t>
            </w:r>
          </w:p>
        </w:tc>
        <w:tc>
          <w:tcPr>
            <w:tcW w:w="935" w:type="dxa"/>
            <w:shd w:val="clear" w:color="auto" w:fill="FBCE76" w:themeFill="background2" w:themeFillTint="99"/>
            <w:tcMar>
              <w:right w:w="144" w:type="dxa"/>
            </w:tcMar>
          </w:tcPr>
          <w:p w:rsidR="0025434B" w:rsidRPr="00E72DC7"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10,672</w:t>
            </w:r>
          </w:p>
        </w:tc>
        <w:tc>
          <w:tcPr>
            <w:tcW w:w="935" w:type="dxa"/>
            <w:shd w:val="clear" w:color="auto" w:fill="FBCE76" w:themeFill="background2" w:themeFillTint="99"/>
            <w:tcMar>
              <w:right w:w="144" w:type="dxa"/>
            </w:tcMar>
          </w:tcPr>
          <w:p w:rsidR="0025434B" w:rsidRPr="0010044D" w:rsidRDefault="0025434B" w:rsidP="0018616C">
            <w:pPr>
              <w:keepNext/>
              <w:keepLines/>
              <w:spacing w:after="0"/>
              <w:jc w:val="right"/>
              <w:cnfStyle w:val="000000100000"/>
              <w:rPr>
                <w:rFonts w:ascii="Arial" w:hAnsi="Arial" w:cs="Arial"/>
                <w:b/>
                <w:color w:val="000000" w:themeColor="text1"/>
                <w:sz w:val="18"/>
                <w:szCs w:val="18"/>
              </w:rPr>
            </w:pPr>
            <w:r w:rsidRPr="00E72DC7">
              <w:rPr>
                <w:rFonts w:ascii="Arial" w:hAnsi="Arial" w:cs="Arial"/>
                <w:b/>
                <w:color w:val="000000" w:themeColor="text1"/>
                <w:sz w:val="18"/>
                <w:szCs w:val="18"/>
              </w:rPr>
              <w:t>100</w:t>
            </w:r>
          </w:p>
        </w:tc>
      </w:tr>
    </w:tbl>
    <w:p w:rsidR="004001CC" w:rsidRPr="00D93A06" w:rsidRDefault="004001CC" w:rsidP="008978BC">
      <w:pPr>
        <w:keepNext/>
        <w:keepLines/>
        <w:spacing w:before="120" w:after="80" w:line="240" w:lineRule="auto"/>
        <w:ind w:left="360" w:hanging="270"/>
        <w:rPr>
          <w:rFonts w:ascii="Arial" w:hAnsi="Arial" w:cs="Arial"/>
          <w:sz w:val="16"/>
          <w:szCs w:val="16"/>
        </w:rPr>
      </w:pPr>
      <w:r w:rsidRPr="00D93A06">
        <w:rPr>
          <w:rFonts w:ascii="Arial" w:hAnsi="Arial" w:cs="Arial"/>
          <w:sz w:val="16"/>
          <w:szCs w:val="16"/>
        </w:rPr>
        <w:t>(a) Percentages may not sum to 100 because of rounding.</w:t>
      </w:r>
      <w:r w:rsidR="0008191F">
        <w:rPr>
          <w:rFonts w:ascii="Arial" w:hAnsi="Arial" w:cs="Arial"/>
          <w:sz w:val="16"/>
          <w:szCs w:val="16"/>
        </w:rPr>
        <w:t xml:space="preserve"> </w:t>
      </w:r>
    </w:p>
    <w:p w:rsidR="004001CC" w:rsidRDefault="004001CC" w:rsidP="008978BC">
      <w:pPr>
        <w:keepNext/>
        <w:keepLines/>
        <w:spacing w:line="240" w:lineRule="auto"/>
        <w:ind w:left="360" w:hanging="270"/>
        <w:rPr>
          <w:rFonts w:ascii="Arial" w:hAnsi="Arial" w:cs="Arial"/>
          <w:sz w:val="16"/>
          <w:szCs w:val="16"/>
        </w:rPr>
      </w:pPr>
      <w:r w:rsidRPr="00D93A06">
        <w:rPr>
          <w:rFonts w:ascii="Arial" w:hAnsi="Arial" w:cs="Arial"/>
          <w:sz w:val="16"/>
          <w:szCs w:val="16"/>
        </w:rPr>
        <w:t>(b</w:t>
      </w:r>
      <w:r w:rsidRPr="002258D1">
        <w:rPr>
          <w:rFonts w:ascii="Arial" w:hAnsi="Arial" w:cs="Arial"/>
          <w:sz w:val="16"/>
          <w:szCs w:val="16"/>
        </w:rPr>
        <w:t>) This includes wind projects in New England (including affected non-FERC queue projects) and ignores duplicate listings for projects with more than one potential interconnection point.</w:t>
      </w:r>
    </w:p>
    <w:p w:rsidR="0018616C" w:rsidRPr="00D93A06" w:rsidRDefault="0018616C" w:rsidP="0018616C">
      <w:pPr>
        <w:spacing w:after="0" w:line="240" w:lineRule="auto"/>
        <w:rPr>
          <w:rFonts w:ascii="Arial" w:hAnsi="Arial" w:cs="Arial"/>
          <w:sz w:val="16"/>
          <w:szCs w:val="16"/>
        </w:rPr>
      </w:pPr>
    </w:p>
    <w:p w:rsidR="004001CC" w:rsidRDefault="00832C7A" w:rsidP="00073277">
      <w:fldSimple w:instr=" REF _Ref230686829 \h  \* MERGEFORMAT ">
        <w:r w:rsidR="00E5699E" w:rsidRPr="00916387">
          <w:t xml:space="preserve">Figure </w:t>
        </w:r>
        <w:r w:rsidR="00E5699E">
          <w:rPr>
            <w:noProof/>
          </w:rPr>
          <w:t>8</w:t>
        </w:r>
        <w:r w:rsidR="00E5699E" w:rsidRPr="00916387">
          <w:rPr>
            <w:noProof/>
          </w:rPr>
          <w:noBreakHyphen/>
        </w:r>
        <w:r w:rsidR="00E5699E">
          <w:rPr>
            <w:noProof/>
          </w:rPr>
          <w:t>8</w:t>
        </w:r>
      </w:fldSimple>
      <w:r w:rsidR="004001CC" w:rsidRPr="00892882">
        <w:t xml:space="preserve"> shows the annual new cumulative RPS targets for renewables from 2010 to 2020 compared with the annual potential electric energy production by renewable projects in </w:t>
      </w:r>
      <w:r w:rsidR="004001CC" w:rsidRPr="006B2DFB">
        <w:t xml:space="preserve">the queue on the basis of the projected commercial operation date for these projects and assuming the capacity factors shown in </w:t>
      </w:r>
      <w:fldSimple w:instr=" REF _Ref229907059  \* MERGEFORMAT ">
        <w:r w:rsidR="00E5699E" w:rsidRPr="00E17A73">
          <w:t>Table </w:t>
        </w:r>
        <w:r w:rsidR="00E5699E">
          <w:t>8</w:t>
        </w:r>
        <w:r w:rsidR="00E5699E">
          <w:noBreakHyphen/>
          <w:t>19</w:t>
        </w:r>
      </w:fldSimple>
      <w:r w:rsidR="004001CC" w:rsidRPr="006B2DFB">
        <w:t>.</w:t>
      </w:r>
      <w:r w:rsidR="0011226E" w:rsidRPr="0004592A">
        <w:rPr>
          <w:rStyle w:val="FootnoteReference"/>
          <w:sz w:val="22"/>
        </w:rPr>
        <w:footnoteReference w:id="250"/>
      </w:r>
      <w:r w:rsidR="004001CC" w:rsidRPr="006B2DFB">
        <w:t xml:space="preserve"> Given the </w:t>
      </w:r>
      <w:r w:rsidR="00890D42" w:rsidRPr="00890D42">
        <w:t xml:space="preserve">uncertainty of the success of renewable projects, most of which are wind, and using guidance from </w:t>
      </w:r>
      <w:r w:rsidR="004001CC" w:rsidRPr="00E42B1D">
        <w:t xml:space="preserve">the PAC, </w:t>
      </w:r>
      <w:fldSimple w:instr=" REF _Ref230686829 \h  \* MERGEFORMAT ">
        <w:r w:rsidR="00E5699E" w:rsidRPr="00916387">
          <w:t xml:space="preserve">Figure </w:t>
        </w:r>
        <w:r w:rsidR="00E5699E">
          <w:rPr>
            <w:noProof/>
          </w:rPr>
          <w:t>8</w:t>
        </w:r>
        <w:r w:rsidR="00E5699E" w:rsidRPr="00916387">
          <w:rPr>
            <w:noProof/>
          </w:rPr>
          <w:noBreakHyphen/>
        </w:r>
        <w:r w:rsidR="00E5699E">
          <w:rPr>
            <w:noProof/>
          </w:rPr>
          <w:t>8</w:t>
        </w:r>
      </w:fldSimple>
      <w:r w:rsidR="00916387" w:rsidRPr="00E42B1D">
        <w:t xml:space="preserve"> shows three </w:t>
      </w:r>
      <w:r w:rsidR="00E42B1D" w:rsidRPr="00E42B1D">
        <w:t xml:space="preserve">scenarios </w:t>
      </w:r>
      <w:r w:rsidR="00916387" w:rsidRPr="00E42B1D">
        <w:t>of estimated cumulative electric energy from the renewable resource projects in the queue: 20%, 40%, and 60% of assumed commercial operation</w:t>
      </w:r>
      <w:r w:rsidR="004001CC" w:rsidRPr="00E42B1D">
        <w:t>. These</w:t>
      </w:r>
      <w:r w:rsidR="004001CC" w:rsidRPr="006B2DFB">
        <w:t xml:space="preserve"> reflect different assumed attrition levels of renewable projects of 80%, 60%, and 40%. These assumed levels cover a wider range of attrition of wind projects than historically occurred, as shown in </w:t>
      </w:r>
      <w:fldSimple w:instr=" REF _Ref231198219 \h  \* MERGEFORMAT ">
        <w:r w:rsidR="00E5699E" w:rsidRPr="00540DE0">
          <w:t>Table </w:t>
        </w:r>
        <w:r w:rsidR="00E5699E">
          <w:t>8</w:t>
        </w:r>
        <w:r w:rsidR="00E5699E">
          <w:noBreakHyphen/>
          <w:t>20</w:t>
        </w:r>
      </w:fldSimple>
      <w:r w:rsidR="004001CC" w:rsidRPr="006B2DFB">
        <w:t xml:space="preserve">. If only 20% of the electric energy from the queue projects became commercially available, </w:t>
      </w:r>
      <w:r w:rsidR="009A41D3">
        <w:t xml:space="preserve">other projects would be needed to meet </w:t>
      </w:r>
      <w:r w:rsidR="004001CC" w:rsidRPr="006B2DFB">
        <w:t>the total</w:t>
      </w:r>
      <w:r w:rsidR="004001CC" w:rsidRPr="00892882">
        <w:t xml:space="preserve"> RPS targets for new </w:t>
      </w:r>
      <w:r w:rsidR="009A41D3">
        <w:t>renewables.</w:t>
      </w:r>
      <w:r w:rsidR="004001CC" w:rsidRPr="00892882">
        <w:t xml:space="preserve"> Starting in 2011, the RPS targets for renewables would start to increase significantly from what the 20% level could provide. Similarly, at a 40% level, the </w:t>
      </w:r>
      <w:r w:rsidR="00872374">
        <w:t xml:space="preserve">queue </w:t>
      </w:r>
      <w:r w:rsidR="004001CC" w:rsidRPr="00892882">
        <w:t xml:space="preserve">projects </w:t>
      </w:r>
      <w:r w:rsidR="00872374">
        <w:t xml:space="preserve">alone </w:t>
      </w:r>
      <w:r w:rsidR="004001CC" w:rsidRPr="00892882">
        <w:t>would meet the RPS through 201</w:t>
      </w:r>
      <w:r w:rsidR="004001CC">
        <w:t>3</w:t>
      </w:r>
      <w:r w:rsidR="004001CC" w:rsidRPr="00892882">
        <w:t xml:space="preserve">. At a 60% level, the queue projects </w:t>
      </w:r>
      <w:r w:rsidR="00872374">
        <w:t xml:space="preserve">alone </w:t>
      </w:r>
      <w:r w:rsidR="004001CC" w:rsidRPr="00892882">
        <w:t>would meet RPS targets through 201</w:t>
      </w:r>
      <w:r w:rsidR="004001CC">
        <w:t>5</w:t>
      </w:r>
      <w:r w:rsidR="004001CC" w:rsidRPr="00892882">
        <w:t xml:space="preserve">. </w:t>
      </w:r>
    </w:p>
    <w:p w:rsidR="00FD72BD" w:rsidRDefault="00FD72BD" w:rsidP="001A14A2">
      <w:pPr>
        <w:spacing w:after="0" w:line="240" w:lineRule="auto"/>
        <w:jc w:val="center"/>
      </w:pPr>
      <w:r w:rsidRPr="00FD72BD">
        <w:rPr>
          <w:noProof/>
        </w:rPr>
        <w:drawing>
          <wp:inline distT="0" distB="0" distL="0" distR="0">
            <wp:extent cx="4351539" cy="3124154"/>
            <wp:effectExtent l="19050" t="19050" r="10911" b="19096"/>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4352876" cy="3125114"/>
                    </a:xfrm>
                    <a:prstGeom prst="rect">
                      <a:avLst/>
                    </a:prstGeom>
                    <a:noFill/>
                    <a:ln w="9525">
                      <a:solidFill>
                        <a:schemeClr val="tx1"/>
                      </a:solidFill>
                      <a:miter lim="800000"/>
                      <a:headEnd/>
                      <a:tailEnd/>
                    </a:ln>
                  </pic:spPr>
                </pic:pic>
              </a:graphicData>
            </a:graphic>
          </wp:inline>
        </w:drawing>
      </w:r>
    </w:p>
    <w:p w:rsidR="0031359B" w:rsidRPr="0007327C" w:rsidRDefault="00916387" w:rsidP="0053044A">
      <w:pPr>
        <w:pStyle w:val="Caption-Figure"/>
        <w:tabs>
          <w:tab w:val="left" w:pos="8820"/>
        </w:tabs>
        <w:spacing w:after="80"/>
        <w:ind w:left="1260" w:right="1170"/>
      </w:pPr>
      <w:bookmarkStart w:id="709" w:name="_Ref230686829"/>
      <w:bookmarkStart w:id="710" w:name="_Toc239157196"/>
      <w:bookmarkStart w:id="711" w:name="_Toc271552388"/>
      <w:r w:rsidRPr="00916387">
        <w:t xml:space="preserve">Figure </w:t>
      </w:r>
      <w:fldSimple w:instr=" STYLEREF 1 \s ">
        <w:r w:rsidR="00E5699E">
          <w:rPr>
            <w:noProof/>
          </w:rPr>
          <w:t>8</w:t>
        </w:r>
      </w:fldSimple>
      <w:r w:rsidRPr="00916387">
        <w:noBreakHyphen/>
      </w:r>
      <w:fldSimple w:instr=" SEQ Figure \* ARABIC \s 1 ">
        <w:r w:rsidR="00E5699E">
          <w:rPr>
            <w:noProof/>
          </w:rPr>
          <w:t>8</w:t>
        </w:r>
      </w:fldSimple>
      <w:bookmarkEnd w:id="709"/>
      <w:r w:rsidRPr="00916387">
        <w:t>: Various levels of estimated cumulative electric energy from new renewable projects in the ISO queue, as of April 1, 2010 (including affected non-FERC queue projects) compared with RPS demand by year.</w:t>
      </w:r>
      <w:bookmarkEnd w:id="710"/>
      <w:bookmarkEnd w:id="711"/>
    </w:p>
    <w:p w:rsidR="004001CC" w:rsidRPr="00D93A06" w:rsidRDefault="00890D42" w:rsidP="0053044A">
      <w:pPr>
        <w:tabs>
          <w:tab w:val="left" w:pos="8820"/>
        </w:tabs>
        <w:spacing w:line="240" w:lineRule="auto"/>
        <w:ind w:left="1260" w:right="1170"/>
        <w:rPr>
          <w:rFonts w:ascii="Arial" w:hAnsi="Arial" w:cs="Arial"/>
          <w:sz w:val="16"/>
          <w:szCs w:val="16"/>
        </w:rPr>
      </w:pPr>
      <w:r w:rsidRPr="00890D42">
        <w:rPr>
          <w:rFonts w:ascii="Arial" w:hAnsi="Arial" w:cs="Arial"/>
          <w:b/>
          <w:sz w:val="16"/>
          <w:szCs w:val="16"/>
        </w:rPr>
        <w:t>Notes:</w:t>
      </w:r>
      <w:r w:rsidRPr="00890D42">
        <w:rPr>
          <w:rFonts w:ascii="Arial" w:hAnsi="Arial" w:cs="Arial"/>
          <w:sz w:val="16"/>
          <w:szCs w:val="16"/>
        </w:rPr>
        <w:t xml:space="preserve"> Various percentages of electric energy availability from queue projects have been assumed and are not projections of the projects’ expected energy production. RPSs also can be met with behind</w:t>
      </w:r>
      <w:r w:rsidR="00187DEB">
        <w:rPr>
          <w:rFonts w:ascii="Arial" w:hAnsi="Arial" w:cs="Arial"/>
          <w:sz w:val="16"/>
          <w:szCs w:val="16"/>
        </w:rPr>
        <w:t>-</w:t>
      </w:r>
      <w:r w:rsidRPr="00890D42">
        <w:rPr>
          <w:rFonts w:ascii="Arial" w:hAnsi="Arial" w:cs="Arial"/>
          <w:sz w:val="16"/>
          <w:szCs w:val="16"/>
        </w:rPr>
        <w:t>the</w:t>
      </w:r>
      <w:r w:rsidR="00187DEB">
        <w:rPr>
          <w:rFonts w:ascii="Arial" w:hAnsi="Arial" w:cs="Arial"/>
          <w:sz w:val="16"/>
          <w:szCs w:val="16"/>
        </w:rPr>
        <w:t>-</w:t>
      </w:r>
      <w:r w:rsidRPr="00890D42">
        <w:rPr>
          <w:rFonts w:ascii="Arial" w:hAnsi="Arial" w:cs="Arial"/>
          <w:sz w:val="16"/>
          <w:szCs w:val="16"/>
        </w:rPr>
        <w:t>meter</w:t>
      </w:r>
      <w:r w:rsidR="00187DEB">
        <w:rPr>
          <w:rFonts w:ascii="Arial" w:hAnsi="Arial" w:cs="Arial"/>
          <w:sz w:val="16"/>
          <w:szCs w:val="16"/>
        </w:rPr>
        <w:t xml:space="preserve"> projects</w:t>
      </w:r>
      <w:r w:rsidRPr="00890D42">
        <w:rPr>
          <w:rFonts w:ascii="Arial" w:hAnsi="Arial" w:cs="Arial"/>
          <w:sz w:val="16"/>
          <w:szCs w:val="16"/>
        </w:rPr>
        <w:t xml:space="preserve">, imports, new projects not in the queue, and Alternative </w:t>
      </w:r>
      <w:r w:rsidR="00916387" w:rsidRPr="00916387">
        <w:rPr>
          <w:rFonts w:ascii="Arial" w:hAnsi="Arial" w:cs="Arial"/>
          <w:sz w:val="16"/>
          <w:szCs w:val="16"/>
        </w:rPr>
        <w:t>Compliance Payments.</w:t>
      </w:r>
    </w:p>
    <w:p w:rsidR="00FC0261" w:rsidRPr="00276BC0" w:rsidRDefault="00916387" w:rsidP="00235A65">
      <w:pPr>
        <w:pStyle w:val="Heading4"/>
      </w:pPr>
      <w:bookmarkStart w:id="712" w:name="_Ref271123067"/>
      <w:r w:rsidRPr="00916387">
        <w:t xml:space="preserve">Other </w:t>
      </w:r>
      <w:r w:rsidR="00932C94">
        <w:t xml:space="preserve">Ways of </w:t>
      </w:r>
      <w:r w:rsidR="0001667E">
        <w:t xml:space="preserve">Meeting </w:t>
      </w:r>
      <w:r w:rsidRPr="00916387">
        <w:t xml:space="preserve">New England’s Renewable </w:t>
      </w:r>
      <w:r w:rsidR="0001667E">
        <w:t>Portfolio Standards</w:t>
      </w:r>
      <w:bookmarkEnd w:id="712"/>
    </w:p>
    <w:p w:rsidR="009D42A3" w:rsidRPr="00E42B1D" w:rsidRDefault="00916387" w:rsidP="00391D7A">
      <w:pPr>
        <w:pStyle w:val="Default"/>
        <w:spacing w:after="240"/>
        <w:rPr>
          <w:sz w:val="22"/>
          <w:szCs w:val="22"/>
        </w:rPr>
      </w:pPr>
      <w:r w:rsidRPr="00916387">
        <w:rPr>
          <w:sz w:val="22"/>
        </w:rPr>
        <w:t>The ISO recognizes that renewable resources other than those projects in the ISO queue will be used to meet some of the RPS demand in New England.</w:t>
      </w:r>
      <w:r w:rsidRPr="00916387">
        <w:rPr>
          <w:rStyle w:val="FootnoteReference"/>
          <w:sz w:val="22"/>
        </w:rPr>
        <w:footnoteReference w:id="251"/>
      </w:r>
      <w:r w:rsidRPr="00916387">
        <w:rPr>
          <w:sz w:val="22"/>
        </w:rPr>
        <w:t xml:space="preserve"> These additional renewable projects include small, on-site and behind-the-meter renewable resources not in the queue; renewable </w:t>
      </w:r>
      <w:r w:rsidRPr="00E42B1D">
        <w:rPr>
          <w:sz w:val="22"/>
        </w:rPr>
        <w:t>projects in New England</w:t>
      </w:r>
      <w:r w:rsidR="00E27310" w:rsidRPr="00E42B1D">
        <w:rPr>
          <w:sz w:val="22"/>
        </w:rPr>
        <w:t xml:space="preserve"> </w:t>
      </w:r>
      <w:r w:rsidRPr="00E42B1D">
        <w:rPr>
          <w:sz w:val="22"/>
        </w:rPr>
        <w:t>not</w:t>
      </w:r>
      <w:r w:rsidRPr="00916387">
        <w:rPr>
          <w:sz w:val="22"/>
        </w:rPr>
        <w:t xml:space="preserve"> yet in the queue or under development; eligible renewable fuels in existing generators; and imported energy from renewable projects in adjacent balancing authority </w:t>
      </w:r>
      <w:r w:rsidRPr="008368B9">
        <w:rPr>
          <w:sz w:val="22"/>
        </w:rPr>
        <w:t>areas. In 200</w:t>
      </w:r>
      <w:r w:rsidR="002E18FF" w:rsidRPr="008368B9">
        <w:rPr>
          <w:sz w:val="22"/>
        </w:rPr>
        <w:t>8</w:t>
      </w:r>
      <w:r w:rsidRPr="008368B9">
        <w:rPr>
          <w:sz w:val="22"/>
        </w:rPr>
        <w:t xml:space="preserve">, the Massachusetts RPS compliance resources from imports into New England amounted to </w:t>
      </w:r>
      <w:r w:rsidR="002E18FF" w:rsidRPr="008368B9">
        <w:rPr>
          <w:sz w:val="22"/>
        </w:rPr>
        <w:t>4</w:t>
      </w:r>
      <w:r w:rsidRPr="008368B9">
        <w:rPr>
          <w:sz w:val="22"/>
        </w:rPr>
        <w:t>0%.</w:t>
      </w:r>
      <w:r w:rsidRPr="008368B9">
        <w:rPr>
          <w:rStyle w:val="FootnoteReference"/>
          <w:sz w:val="22"/>
        </w:rPr>
        <w:footnoteReference w:id="252"/>
      </w:r>
      <w:r w:rsidRPr="008368B9">
        <w:rPr>
          <w:sz w:val="22"/>
        </w:rPr>
        <w:t xml:space="preserve"> The</w:t>
      </w:r>
      <w:r w:rsidRPr="0001667E">
        <w:rPr>
          <w:sz w:val="22"/>
        </w:rPr>
        <w:t xml:space="preserve"> Alternative Compliance Payment is a default that affected LSEs also could use for meeting RPS </w:t>
      </w:r>
      <w:r w:rsidR="00987991" w:rsidRPr="0001667E">
        <w:rPr>
          <w:sz w:val="22"/>
        </w:rPr>
        <w:t>targets</w:t>
      </w:r>
      <w:r w:rsidR="007D2A8F" w:rsidRPr="0001667E">
        <w:rPr>
          <w:sz w:val="22"/>
          <w:szCs w:val="22"/>
        </w:rPr>
        <w:t>.</w:t>
      </w:r>
      <w:r w:rsidR="007D2A8F" w:rsidRPr="0004592A">
        <w:rPr>
          <w:rStyle w:val="FootnoteReference"/>
          <w:sz w:val="22"/>
          <w:szCs w:val="22"/>
        </w:rPr>
        <w:footnoteReference w:id="253"/>
      </w:r>
      <w:r w:rsidR="007D2A8F" w:rsidRPr="0001667E">
        <w:rPr>
          <w:sz w:val="22"/>
          <w:szCs w:val="22"/>
        </w:rPr>
        <w:t xml:space="preserve"> </w:t>
      </w:r>
      <w:r w:rsidR="00932C94" w:rsidRPr="00DB3AC1">
        <w:rPr>
          <w:sz w:val="22"/>
          <w:szCs w:val="22"/>
        </w:rPr>
        <w:t>The ACP acts as an administrative cap on the cost of renewable sources of electric energy, and ACP funds are used to promote the development of new renewable resources and energy efficiency in the region.</w:t>
      </w:r>
    </w:p>
    <w:p w:rsidR="00022504" w:rsidRDefault="00916387">
      <w:pPr>
        <w:pStyle w:val="Default"/>
        <w:spacing w:after="335"/>
      </w:pPr>
      <w:r w:rsidRPr="00E42B1D">
        <w:rPr>
          <w:sz w:val="22"/>
          <w:szCs w:val="22"/>
        </w:rPr>
        <w:t xml:space="preserve">To meet their RPS targets, Massachusetts and Connecticut have been certifying some existing renewable generators to qualify for the “new” RPS category and, in some cases, requiring technology upgrades. Retail competitive suppliers will likely continue to use these </w:t>
      </w:r>
      <w:r w:rsidR="008828E8" w:rsidRPr="00E42B1D">
        <w:rPr>
          <w:sz w:val="22"/>
          <w:szCs w:val="22"/>
        </w:rPr>
        <w:t xml:space="preserve">generators </w:t>
      </w:r>
      <w:r w:rsidRPr="00E42B1D">
        <w:rPr>
          <w:sz w:val="22"/>
          <w:szCs w:val="22"/>
        </w:rPr>
        <w:t>for partial compliance with RPS classes for new renewable</w:t>
      </w:r>
      <w:r w:rsidR="00FB1C2D" w:rsidRPr="00E42B1D">
        <w:rPr>
          <w:sz w:val="22"/>
          <w:szCs w:val="22"/>
        </w:rPr>
        <w:t xml:space="preserve"> resource</w:t>
      </w:r>
      <w:r w:rsidRPr="00E42B1D">
        <w:rPr>
          <w:sz w:val="22"/>
          <w:szCs w:val="22"/>
        </w:rPr>
        <w:t>s.</w:t>
      </w:r>
      <w:r w:rsidRPr="00916387">
        <w:rPr>
          <w:sz w:val="22"/>
          <w:szCs w:val="22"/>
        </w:rPr>
        <w:t xml:space="preserve"> </w:t>
      </w:r>
      <w:bookmarkStart w:id="713" w:name="_Toc176245046"/>
    </w:p>
    <w:p w:rsidR="001B3090" w:rsidRDefault="004001CC">
      <w:pPr>
        <w:pStyle w:val="Heading2"/>
      </w:pPr>
      <w:bookmarkStart w:id="714" w:name="_Toc201669977"/>
      <w:bookmarkStart w:id="715" w:name="_Toc207531877"/>
      <w:bookmarkStart w:id="716" w:name="_Toc239157114"/>
      <w:bookmarkStart w:id="717" w:name="_Toc271632295"/>
      <w:r w:rsidRPr="00A73C4F">
        <w:t>Summa</w:t>
      </w:r>
      <w:bookmarkEnd w:id="713"/>
      <w:r w:rsidRPr="00A73C4F">
        <w:t>ry</w:t>
      </w:r>
      <w:bookmarkEnd w:id="714"/>
      <w:bookmarkEnd w:id="715"/>
      <w:bookmarkEnd w:id="716"/>
      <w:bookmarkEnd w:id="717"/>
      <w:r>
        <w:t xml:space="preserve"> </w:t>
      </w:r>
    </w:p>
    <w:p w:rsidR="004001CC" w:rsidRPr="00892882" w:rsidRDefault="004001CC" w:rsidP="00073277">
      <w:r w:rsidRPr="00892882">
        <w:t xml:space="preserve">Providing electricity at a reasonable cost while meeting environmental goals </w:t>
      </w:r>
      <w:r w:rsidR="008E6DFA">
        <w:t>for</w:t>
      </w:r>
      <w:r w:rsidRPr="00892882">
        <w:t xml:space="preserve"> air and water </w:t>
      </w:r>
      <w:r w:rsidR="00243DDB">
        <w:t xml:space="preserve">quality </w:t>
      </w:r>
      <w:r w:rsidRPr="00892882">
        <w:t>can create competing requirements for reliably meeting New England’s demand for electricity. The region’s stakeholders, including the ISO, NEPOOL participants, and state environmental agencies</w:t>
      </w:r>
      <w:r w:rsidR="0060183E">
        <w:t>,</w:t>
      </w:r>
      <w:r w:rsidRPr="00892882">
        <w:t xml:space="preserve"> should collaborate on any needed planning to meet these </w:t>
      </w:r>
      <w:r w:rsidR="00243DDB">
        <w:t>environmental initiatives</w:t>
      </w:r>
      <w:r w:rsidRPr="00892882">
        <w:t>. The key issues for the region’s major power plants will be compl</w:t>
      </w:r>
      <w:r w:rsidR="0084263B">
        <w:t xml:space="preserve">ying with the </w:t>
      </w:r>
      <w:r w:rsidRPr="00892882">
        <w:t>requirements to meet the ozone standard, potential climate change legislation</w:t>
      </w:r>
      <w:r w:rsidR="0084263B">
        <w:t>,</w:t>
      </w:r>
      <w:r w:rsidRPr="00892882">
        <w:t xml:space="preserve"> RGGI revisions</w:t>
      </w:r>
      <w:r w:rsidR="00786F1A">
        <w:t>,</w:t>
      </w:r>
      <w:r w:rsidRPr="00892882">
        <w:t xml:space="preserve"> and EPA’s cooling water intake permit requirements.</w:t>
      </w:r>
    </w:p>
    <w:p w:rsidR="0025434B" w:rsidRPr="00166976" w:rsidRDefault="000862E2" w:rsidP="0025434B">
      <w:r w:rsidRPr="000862E2">
        <w:t>The New England generation emissions analysis</w:t>
      </w:r>
      <w:r w:rsidR="0084263B">
        <w:t>,</w:t>
      </w:r>
      <w:r w:rsidRPr="000862E2">
        <w:t xml:space="preserve"> covering average and marginal emission rates</w:t>
      </w:r>
      <w:r w:rsidR="0084263B">
        <w:t>,</w:t>
      </w:r>
      <w:r w:rsidRPr="000862E2">
        <w:t xml:space="preserve"> shows a continuing decline in the region’s SO</w:t>
      </w:r>
      <w:r w:rsidRPr="000862E2">
        <w:rPr>
          <w:vertAlign w:val="subscript"/>
        </w:rPr>
        <w:t>2</w:t>
      </w:r>
      <w:r w:rsidRPr="000862E2">
        <w:t>, NO</w:t>
      </w:r>
      <w:r w:rsidRPr="000862E2">
        <w:rPr>
          <w:vertAlign w:val="subscript"/>
        </w:rPr>
        <w:t>X</w:t>
      </w:r>
      <w:r w:rsidR="0060183E">
        <w:t>,</w:t>
      </w:r>
      <w:r w:rsidRPr="000862E2">
        <w:t xml:space="preserve"> and CO</w:t>
      </w:r>
      <w:r w:rsidRPr="000862E2">
        <w:rPr>
          <w:vertAlign w:val="subscript"/>
        </w:rPr>
        <w:t>2</w:t>
      </w:r>
      <w:r w:rsidRPr="000862E2">
        <w:t xml:space="preserve"> emissions</w:t>
      </w:r>
      <w:r w:rsidR="00662103">
        <w:t xml:space="preserve">. </w:t>
      </w:r>
      <w:r w:rsidRPr="000862E2">
        <w:t>Even the total emissions for SO</w:t>
      </w:r>
      <w:r w:rsidRPr="000862E2">
        <w:rPr>
          <w:vertAlign w:val="subscript"/>
        </w:rPr>
        <w:t>2</w:t>
      </w:r>
      <w:r w:rsidRPr="000862E2">
        <w:t xml:space="preserve"> and NO</w:t>
      </w:r>
      <w:r w:rsidRPr="000862E2">
        <w:rPr>
          <w:vertAlign w:val="subscript"/>
        </w:rPr>
        <w:t>X</w:t>
      </w:r>
      <w:r w:rsidRPr="000862E2">
        <w:t xml:space="preserve"> have continued to decrease with time</w:t>
      </w:r>
      <w:r w:rsidRPr="0084263B">
        <w:t>.</w:t>
      </w:r>
      <w:r w:rsidR="0025434B" w:rsidRPr="0084263B">
        <w:t xml:space="preserve"> This is the result of generating units using cleaner fuels, particularly natural gas, and adding emission controls to generating plants over the last 10 years.</w:t>
      </w:r>
    </w:p>
    <w:p w:rsidR="004001CC" w:rsidRPr="00892882" w:rsidRDefault="004001CC" w:rsidP="00073277">
      <w:r>
        <w:t xml:space="preserve">The </w:t>
      </w:r>
      <w:r w:rsidRPr="00892882">
        <w:t>ISO also conducted a new analysis of NO</w:t>
      </w:r>
      <w:r>
        <w:rPr>
          <w:vertAlign w:val="subscript"/>
        </w:rPr>
        <w:t>X</w:t>
      </w:r>
      <w:r w:rsidRPr="00892882">
        <w:t xml:space="preserve"> </w:t>
      </w:r>
      <w:r w:rsidR="00987991" w:rsidRPr="00987991">
        <w:t>emissions on 20 historic</w:t>
      </w:r>
      <w:r w:rsidRPr="00892882">
        <w:t xml:space="preserve"> peak-load days. The analysis determined that the increase in emissions for the last 500 MW of </w:t>
      </w:r>
      <w:r w:rsidR="00585CEC">
        <w:t xml:space="preserve">fossil fuel </w:t>
      </w:r>
      <w:r w:rsidRPr="00892882">
        <w:t xml:space="preserve">generation serving the peak loads ranged </w:t>
      </w:r>
      <w:r w:rsidR="00987991" w:rsidRPr="00987991">
        <w:t>from 2 to 11 lbs/MWh</w:t>
      </w:r>
      <w:r w:rsidRPr="00892882">
        <w:t xml:space="preserve"> over the 20 </w:t>
      </w:r>
      <w:r w:rsidRPr="000425D7">
        <w:t xml:space="preserve">days. </w:t>
      </w:r>
      <w:r w:rsidR="00187DEB">
        <w:t xml:space="preserve">The ISO will </w:t>
      </w:r>
      <w:r w:rsidR="00F46CEB" w:rsidRPr="000425D7">
        <w:t>issue</w:t>
      </w:r>
      <w:r w:rsidR="00187DEB">
        <w:t xml:space="preserve"> a report </w:t>
      </w:r>
      <w:r w:rsidRPr="000425D7">
        <w:t>cover</w:t>
      </w:r>
      <w:r w:rsidR="00187DEB">
        <w:t xml:space="preserve">ing </w:t>
      </w:r>
      <w:r w:rsidRPr="000425D7">
        <w:t>this analysis of system peak-load NO</w:t>
      </w:r>
      <w:r w:rsidRPr="000425D7">
        <w:rPr>
          <w:vertAlign w:val="subscript"/>
        </w:rPr>
        <w:t>X</w:t>
      </w:r>
      <w:r w:rsidRPr="000425D7">
        <w:t xml:space="preserve"> emissions</w:t>
      </w:r>
      <w:r w:rsidR="00987991" w:rsidRPr="000425D7">
        <w:t>.</w:t>
      </w:r>
    </w:p>
    <w:p w:rsidR="004001CC" w:rsidRPr="00892882" w:rsidRDefault="004001CC" w:rsidP="00073277">
      <w:r w:rsidRPr="00892882">
        <w:t xml:space="preserve">A summary of </w:t>
      </w:r>
      <w:r>
        <w:t xml:space="preserve">the </w:t>
      </w:r>
      <w:r w:rsidRPr="00892882">
        <w:t>New England states</w:t>
      </w:r>
      <w:r>
        <w:t>’</w:t>
      </w:r>
      <w:r w:rsidRPr="00892882">
        <w:t xml:space="preserve"> energy</w:t>
      </w:r>
      <w:r>
        <w:t>-</w:t>
      </w:r>
      <w:r w:rsidRPr="00892882">
        <w:t>efficiency programs and goals show</w:t>
      </w:r>
      <w:r>
        <w:t>s</w:t>
      </w:r>
      <w:r w:rsidRPr="00892882">
        <w:t xml:space="preserve"> a policy focus of achieving all cost-effective energy efficiency as the region’s energy resource of first priority. Increased funding for achieving this goal is coming from increased state energy</w:t>
      </w:r>
      <w:r>
        <w:t>-</w:t>
      </w:r>
      <w:r w:rsidRPr="00892882">
        <w:t>efficiency budgets, FCM revenues</w:t>
      </w:r>
      <w:r>
        <w:t>,</w:t>
      </w:r>
      <w:r w:rsidRPr="00892882">
        <w:t xml:space="preserve"> and the majority of RGGI auction revenues. Measurement and verification of energy reductions will become more important to </w:t>
      </w:r>
      <w:r w:rsidR="006D005E">
        <w:t xml:space="preserve">assess </w:t>
      </w:r>
      <w:r w:rsidRPr="00892882">
        <w:t xml:space="preserve">the </w:t>
      </w:r>
      <w:r w:rsidR="006D005E">
        <w:t xml:space="preserve">extent </w:t>
      </w:r>
      <w:r w:rsidR="00BE1204">
        <w:t xml:space="preserve">that </w:t>
      </w:r>
      <w:r w:rsidRPr="00892882">
        <w:t>targeted reductions from the state programs are achieved</w:t>
      </w:r>
      <w:r w:rsidR="006D005E">
        <w:t xml:space="preserve">. Analysis using this input and other information has the potential to improve </w:t>
      </w:r>
      <w:r w:rsidR="001F34EB">
        <w:t>the</w:t>
      </w:r>
      <w:r w:rsidR="006D005E">
        <w:t xml:space="preserve"> long-term accuracy of the ISO load forecast.</w:t>
      </w:r>
    </w:p>
    <w:p w:rsidR="004001CC" w:rsidRPr="00892882" w:rsidRDefault="004001CC" w:rsidP="00073277">
      <w:r w:rsidRPr="00892882">
        <w:t xml:space="preserve">The total RPS and related energy-efficiency targets will increase to approximately </w:t>
      </w:r>
      <w:r w:rsidR="00951A59">
        <w:t>25.5</w:t>
      </w:r>
      <w:r w:rsidRPr="00892882">
        <w:t>% of New England‘s total projected energy use by 201</w:t>
      </w:r>
      <w:r>
        <w:t>7</w:t>
      </w:r>
      <w:r w:rsidRPr="00892882">
        <w:t xml:space="preserve"> and reach </w:t>
      </w:r>
      <w:r w:rsidR="00951A59">
        <w:t>30.4</w:t>
      </w:r>
      <w:r w:rsidRPr="00892882">
        <w:t xml:space="preserve">% by 2020. </w:t>
      </w:r>
      <w:r w:rsidRPr="00D3526C">
        <w:t xml:space="preserve">State energy-efficiency programs make up about a third of this </w:t>
      </w:r>
      <w:r>
        <w:t xml:space="preserve">by </w:t>
      </w:r>
      <w:r w:rsidRPr="00D3526C">
        <w:t>2017; the remainder is attributable to Renewable Portfolio Standards and related polici</w:t>
      </w:r>
      <w:r w:rsidRPr="00892882">
        <w:t xml:space="preserve">es. </w:t>
      </w:r>
    </w:p>
    <w:p w:rsidR="004001CC" w:rsidRDefault="004001CC" w:rsidP="00073277">
      <w:pPr>
        <w:sectPr w:rsidR="004001CC" w:rsidSect="00015282">
          <w:footerReference w:type="default" r:id="rId61"/>
          <w:pgSz w:w="12240" w:h="15840"/>
          <w:pgMar w:top="1350" w:right="1440" w:bottom="1440" w:left="1440" w:header="720" w:footer="720" w:gutter="0"/>
          <w:cols w:space="720"/>
          <w:docGrid w:linePitch="360"/>
        </w:sectPr>
      </w:pPr>
      <w:r w:rsidRPr="00892882">
        <w:t xml:space="preserve">The ISO </w:t>
      </w:r>
      <w:r w:rsidR="00916387" w:rsidRPr="00E42B1D">
        <w:t>recognizes</w:t>
      </w:r>
      <w:r w:rsidRPr="00E42B1D">
        <w:t xml:space="preserve"> the</w:t>
      </w:r>
      <w:r w:rsidRPr="00892882">
        <w:t xml:space="preserve"> uncertainty of success for projects in the </w:t>
      </w:r>
      <w:r w:rsidRPr="006B2DFB">
        <w:t xml:space="preserve">current queue. </w:t>
      </w:r>
      <w:r w:rsidR="00121D8B">
        <w:t>On the b</w:t>
      </w:r>
      <w:r w:rsidRPr="006B2DFB">
        <w:t>as</w:t>
      </w:r>
      <w:r w:rsidR="00121D8B">
        <w:t xml:space="preserve">is </w:t>
      </w:r>
      <w:r w:rsidRPr="006B2DFB">
        <w:t>o</w:t>
      </w:r>
      <w:r w:rsidR="00121D8B">
        <w:t>f</w:t>
      </w:r>
      <w:r w:rsidRPr="006B2DFB">
        <w:t xml:space="preserve"> assumptions</w:t>
      </w:r>
      <w:r w:rsidR="0041239F">
        <w:t xml:space="preserve"> used in the three scenarios presented</w:t>
      </w:r>
      <w:r w:rsidRPr="006B2DFB">
        <w:t>, these projects would likely meet the incremental growth in the RPS classes for new renewables sometime between 2011 and 2015. For the 10-year planning horizon</w:t>
      </w:r>
      <w:r w:rsidR="0041239F">
        <w:t>,</w:t>
      </w:r>
      <w:r w:rsidRPr="006B2DFB">
        <w:t xml:space="preserve"> the potential supply is greater than </w:t>
      </w:r>
      <w:r w:rsidRPr="000862E2">
        <w:t xml:space="preserve">what is in the ISO </w:t>
      </w:r>
      <w:r w:rsidR="00C814EB" w:rsidRPr="000862E2">
        <w:t>queue (as of April 1, 2010).</w:t>
      </w:r>
      <w:r w:rsidR="000B28AA" w:rsidRPr="0004592A">
        <w:rPr>
          <w:rStyle w:val="FootnoteReference"/>
          <w:sz w:val="22"/>
        </w:rPr>
        <w:footnoteReference w:id="254"/>
      </w:r>
      <w:r w:rsidRPr="0004592A">
        <w:t xml:space="preserve"> </w:t>
      </w:r>
      <w:r w:rsidRPr="000862E2">
        <w:t>Most</w:t>
      </w:r>
      <w:r w:rsidRPr="006B2DFB">
        <w:t xml:space="preserve"> renewable projects</w:t>
      </w:r>
      <w:r w:rsidRPr="00892882">
        <w:t xml:space="preserve"> have a short lead time </w:t>
      </w:r>
      <w:r>
        <w:t>of a few years,</w:t>
      </w:r>
      <w:r w:rsidRPr="00892882">
        <w:t xml:space="preserve"> and </w:t>
      </w:r>
      <w:r>
        <w:t xml:space="preserve">many </w:t>
      </w:r>
      <w:r w:rsidRPr="00892882">
        <w:t xml:space="preserve">new projects </w:t>
      </w:r>
      <w:r>
        <w:t>are likely n</w:t>
      </w:r>
      <w:r w:rsidRPr="00892882">
        <w:t xml:space="preserve">ot yet in the </w:t>
      </w:r>
      <w:r w:rsidRPr="00D769D2">
        <w:t xml:space="preserve">queue. </w:t>
      </w:r>
      <w:r w:rsidR="00821C68" w:rsidRPr="00D769D2">
        <w:t>Also contributing to the</w:t>
      </w:r>
      <w:r w:rsidR="009C30D5">
        <w:t xml:space="preserve"> </w:t>
      </w:r>
      <w:r w:rsidR="00821C68" w:rsidRPr="00D769D2">
        <w:t xml:space="preserve">greater supply are the development of small renewable projects </w:t>
      </w:r>
      <w:r w:rsidR="008A6C23">
        <w:t>“</w:t>
      </w:r>
      <w:r w:rsidR="00821C68" w:rsidRPr="00D769D2">
        <w:t>behind the meter</w:t>
      </w:r>
      <w:r w:rsidR="008A6C23">
        <w:t>”</w:t>
      </w:r>
      <w:r w:rsidR="00821C68" w:rsidRPr="00D769D2">
        <w:t xml:space="preserve"> and the purchase of RECs from projects in neighboring balancing authorit</w:t>
      </w:r>
      <w:r w:rsidR="0007327C">
        <w:t>y area</w:t>
      </w:r>
      <w:r w:rsidR="00821C68" w:rsidRPr="00D769D2">
        <w:t>s, which could help meet any shortfalls</w:t>
      </w:r>
      <w:r w:rsidRPr="00D769D2">
        <w:t xml:space="preserve">. Alternatively, affected </w:t>
      </w:r>
      <w:r w:rsidRPr="00BF4F40">
        <w:t xml:space="preserve">LSEs </w:t>
      </w:r>
      <w:r w:rsidRPr="00D769D2">
        <w:t>can make Alternative Compliance Payments to the states’ clean energy funds, which help finance new renewable projects.</w:t>
      </w:r>
    </w:p>
    <w:p w:rsidR="00ED05F0" w:rsidRDefault="00ED05F0" w:rsidP="00DF39BB">
      <w:pPr>
        <w:pStyle w:val="Heading1"/>
      </w:pPr>
      <w:bookmarkStart w:id="718" w:name="_Ref262118369"/>
      <w:bookmarkStart w:id="719" w:name="_Toc239157121"/>
      <w:r>
        <w:br/>
      </w:r>
      <w:bookmarkStart w:id="720" w:name="_Ref266120299"/>
      <w:bookmarkStart w:id="721" w:name="_Toc271632296"/>
      <w:r>
        <w:t>New Technologies</w:t>
      </w:r>
      <w:bookmarkEnd w:id="718"/>
      <w:bookmarkEnd w:id="720"/>
      <w:bookmarkEnd w:id="721"/>
    </w:p>
    <w:p w:rsidR="00ED05F0" w:rsidRPr="00E023AC" w:rsidRDefault="00832C7A" w:rsidP="00073277">
      <w:r>
        <w:rPr>
          <w:noProof/>
        </w:rPr>
        <w:pict>
          <v:shape id="_x0000_s1034" type="#_x0000_t202" style="position:absolute;margin-left:2584.95pt;margin-top:56.7pt;width:183.6pt;height:196.4pt;z-index:251716608;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4" inset="8.64pt,8.64pt,8.64pt,8.64pt">
              <w:txbxContent>
                <w:p w:rsidR="003C78A4" w:rsidRPr="00171A9D" w:rsidRDefault="003C78A4" w:rsidP="00171A9D">
                  <w:pPr>
                    <w:pStyle w:val="BodyText1"/>
                  </w:pPr>
                  <w:r w:rsidRPr="00171A9D">
                    <w:rPr>
                      <w:szCs w:val="14"/>
                    </w:rPr>
                    <w:t xml:space="preserve"> </w:t>
                  </w:r>
                  <w:r w:rsidRPr="00171A9D">
                    <w:t xml:space="preserve">“In addition, the RSP shall also provide information on a broad variety of power system requirements that serves as input for reviewing the design of the markets and the overall economic performance of the system.” (Attachment K, Overview) </w:t>
                  </w:r>
                </w:p>
                <w:p w:rsidR="003C78A4" w:rsidRPr="00171A9D" w:rsidRDefault="003C78A4" w:rsidP="00171A9D">
                  <w:pPr>
                    <w:pStyle w:val="BodyText1"/>
                  </w:pPr>
                  <w:r>
                    <w:t>“</w:t>
                  </w:r>
                  <w:r w:rsidRPr="00171A9D">
                    <w:t xml:space="preserve">The RSP shall be designed and implemented </w:t>
                  </w:r>
                  <w:r>
                    <w:t xml:space="preserve">to:. . . </w:t>
                  </w:r>
                  <w:r w:rsidRPr="00C957E3">
                    <w:t>(ii) identify facilities that are necessary to meet Planning and Reliability Criteria; (iii) avoid the imposition of unreasonable costs upon any Transmission Owner, Transmission Customer or other user of a transmission facility; . . .and (vi) properly</w:t>
                  </w:r>
                  <w:r w:rsidRPr="00171A9D">
                    <w:t xml:space="preserve"> coordinate with market responses, including, but not limited to generation, merchant transmission and demand-side </w:t>
                  </w:r>
                  <w:r w:rsidRPr="00987991">
                    <w:t>responses.” (Attachment K, §</w:t>
                  </w:r>
                  <w:r>
                    <w:t> </w:t>
                  </w:r>
                  <w:r w:rsidRPr="00987991">
                    <w:t>3.4)</w:t>
                  </w:r>
                </w:p>
                <w:p w:rsidR="003C78A4" w:rsidRPr="001C1510" w:rsidRDefault="003C78A4" w:rsidP="00D50D49">
                  <w:pPr>
                    <w:rPr>
                      <w:i/>
                      <w:szCs w:val="14"/>
                    </w:rPr>
                  </w:pPr>
                </w:p>
              </w:txbxContent>
            </v:textbox>
            <w10:wrap type="square" anchorx="margin" anchory="margin"/>
          </v:shape>
        </w:pict>
      </w:r>
      <w:r w:rsidR="00ED05F0">
        <w:t xml:space="preserve">The ISO strives to keep up to date with new technologies </w:t>
      </w:r>
      <w:r w:rsidR="00ED05F0" w:rsidRPr="0070167A">
        <w:t>that can have</w:t>
      </w:r>
      <w:r w:rsidR="00ED05F0">
        <w:t xml:space="preserve"> an impact on the region’s electric power grid. As policymakers set targets and allocate public funds to developing smart grid initiatives and renewable generation, </w:t>
      </w:r>
      <w:r w:rsidR="00ED05F0" w:rsidRPr="0070167A">
        <w:t xml:space="preserve">the ISO analyzes the effects of these technologies on system operations and reliability. This section discusses several of the technology developments affecting the planning of the New England region. </w:t>
      </w:r>
      <w:r w:rsidR="00B10674">
        <w:t xml:space="preserve">It </w:t>
      </w:r>
      <w:r w:rsidR="00ED05F0" w:rsidRPr="0070167A">
        <w:t>summarizes some of the challenges of integrating smart grid equipment</w:t>
      </w:r>
      <w:r w:rsidR="00B10674">
        <w:t xml:space="preserve"> and </w:t>
      </w:r>
      <w:r w:rsidR="00ED05F0">
        <w:t xml:space="preserve">discusses </w:t>
      </w:r>
      <w:r w:rsidR="00ED05F0" w:rsidRPr="006D1191">
        <w:t>three technologies</w:t>
      </w:r>
      <w:r w:rsidR="006D1191">
        <w:rPr>
          <w:rFonts w:cs="Times New Roman"/>
        </w:rPr>
        <w:t>—</w:t>
      </w:r>
      <w:r w:rsidR="006D1191" w:rsidRPr="006D1191">
        <w:t>active demand resources, dynamic line rating, and flexible alternating-current transmission system (FACTS) devices</w:t>
      </w:r>
      <w:r w:rsidR="006D1191">
        <w:rPr>
          <w:rFonts w:cs="Times New Roman"/>
        </w:rPr>
        <w:t>—</w:t>
      </w:r>
      <w:r w:rsidR="00ED05F0" w:rsidRPr="006D1191">
        <w:t>that would support smart grid enhancements by increasing demand</w:t>
      </w:r>
      <w:r w:rsidR="006D1191" w:rsidRPr="006D1191">
        <w:t>-</w:t>
      </w:r>
      <w:r w:rsidR="00ED05F0" w:rsidRPr="006D1191">
        <w:t xml:space="preserve"> and condition-based adjustments.</w:t>
      </w:r>
      <w:r w:rsidR="00ED05F0" w:rsidRPr="006D1191">
        <w:rPr>
          <w:rStyle w:val="FootnoteReference"/>
          <w:sz w:val="22"/>
        </w:rPr>
        <w:footnoteReference w:id="255"/>
      </w:r>
      <w:r w:rsidR="00ED05F0" w:rsidRPr="00E023AC">
        <w:t xml:space="preserve"> </w:t>
      </w:r>
      <w:r w:rsidR="00B10674">
        <w:t xml:space="preserve">The section also highlights </w:t>
      </w:r>
      <w:r w:rsidR="00ED05F0" w:rsidRPr="00E023AC">
        <w:t xml:space="preserve">two </w:t>
      </w:r>
      <w:r w:rsidR="00FB49C5">
        <w:t xml:space="preserve">types of </w:t>
      </w:r>
      <w:r w:rsidR="00ED05F0" w:rsidRPr="00E023AC">
        <w:t xml:space="preserve">renewable </w:t>
      </w:r>
      <w:r w:rsidR="00FB49C5">
        <w:t xml:space="preserve">resource </w:t>
      </w:r>
      <w:r w:rsidR="00ED05F0" w:rsidRPr="00E023AC">
        <w:t>generation</w:t>
      </w:r>
      <w:r w:rsidR="00FB49C5">
        <w:t xml:space="preserve">, </w:t>
      </w:r>
      <w:r w:rsidR="00ED05F0" w:rsidRPr="00E023AC">
        <w:t>wind and solar</w:t>
      </w:r>
      <w:r w:rsidR="00FB49C5">
        <w:t xml:space="preserve">, </w:t>
      </w:r>
      <w:r w:rsidR="00ED05F0" w:rsidRPr="00E023AC">
        <w:t>and their interconnection challenges.</w:t>
      </w:r>
    </w:p>
    <w:p w:rsidR="00ED05F0" w:rsidRPr="007203D0" w:rsidRDefault="00205075" w:rsidP="00073277">
      <w:r w:rsidRPr="00E023AC">
        <w:t>Attachment K of the OATT requires</w:t>
      </w:r>
      <w:r w:rsidR="00ED05F0" w:rsidRPr="00E023AC">
        <w:t xml:space="preserve"> the</w:t>
      </w:r>
      <w:r w:rsidR="00ED05F0" w:rsidRPr="00520E33">
        <w:t xml:space="preserve"> RSP</w:t>
      </w:r>
      <w:r w:rsidR="00ED05F0">
        <w:t xml:space="preserve"> to provide </w:t>
      </w:r>
      <w:r w:rsidR="00ED05F0" w:rsidRPr="00520E33">
        <w:t xml:space="preserve">information useful for understanding the </w:t>
      </w:r>
      <w:r w:rsidR="00ED05F0">
        <w:t>types and locations of resource and transmission technologies that developers shou</w:t>
      </w:r>
      <w:r w:rsidR="00ED05F0" w:rsidRPr="00520E33">
        <w:t>ld consider.</w:t>
      </w:r>
    </w:p>
    <w:p w:rsidR="001B3090" w:rsidRDefault="00ED05F0">
      <w:pPr>
        <w:pStyle w:val="Heading2"/>
      </w:pPr>
      <w:bookmarkStart w:id="722" w:name="_Toc239157127"/>
      <w:bookmarkStart w:id="723" w:name="_Ref266879805"/>
      <w:bookmarkStart w:id="724" w:name="_Toc271632297"/>
      <w:r w:rsidRPr="00FD14AC">
        <w:t xml:space="preserve">Integration </w:t>
      </w:r>
      <w:r w:rsidRPr="00D93D8A">
        <w:t>of Smart Grid Technologies</w:t>
      </w:r>
      <w:bookmarkEnd w:id="722"/>
      <w:bookmarkEnd w:id="723"/>
      <w:bookmarkEnd w:id="724"/>
    </w:p>
    <w:p w:rsidR="00ED05F0" w:rsidRDefault="00ED05F0" w:rsidP="00073277">
      <w:r w:rsidRPr="00D93D8A">
        <w:t xml:space="preserve">This section provides an overview of </w:t>
      </w:r>
      <w:r w:rsidR="00C957E3">
        <w:t xml:space="preserve">ongoing </w:t>
      </w:r>
      <w:r>
        <w:t>smart grid activities at ISO New England.</w:t>
      </w:r>
    </w:p>
    <w:p w:rsidR="00B462A6" w:rsidRDefault="00ED05F0">
      <w:pPr>
        <w:pStyle w:val="Heading3"/>
      </w:pPr>
      <w:bookmarkStart w:id="725" w:name="_Toc201669981"/>
      <w:bookmarkStart w:id="726" w:name="_Toc207531881"/>
      <w:bookmarkStart w:id="727" w:name="_Toc239157129"/>
      <w:bookmarkStart w:id="728" w:name="_Toc271632298"/>
      <w:r w:rsidRPr="006F52A3">
        <w:t>Operational Challenges and Opportunities</w:t>
      </w:r>
      <w:bookmarkEnd w:id="725"/>
      <w:bookmarkEnd w:id="726"/>
      <w:bookmarkEnd w:id="727"/>
      <w:bookmarkEnd w:id="728"/>
    </w:p>
    <w:p w:rsidR="00CE495E" w:rsidRDefault="00ED05F0" w:rsidP="00073277">
      <w:r>
        <w:t xml:space="preserve">Implementing smart grid initiatives </w:t>
      </w:r>
      <w:r w:rsidRPr="006F52A3">
        <w:t>has</w:t>
      </w:r>
      <w:r>
        <w:t xml:space="preserve"> many challenges for successfully </w:t>
      </w:r>
      <w:r w:rsidR="008B6614">
        <w:t xml:space="preserve">planning and </w:t>
      </w:r>
      <w:r>
        <w:t xml:space="preserve">operating the </w:t>
      </w:r>
      <w:r w:rsidRPr="006F52A3">
        <w:t>system</w:t>
      </w:r>
      <w:r>
        <w:t>.</w:t>
      </w:r>
      <w:r w:rsidRPr="006B30B6">
        <w:t xml:space="preserve"> </w:t>
      </w:r>
      <w:r w:rsidRPr="00643651">
        <w:t>In addition to the need to develop the smart grid technologies, technical standards for</w:t>
      </w:r>
      <w:r w:rsidRPr="006F52A3">
        <w:t xml:space="preserve"> smart grid equipment and operations are lacking. </w:t>
      </w:r>
      <w:r>
        <w:t>Uncertainty over business practices (e.g., cost allocation between transmission and distribution) complicates efforts to add new smart grid infrastructure.</w:t>
      </w:r>
      <w:r w:rsidRPr="006B30B6">
        <w:t xml:space="preserve"> The shift from a centrally controlled grid, with relatively </w:t>
      </w:r>
      <w:r w:rsidRPr="00E43F1A">
        <w:t>large, predictable resources, into a more distributed system that would rely on a greater number of smaller, variable-output resources—that in some cases would have the capability to increase or decrease energy automatically</w:t>
      </w:r>
      <w:r w:rsidR="00121D8B">
        <w:t>,</w:t>
      </w:r>
      <w:r w:rsidRPr="00E43F1A">
        <w:t xml:space="preserve"> </w:t>
      </w:r>
      <w:r w:rsidR="00F774D6">
        <w:t xml:space="preserve">on the </w:t>
      </w:r>
      <w:r w:rsidRPr="00E43F1A">
        <w:t>bas</w:t>
      </w:r>
      <w:r w:rsidR="00F774D6">
        <w:t xml:space="preserve">is </w:t>
      </w:r>
      <w:r w:rsidRPr="00E43F1A">
        <w:t>o</w:t>
      </w:r>
      <w:r w:rsidR="00F774D6">
        <w:t>f</w:t>
      </w:r>
      <w:r w:rsidRPr="00E43F1A">
        <w:t xml:space="preserve"> real-time information—will</w:t>
      </w:r>
      <w:r w:rsidRPr="006B30B6">
        <w:t xml:space="preserve"> add significant complexity to </w:t>
      </w:r>
      <w:r w:rsidR="00E43F1A">
        <w:t xml:space="preserve">power system </w:t>
      </w:r>
      <w:r w:rsidRPr="006B30B6">
        <w:t>operation</w:t>
      </w:r>
      <w:r w:rsidR="00E43F1A">
        <w:t>s</w:t>
      </w:r>
      <w:r>
        <w:t>.</w:t>
      </w:r>
      <w:r w:rsidRPr="006B30B6">
        <w:t xml:space="preserve"> </w:t>
      </w:r>
    </w:p>
    <w:p w:rsidR="00ED05F0" w:rsidRDefault="00ED05F0" w:rsidP="00073277">
      <w:r w:rsidRPr="006B30B6">
        <w:t xml:space="preserve">New, </w:t>
      </w:r>
      <w:r>
        <w:t>s</w:t>
      </w:r>
      <w:r w:rsidRPr="006B30B6">
        <w:t xml:space="preserve">ophisticated </w:t>
      </w:r>
      <w:r w:rsidRPr="00CE495E">
        <w:t>algorithms and</w:t>
      </w:r>
      <w:r w:rsidRPr="006B30B6">
        <w:t xml:space="preserve"> control systems </w:t>
      </w:r>
      <w:r w:rsidR="00CE495E">
        <w:t xml:space="preserve">will be needed to </w:t>
      </w:r>
      <w:r w:rsidRPr="002E6F3A">
        <w:t>co-optimize the</w:t>
      </w:r>
      <w:r>
        <w:t xml:space="preserve"> secure and economical operation of </w:t>
      </w:r>
      <w:r w:rsidRPr="006B30B6">
        <w:t>existing supply and demand technologies with variable-output renewable resources</w:t>
      </w:r>
      <w:r>
        <w:t xml:space="preserve"> </w:t>
      </w:r>
      <w:r w:rsidRPr="006B30B6">
        <w:t xml:space="preserve">and automated </w:t>
      </w:r>
      <w:r>
        <w:t>s</w:t>
      </w:r>
      <w:r w:rsidRPr="006B30B6">
        <w:t xml:space="preserve">mart </w:t>
      </w:r>
      <w:r>
        <w:t>g</w:t>
      </w:r>
      <w:r w:rsidRPr="006B30B6">
        <w:t>rid sense-and-respond devices. The volume of data is expected</w:t>
      </w:r>
      <w:r>
        <w:t xml:space="preserve"> </w:t>
      </w:r>
      <w:r w:rsidRPr="006B30B6">
        <w:t xml:space="preserve">to increase exponentially with </w:t>
      </w:r>
      <w:r>
        <w:t>s</w:t>
      </w:r>
      <w:r w:rsidRPr="006B30B6">
        <w:t xml:space="preserve">mart </w:t>
      </w:r>
      <w:r>
        <w:t>g</w:t>
      </w:r>
      <w:r w:rsidRPr="006B30B6">
        <w:t>rid</w:t>
      </w:r>
      <w:r>
        <w:t xml:space="preserve"> technologies</w:t>
      </w:r>
      <w:r w:rsidRPr="006B30B6">
        <w:t xml:space="preserve">, which will require </w:t>
      </w:r>
      <w:r w:rsidR="00CE495E">
        <w:t xml:space="preserve">the use of </w:t>
      </w:r>
      <w:r>
        <w:t xml:space="preserve">more sophisticated network </w:t>
      </w:r>
      <w:r w:rsidRPr="006B30B6">
        <w:t>solutions. System and capacity planning processes will need to be</w:t>
      </w:r>
      <w:r>
        <w:t xml:space="preserve"> </w:t>
      </w:r>
      <w:r w:rsidRPr="006B30B6">
        <w:t>enhanced</w:t>
      </w:r>
      <w:r>
        <w:t xml:space="preserve"> to account for smart grid resources</w:t>
      </w:r>
      <w:r w:rsidRPr="006B30B6">
        <w:t>, and system operators and planners will require extensive training in new</w:t>
      </w:r>
      <w:r>
        <w:t xml:space="preserve"> </w:t>
      </w:r>
      <w:r w:rsidRPr="006B30B6">
        <w:t>“</w:t>
      </w:r>
      <w:r>
        <w:t>s</w:t>
      </w:r>
      <w:r w:rsidRPr="006B30B6">
        <w:t>mart-</w:t>
      </w:r>
      <w:r>
        <w:t>g</w:t>
      </w:r>
      <w:r w:rsidRPr="006B30B6">
        <w:t>rid-aware” tools and techniques</w:t>
      </w:r>
      <w:r>
        <w:t>.</w:t>
      </w:r>
    </w:p>
    <w:p w:rsidR="00B462A6" w:rsidRDefault="00ED05F0">
      <w:pPr>
        <w:pStyle w:val="Heading3"/>
      </w:pPr>
      <w:bookmarkStart w:id="729" w:name="_Toc239157130"/>
      <w:bookmarkStart w:id="730" w:name="_Ref266623871"/>
      <w:bookmarkStart w:id="731" w:name="_Ref266878410"/>
      <w:bookmarkStart w:id="732" w:name="_Toc271632299"/>
      <w:r>
        <w:t xml:space="preserve">ISO Activities in </w:t>
      </w:r>
      <w:r w:rsidRPr="00A9237E">
        <w:t>Support of Developing and Implementing a Smart</w:t>
      </w:r>
      <w:r w:rsidRPr="00D93D8A">
        <w:t xml:space="preserve"> Grid</w:t>
      </w:r>
      <w:bookmarkEnd w:id="729"/>
      <w:bookmarkEnd w:id="730"/>
      <w:bookmarkEnd w:id="731"/>
      <w:bookmarkEnd w:id="732"/>
    </w:p>
    <w:p w:rsidR="00ED05F0" w:rsidRPr="00C111E7" w:rsidRDefault="00ED05F0" w:rsidP="00073277">
      <w:r w:rsidRPr="00CA4F85">
        <w:t xml:space="preserve">The evolution and application of new smart grid technologies already is well underway in New England, and the ISO is implementing several smart grid projects in line with </w:t>
      </w:r>
      <w:r>
        <w:t xml:space="preserve">the vision established in the </w:t>
      </w:r>
      <w:r w:rsidRPr="007C4E26">
        <w:rPr>
          <w:i/>
        </w:rPr>
        <w:t>Energy Independence and Security Act of 2007</w:t>
      </w:r>
      <w:r w:rsidRPr="00CA4F85">
        <w:t>.</w:t>
      </w:r>
      <w:r w:rsidRPr="00704BD7">
        <w:rPr>
          <w:rStyle w:val="FootnoteReference"/>
          <w:sz w:val="22"/>
        </w:rPr>
        <w:footnoteReference w:id="256"/>
      </w:r>
      <w:r w:rsidRPr="00704BD7">
        <w:t xml:space="preserve"> </w:t>
      </w:r>
      <w:r w:rsidRPr="00CA4F85">
        <w:t>In response to FERC Order 890 regarding the provision of regulation and frequency services by nongenerating resources, the ISO is conducting an Alternative Technology Regulation (ATR) Pilot Program.</w:t>
      </w:r>
      <w:r w:rsidRPr="00704BD7">
        <w:rPr>
          <w:rStyle w:val="FootnoteReference"/>
          <w:sz w:val="22"/>
        </w:rPr>
        <w:footnoteReference w:id="257"/>
      </w:r>
      <w:r w:rsidRPr="00CA4F85">
        <w:t xml:space="preserve"> The goal of the ATR Pilot Program is to allow the ISO to identify the impact on the New England system of alternative technologies with new and unique performance characteristics that might previously have been unable to participate in the Regulation </w:t>
      </w:r>
      <w:r w:rsidRPr="000766D4">
        <w:t xml:space="preserve">Market (see Section </w:t>
      </w:r>
      <w:r w:rsidR="00832C7A">
        <w:fldChar w:fldCharType="begin"/>
      </w:r>
      <w:r w:rsidR="00D93A06">
        <w:instrText xml:space="preserve"> REF _Ref234811928 \r \h </w:instrText>
      </w:r>
      <w:r w:rsidR="00832C7A">
        <w:fldChar w:fldCharType="separate"/>
      </w:r>
      <w:r w:rsidR="00E5699E">
        <w:t>2.3</w:t>
      </w:r>
      <w:r w:rsidR="00832C7A">
        <w:fldChar w:fldCharType="end"/>
      </w:r>
      <w:r w:rsidRPr="000766D4">
        <w:t>). It</w:t>
      </w:r>
      <w:r w:rsidRPr="00CA4F85">
        <w:t xml:space="preserve"> also aims to allow the owners of the ATR resources to evaluate the technical and economic suitability of their technologies as market sources of regulation service</w:t>
      </w:r>
      <w:r w:rsidR="00243DDB">
        <w:t>, such as</w:t>
      </w:r>
      <w:r w:rsidRPr="00CA4F85">
        <w:t xml:space="preserve"> flywheel</w:t>
      </w:r>
      <w:r w:rsidR="00243DDB">
        <w:t>s</w:t>
      </w:r>
      <w:r w:rsidR="00AA4D61">
        <w:t xml:space="preserve">, </w:t>
      </w:r>
      <w:r w:rsidR="00987991" w:rsidRPr="00987991">
        <w:t xml:space="preserve">thermal storage, and </w:t>
      </w:r>
      <w:r w:rsidR="00B30FA4">
        <w:t>vehicle-to-grid (V2G) technology.</w:t>
      </w:r>
      <w:r w:rsidR="00D14036" w:rsidRPr="00172EC6">
        <w:rPr>
          <w:rStyle w:val="FootnoteReference"/>
          <w:sz w:val="22"/>
        </w:rPr>
        <w:footnoteReference w:id="258"/>
      </w:r>
      <w:r w:rsidR="00D14036" w:rsidRPr="00C111E7">
        <w:t xml:space="preserve"> </w:t>
      </w:r>
    </w:p>
    <w:p w:rsidR="00FD371D" w:rsidRPr="00C111E7" w:rsidRDefault="00ED05F0" w:rsidP="00585CED">
      <w:pPr>
        <w:spacing w:after="0"/>
      </w:pPr>
      <w:r w:rsidRPr="00C111E7">
        <w:t xml:space="preserve">The </w:t>
      </w:r>
      <w:r w:rsidRPr="00C111E7">
        <w:rPr>
          <w:i/>
          <w:iCs/>
        </w:rPr>
        <w:t xml:space="preserve">American Recovery and Reinvestment Act (ARRA) of 2009 </w:t>
      </w:r>
      <w:r w:rsidRPr="00C111E7">
        <w:t>provided the U.S. Department of Energy with funding to facilitate the development and implementation of smart grid technologies</w:t>
      </w:r>
      <w:r w:rsidR="00BD5091" w:rsidRPr="00C111E7">
        <w:t xml:space="preserve">. In close partnership with New England’s transmission owners, the ISO applied for DOE funding to implement </w:t>
      </w:r>
      <w:r w:rsidR="000F2E6E">
        <w:t xml:space="preserve">a </w:t>
      </w:r>
      <w:r w:rsidR="00BD5091" w:rsidRPr="00C111E7">
        <w:t xml:space="preserve">synchrophasor infrastructure and data utilization (SIDU) </w:t>
      </w:r>
      <w:r w:rsidR="000F2E6E">
        <w:t>s</w:t>
      </w:r>
      <w:r w:rsidR="000F2E6E" w:rsidRPr="00C111E7">
        <w:t xml:space="preserve">mart grid project </w:t>
      </w:r>
      <w:r w:rsidR="00BD5091" w:rsidRPr="00C111E7">
        <w:t>in New England.</w:t>
      </w:r>
      <w:r w:rsidR="000F2E6E">
        <w:t xml:space="preserve"> </w:t>
      </w:r>
      <w:r w:rsidR="00BD5091" w:rsidRPr="00C111E7">
        <w:t>Synchrophasors are power system measurements created in devices known as phasor measurement units (PMUs)</w:t>
      </w:r>
      <w:r w:rsidR="00585CED" w:rsidRPr="00C111E7">
        <w:t xml:space="preserve">. The units </w:t>
      </w:r>
      <w:r w:rsidR="00BD5091" w:rsidRPr="00C111E7">
        <w:t xml:space="preserve">use global positioning satellite (GPS) technology to monitor the performance of the region’s electric power grid </w:t>
      </w:r>
      <w:r w:rsidR="004C23EF">
        <w:t xml:space="preserve">accurately </w:t>
      </w:r>
      <w:r w:rsidR="00BD5091" w:rsidRPr="00C111E7">
        <w:t xml:space="preserve">and provide specific data </w:t>
      </w:r>
      <w:r w:rsidR="00585CED" w:rsidRPr="00C111E7">
        <w:t>for use in operating the grid and enhancing grid design</w:t>
      </w:r>
      <w:r w:rsidR="00BD5091" w:rsidRPr="00C111E7">
        <w:t>.</w:t>
      </w:r>
    </w:p>
    <w:p w:rsidR="00FD371D" w:rsidRPr="00C111E7" w:rsidRDefault="00FD371D" w:rsidP="0018616C">
      <w:pPr>
        <w:spacing w:after="0"/>
      </w:pPr>
    </w:p>
    <w:p w:rsidR="00ED05F0" w:rsidRPr="000117AA" w:rsidRDefault="00BD5091" w:rsidP="0018616C">
      <w:pPr>
        <w:spacing w:after="0"/>
      </w:pPr>
      <w:r w:rsidRPr="00C111E7">
        <w:t xml:space="preserve">The SIDU project </w:t>
      </w:r>
      <w:r w:rsidR="00C111E7" w:rsidRPr="00C111E7">
        <w:t xml:space="preserve">will </w:t>
      </w:r>
      <w:r w:rsidRPr="00C111E7">
        <w:t xml:space="preserve">supplement the five existing PMUs </w:t>
      </w:r>
      <w:r w:rsidR="00C111E7" w:rsidRPr="00C111E7">
        <w:t xml:space="preserve">in the region </w:t>
      </w:r>
      <w:r w:rsidRPr="00C111E7">
        <w:t xml:space="preserve">with at least </w:t>
      </w:r>
      <w:r w:rsidR="00767933">
        <w:t>30</w:t>
      </w:r>
      <w:r w:rsidRPr="00C111E7">
        <w:t xml:space="preserve"> new PMUs at various substations around New England.</w:t>
      </w:r>
      <w:r w:rsidRPr="00C111E7">
        <w:rPr>
          <w:rStyle w:val="FootnoteReference"/>
          <w:sz w:val="22"/>
        </w:rPr>
        <w:footnoteReference w:id="259"/>
      </w:r>
      <w:r w:rsidR="00ED05F0" w:rsidRPr="00C111E7">
        <w:t xml:space="preserve"> The synchrophasors</w:t>
      </w:r>
      <w:r w:rsidR="00ED05F0" w:rsidRPr="000117AA">
        <w:t xml:space="preserve"> measured by the PMUs will be communicated to local control centers and the ISO. The synchrophasor data will be collected and concentrated in phasor data concentrators (PDCs) at the control centers. This system will be the technology platform upon which the next generation of monitoring and analysis tools will be developed. With this project, the entire New England region is expected to realize the following benefits:</w:t>
      </w:r>
    </w:p>
    <w:p w:rsidR="00ED05F0" w:rsidRPr="006547E0" w:rsidRDefault="00ED05F0" w:rsidP="00ED05F0">
      <w:pPr>
        <w:pStyle w:val="Default"/>
        <w:rPr>
          <w:sz w:val="22"/>
          <w:szCs w:val="22"/>
        </w:rPr>
      </w:pPr>
      <w:r w:rsidRPr="00EB1E83">
        <w:rPr>
          <w:sz w:val="22"/>
          <w:szCs w:val="22"/>
        </w:rPr>
        <w:t xml:space="preserve"> </w:t>
      </w:r>
    </w:p>
    <w:p w:rsidR="00883225" w:rsidRPr="00C111E7" w:rsidRDefault="00ED05F0">
      <w:pPr>
        <w:pStyle w:val="Default"/>
        <w:numPr>
          <w:ilvl w:val="0"/>
          <w:numId w:val="25"/>
        </w:numPr>
        <w:spacing w:after="120" w:line="260" w:lineRule="atLeast"/>
        <w:rPr>
          <w:sz w:val="22"/>
          <w:szCs w:val="22"/>
        </w:rPr>
      </w:pPr>
      <w:r w:rsidRPr="00C111E7">
        <w:rPr>
          <w:sz w:val="22"/>
          <w:szCs w:val="22"/>
        </w:rPr>
        <w:t>Improved reliability through enhanced situational awareness</w:t>
      </w:r>
    </w:p>
    <w:p w:rsidR="00E02278" w:rsidRPr="00C111E7" w:rsidRDefault="00BD5091">
      <w:pPr>
        <w:pStyle w:val="Default"/>
        <w:numPr>
          <w:ilvl w:val="0"/>
          <w:numId w:val="25"/>
        </w:numPr>
        <w:spacing w:after="120" w:line="260" w:lineRule="atLeast"/>
        <w:rPr>
          <w:sz w:val="22"/>
          <w:szCs w:val="22"/>
        </w:rPr>
      </w:pPr>
      <w:r w:rsidRPr="00C111E7">
        <w:rPr>
          <w:sz w:val="22"/>
          <w:szCs w:val="22"/>
        </w:rPr>
        <w:t xml:space="preserve">Faster response to real-time system events </w:t>
      </w:r>
    </w:p>
    <w:p w:rsidR="00E02278" w:rsidRPr="00CA138F" w:rsidRDefault="003174D8">
      <w:pPr>
        <w:pStyle w:val="Default"/>
        <w:numPr>
          <w:ilvl w:val="0"/>
          <w:numId w:val="25"/>
        </w:numPr>
        <w:spacing w:after="120" w:line="260" w:lineRule="atLeast"/>
        <w:rPr>
          <w:sz w:val="22"/>
          <w:szCs w:val="22"/>
        </w:rPr>
      </w:pPr>
      <w:r w:rsidRPr="00C111E7">
        <w:rPr>
          <w:sz w:val="22"/>
          <w:szCs w:val="22"/>
        </w:rPr>
        <w:t>Increased capability of</w:t>
      </w:r>
      <w:r w:rsidRPr="003174D8">
        <w:rPr>
          <w:sz w:val="22"/>
          <w:szCs w:val="22"/>
        </w:rPr>
        <w:t xml:space="preserve"> monitoring system stability and more accurate system models</w:t>
      </w:r>
    </w:p>
    <w:p w:rsidR="00C73E33" w:rsidRPr="00C111E7" w:rsidRDefault="00A73FE0">
      <w:pPr>
        <w:pStyle w:val="Default"/>
        <w:numPr>
          <w:ilvl w:val="0"/>
          <w:numId w:val="25"/>
        </w:numPr>
        <w:spacing w:after="240" w:line="260" w:lineRule="atLeast"/>
        <w:rPr>
          <w:sz w:val="22"/>
          <w:szCs w:val="22"/>
        </w:rPr>
      </w:pPr>
      <w:r w:rsidRPr="00A73FE0">
        <w:rPr>
          <w:sz w:val="22"/>
          <w:szCs w:val="22"/>
        </w:rPr>
        <w:t>New capabilities in system restoration</w:t>
      </w:r>
    </w:p>
    <w:p w:rsidR="00F56108" w:rsidRPr="00C111E7" w:rsidRDefault="00A73FE0" w:rsidP="00795492">
      <w:r w:rsidRPr="00183C5E">
        <w:t xml:space="preserve">DOE approved the </w:t>
      </w:r>
      <w:r w:rsidR="000D08B1">
        <w:t xml:space="preserve">$18 million project </w:t>
      </w:r>
      <w:r w:rsidRPr="00183C5E">
        <w:t>application on October 27, 2009</w:t>
      </w:r>
      <w:r w:rsidR="00367864">
        <w:t xml:space="preserve">, for which </w:t>
      </w:r>
      <w:r w:rsidR="0065353C" w:rsidRPr="00183C5E">
        <w:t xml:space="preserve">DOE will contribute </w:t>
      </w:r>
      <w:r w:rsidRPr="00183C5E">
        <w:t>$</w:t>
      </w:r>
      <w:r w:rsidR="000D08B1">
        <w:t>8</w:t>
      </w:r>
      <w:r w:rsidRPr="00183C5E">
        <w:t xml:space="preserve"> million</w:t>
      </w:r>
      <w:r w:rsidR="0065353C" w:rsidRPr="00183C5E">
        <w:t xml:space="preserve"> and the ISO and the region’s transmission companies will pay </w:t>
      </w:r>
      <w:r w:rsidRPr="00183C5E">
        <w:t>$</w:t>
      </w:r>
      <w:r w:rsidR="000D08B1">
        <w:t>10</w:t>
      </w:r>
      <w:r w:rsidRPr="00183C5E">
        <w:t xml:space="preserve"> million</w:t>
      </w:r>
      <w:r w:rsidR="0065353C" w:rsidRPr="00183C5E">
        <w:t xml:space="preserve"> over a three-year period</w:t>
      </w:r>
      <w:r w:rsidRPr="00183C5E">
        <w:t xml:space="preserve">. The ISO’s </w:t>
      </w:r>
      <w:r w:rsidRPr="00A73FE0">
        <w:t xml:space="preserve">share of the project costs </w:t>
      </w:r>
      <w:r w:rsidR="000D08B1">
        <w:t xml:space="preserve">is </w:t>
      </w:r>
      <w:r w:rsidRPr="001175D0">
        <w:t>approximately $2.5 million and will be paid through the capital budget</w:t>
      </w:r>
      <w:r w:rsidR="0065353C" w:rsidRPr="001175D0">
        <w:t xml:space="preserve">; the transmission companies will pay </w:t>
      </w:r>
      <w:r w:rsidRPr="001175D0">
        <w:t>about $</w:t>
      </w:r>
      <w:r w:rsidR="000D08B1">
        <w:t>7</w:t>
      </w:r>
      <w:r w:rsidRPr="001175D0">
        <w:t>.5 million. This</w:t>
      </w:r>
      <w:r w:rsidRPr="00A73FE0">
        <w:t xml:space="preserve"> funding will enable the ISO’s smart grid efforts to be completed at a lower cost to the region and allow the region to realize the benefits of smart grid technology much sooner than without federal funding. </w:t>
      </w:r>
      <w:r w:rsidR="00BC7F25" w:rsidRPr="00BC7F25">
        <w:t xml:space="preserve">This project officially began on July 1, 2010, and will serve as a backbone for regional smart grid efforts. </w:t>
      </w:r>
    </w:p>
    <w:p w:rsidR="00ED05F0" w:rsidRPr="006547E0" w:rsidRDefault="003174D8" w:rsidP="00073277">
      <w:r w:rsidRPr="003174D8">
        <w:t xml:space="preserve">ISO New England </w:t>
      </w:r>
      <w:r w:rsidR="00FD371D">
        <w:t xml:space="preserve">also </w:t>
      </w:r>
      <w:r w:rsidRPr="003174D8">
        <w:t>is</w:t>
      </w:r>
      <w:r w:rsidR="00ED05F0" w:rsidRPr="006547E0">
        <w:t xml:space="preserve"> actively participating in the </w:t>
      </w:r>
      <w:r w:rsidR="00ED05F0">
        <w:t xml:space="preserve">development of the </w:t>
      </w:r>
      <w:r w:rsidR="00ED05F0" w:rsidRPr="006547E0">
        <w:t xml:space="preserve">national </w:t>
      </w:r>
      <w:r w:rsidR="00ED05F0">
        <w:t>s</w:t>
      </w:r>
      <w:r w:rsidR="00ED05F0" w:rsidRPr="006547E0">
        <w:t xml:space="preserve">mart </w:t>
      </w:r>
      <w:r w:rsidR="00ED05F0">
        <w:t>g</w:t>
      </w:r>
      <w:r w:rsidR="00ED05F0" w:rsidRPr="006547E0">
        <w:t>rid interoperability standards</w:t>
      </w:r>
      <w:r w:rsidR="00C47A71">
        <w:t>,</w:t>
      </w:r>
      <w:r w:rsidR="00ED05F0" w:rsidRPr="006547E0">
        <w:t xml:space="preserve"> led by</w:t>
      </w:r>
      <w:r w:rsidR="00ED05F0">
        <w:t xml:space="preserve"> the National Institute of Standards and Technology</w:t>
      </w:r>
      <w:r w:rsidR="00ED05F0" w:rsidRPr="006547E0">
        <w:t xml:space="preserve"> </w:t>
      </w:r>
      <w:r w:rsidR="00ED05F0" w:rsidRPr="005F3189">
        <w:t>(NIST</w:t>
      </w:r>
      <w:r w:rsidR="00ED05F0" w:rsidRPr="00517FB9">
        <w:t>)</w:t>
      </w:r>
      <w:r w:rsidR="00C47A71">
        <w:t>,</w:t>
      </w:r>
      <w:r w:rsidR="00C47A71" w:rsidRPr="00C47A71">
        <w:t xml:space="preserve"> </w:t>
      </w:r>
      <w:r w:rsidR="00C47A71">
        <w:t xml:space="preserve">to </w:t>
      </w:r>
      <w:r w:rsidR="00C47A71" w:rsidRPr="00C47A71">
        <w:t>establish protocols that provide common interfaces</w:t>
      </w:r>
      <w:r w:rsidR="00ED05F0" w:rsidRPr="005F3189">
        <w:t>.</w:t>
      </w:r>
      <w:r w:rsidR="00ED05F0" w:rsidRPr="006547E0">
        <w:t xml:space="preserve"> A</w:t>
      </w:r>
      <w:r w:rsidR="00ED05F0">
        <w:t>dditionally</w:t>
      </w:r>
      <w:r w:rsidR="00ED05F0" w:rsidRPr="006547E0">
        <w:t>, as a part of</w:t>
      </w:r>
      <w:r w:rsidR="00ED05F0">
        <w:t xml:space="preserve"> an </w:t>
      </w:r>
      <w:r w:rsidR="00ED05F0" w:rsidRPr="0023003A">
        <w:t xml:space="preserve">ISO/RTO </w:t>
      </w:r>
      <w:r w:rsidR="00ED05F0" w:rsidRPr="003F449E">
        <w:t xml:space="preserve">Council </w:t>
      </w:r>
      <w:r w:rsidRPr="003174D8">
        <w:t>(IRC)</w:t>
      </w:r>
      <w:r w:rsidR="00ED05F0" w:rsidRPr="003F449E">
        <w:t xml:space="preserve"> project</w:t>
      </w:r>
      <w:r w:rsidR="00ED05F0">
        <w:t xml:space="preserve"> </w:t>
      </w:r>
      <w:r w:rsidR="00ED05F0" w:rsidRPr="006547E0">
        <w:t xml:space="preserve">with other ISOs/RTOs, ISO New England is </w:t>
      </w:r>
      <w:r w:rsidR="00ED05F0">
        <w:t>providing technical and other support for the development of</w:t>
      </w:r>
      <w:r w:rsidR="00ED05F0" w:rsidRPr="006547E0">
        <w:t xml:space="preserve"> </w:t>
      </w:r>
      <w:r w:rsidR="00ED05F0">
        <w:t>d</w:t>
      </w:r>
      <w:r w:rsidR="00ED05F0" w:rsidRPr="006547E0">
        <w:t>emand</w:t>
      </w:r>
      <w:r w:rsidR="00ED05F0">
        <w:t>-r</w:t>
      </w:r>
      <w:r w:rsidR="00ED05F0" w:rsidRPr="006547E0">
        <w:t>esponse</w:t>
      </w:r>
      <w:r w:rsidR="00ED05F0">
        <w:t>-</w:t>
      </w:r>
      <w:r w:rsidR="00ED05F0" w:rsidRPr="006547E0">
        <w:t xml:space="preserve">related standards </w:t>
      </w:r>
      <w:r w:rsidR="00ED05F0">
        <w:t>by</w:t>
      </w:r>
      <w:r w:rsidR="00ED05F0" w:rsidRPr="006547E0">
        <w:t xml:space="preserve"> NIST and </w:t>
      </w:r>
      <w:r w:rsidR="00ED05F0">
        <w:t xml:space="preserve">the North American </w:t>
      </w:r>
      <w:r w:rsidR="00ED05F0" w:rsidRPr="005F3189">
        <w:t>Energy Standards Board (NAESB</w:t>
      </w:r>
      <w:r w:rsidR="00ED05F0" w:rsidRPr="00CD6CB5">
        <w:t>)</w:t>
      </w:r>
      <w:r w:rsidR="000119AB" w:rsidRPr="00CD6CB5">
        <w:t xml:space="preserve"> </w:t>
      </w:r>
      <w:r w:rsidR="00821C68" w:rsidRPr="00CD6CB5">
        <w:t xml:space="preserve">(see Section </w:t>
      </w:r>
      <w:fldSimple w:instr=" REF _Ref266623010 \r \h  \* MERGEFORMAT ">
        <w:r w:rsidR="00E5699E">
          <w:t>11.2.1</w:t>
        </w:r>
      </w:fldSimple>
      <w:r w:rsidR="000119AB" w:rsidRPr="00CD6CB5">
        <w:t>)</w:t>
      </w:r>
      <w:r w:rsidR="00821C68" w:rsidRPr="00CD6CB5">
        <w:t>.</w:t>
      </w:r>
    </w:p>
    <w:p w:rsidR="00ED05F0" w:rsidRDefault="00821C68" w:rsidP="00073277">
      <w:pPr>
        <w:pStyle w:val="NormalWeb"/>
        <w:rPr>
          <w:rFonts w:eastAsiaTheme="minorHAnsi"/>
          <w:sz w:val="22"/>
          <w:szCs w:val="22"/>
        </w:rPr>
      </w:pPr>
      <w:r w:rsidRPr="00821C68">
        <w:rPr>
          <w:rFonts w:eastAsiaTheme="minorHAnsi"/>
          <w:sz w:val="22"/>
          <w:szCs w:val="22"/>
        </w:rPr>
        <w:t>The ISO also is interested in the potential for using energy storage as a type of smart grid technology</w:t>
      </w:r>
      <w:r w:rsidR="00C47A71">
        <w:rPr>
          <w:rFonts w:eastAsiaTheme="minorHAnsi"/>
          <w:sz w:val="22"/>
          <w:szCs w:val="22"/>
        </w:rPr>
        <w:t>, i</w:t>
      </w:r>
      <w:r w:rsidRPr="00821C68">
        <w:rPr>
          <w:rFonts w:eastAsiaTheme="minorHAnsi"/>
          <w:sz w:val="22"/>
          <w:szCs w:val="22"/>
        </w:rPr>
        <w:t xml:space="preserve">n particular, </w:t>
      </w:r>
      <w:r w:rsidR="00B30FA4">
        <w:rPr>
          <w:rFonts w:eastAsiaTheme="minorHAnsi"/>
          <w:sz w:val="22"/>
          <w:szCs w:val="22"/>
        </w:rPr>
        <w:t>V2G technology</w:t>
      </w:r>
      <w:r w:rsidRPr="00821C68">
        <w:rPr>
          <w:rFonts w:eastAsiaTheme="minorHAnsi"/>
          <w:sz w:val="22"/>
          <w:szCs w:val="22"/>
        </w:rPr>
        <w:t xml:space="preserve">. The implementation of a project using </w:t>
      </w:r>
      <w:r w:rsidR="00B30FA4">
        <w:rPr>
          <w:rFonts w:eastAsiaTheme="minorHAnsi"/>
          <w:sz w:val="22"/>
          <w:szCs w:val="22"/>
        </w:rPr>
        <w:t xml:space="preserve">V2G </w:t>
      </w:r>
      <w:r w:rsidRPr="00821C68">
        <w:rPr>
          <w:rFonts w:eastAsiaTheme="minorHAnsi"/>
          <w:sz w:val="22"/>
          <w:szCs w:val="22"/>
        </w:rPr>
        <w:t>technology is being planned as part of the ATR program.</w:t>
      </w:r>
      <w:r w:rsidR="00C47A71">
        <w:rPr>
          <w:rFonts w:eastAsiaTheme="minorHAnsi"/>
          <w:sz w:val="22"/>
          <w:szCs w:val="22"/>
        </w:rPr>
        <w:t xml:space="preserve"> </w:t>
      </w:r>
    </w:p>
    <w:p w:rsidR="002902EF" w:rsidRDefault="002902EF" w:rsidP="007F64BB">
      <w:pPr>
        <w:pStyle w:val="Heading3"/>
      </w:pPr>
      <w:bookmarkStart w:id="733" w:name="_Toc271632300"/>
      <w:r w:rsidRPr="00FA716D">
        <w:t>Dynamic Line Rating</w:t>
      </w:r>
      <w:bookmarkEnd w:id="733"/>
    </w:p>
    <w:p w:rsidR="002902EF" w:rsidRDefault="002902EF" w:rsidP="002902EF">
      <w:r>
        <w:t xml:space="preserve">Historically, </w:t>
      </w:r>
      <w:r w:rsidR="00B73B4D">
        <w:t xml:space="preserve">on the basis of thermal limitations, </w:t>
      </w:r>
      <w:r>
        <w:t xml:space="preserve">transmission line elements have one set of defined seasonal limits (also called a static line rating, SLR) for normal and post-contingency operation. However, ambient temperature may affect these limits because it may increase or decrease the ability of a line to dissipate heat. Thus, the limit used in real-time systems operation could be adjusted if proper monitoring equipment were available, allowing for </w:t>
      </w:r>
      <w:r w:rsidR="003E7919">
        <w:t xml:space="preserve">the use of </w:t>
      </w:r>
      <w:r>
        <w:t xml:space="preserve">dynamic line ratings (DLRs). </w:t>
      </w:r>
    </w:p>
    <w:p w:rsidR="002902EF" w:rsidRDefault="002D273E" w:rsidP="002902EF">
      <w:r>
        <w:t xml:space="preserve">Smart grid </w:t>
      </w:r>
      <w:r w:rsidR="003D52F8">
        <w:t xml:space="preserve">DLR </w:t>
      </w:r>
      <w:r w:rsidR="002902EF">
        <w:t xml:space="preserve">applications </w:t>
      </w:r>
      <w:r w:rsidR="003D52F8">
        <w:t>are growing</w:t>
      </w:r>
      <w:r w:rsidR="002902EF" w:rsidRPr="00D4331C">
        <w:t>,</w:t>
      </w:r>
      <w:r w:rsidR="002902EF" w:rsidRPr="0099244E">
        <w:t xml:space="preserve"> </w:t>
      </w:r>
      <w:r w:rsidR="002902EF">
        <w:t>with the potential</w:t>
      </w:r>
      <w:r w:rsidR="003D52F8">
        <w:t xml:space="preserve"> for DLR</w:t>
      </w:r>
      <w:r>
        <w:t xml:space="preserve"> technolo</w:t>
      </w:r>
      <w:r w:rsidR="004F6862">
        <w:t>g</w:t>
      </w:r>
      <w:r>
        <w:t>y</w:t>
      </w:r>
      <w:r w:rsidR="002902EF">
        <w:t xml:space="preserve"> to </w:t>
      </w:r>
      <w:r w:rsidR="002902EF" w:rsidRPr="0099244E">
        <w:t xml:space="preserve">economically </w:t>
      </w:r>
      <w:r w:rsidR="002902EF">
        <w:t xml:space="preserve">and more accurately reflect </w:t>
      </w:r>
      <w:r w:rsidR="002902EF" w:rsidRPr="0099244E">
        <w:t>the capacity of known constrained elements on a transmission system</w:t>
      </w:r>
      <w:r w:rsidR="002902EF">
        <w:t>.</w:t>
      </w:r>
      <w:r w:rsidR="002902EF" w:rsidRPr="0099244E">
        <w:t xml:space="preserve"> </w:t>
      </w:r>
      <w:r w:rsidR="002902EF">
        <w:t xml:space="preserve">This in turn can </w:t>
      </w:r>
      <w:r w:rsidR="002902EF" w:rsidRPr="0099244E">
        <w:t>effectively improv</w:t>
      </w:r>
      <w:r w:rsidR="002902EF">
        <w:t>e</w:t>
      </w:r>
      <w:r w:rsidR="002902EF" w:rsidRPr="0099244E">
        <w:t xml:space="preserve"> reliability and possibly improv</w:t>
      </w:r>
      <w:r w:rsidR="002902EF">
        <w:t>e</w:t>
      </w:r>
      <w:r w:rsidR="002902EF" w:rsidRPr="0099244E">
        <w:t xml:space="preserve"> the efficiency of the </w:t>
      </w:r>
      <w:r w:rsidR="002902EF">
        <w:t>w</w:t>
      </w:r>
      <w:r w:rsidR="002902EF" w:rsidRPr="0099244E">
        <w:t xml:space="preserve">holesale </w:t>
      </w:r>
      <w:r w:rsidR="002902EF">
        <w:t>m</w:t>
      </w:r>
      <w:r w:rsidR="002902EF" w:rsidRPr="0099244E">
        <w:t>arket</w:t>
      </w:r>
      <w:r w:rsidR="002902EF">
        <w:t xml:space="preserve">s by allowing additional transfers under some conditions. </w:t>
      </w:r>
      <w:r w:rsidR="002902EF" w:rsidRPr="0099244E">
        <w:t>DLR technolog</w:t>
      </w:r>
      <w:r w:rsidR="002902EF">
        <w:t xml:space="preserve">ies </w:t>
      </w:r>
      <w:r w:rsidR="002902EF" w:rsidRPr="0099244E">
        <w:t>include</w:t>
      </w:r>
      <w:r w:rsidR="002902EF">
        <w:t xml:space="preserve"> the following</w:t>
      </w:r>
      <w:r w:rsidR="002902EF" w:rsidRPr="0099244E">
        <w:t>:</w:t>
      </w:r>
    </w:p>
    <w:p w:rsidR="002902EF" w:rsidRDefault="002902EF" w:rsidP="00BB34F0">
      <w:pPr>
        <w:pStyle w:val="ListParagraph"/>
        <w:numPr>
          <w:ilvl w:val="1"/>
          <w:numId w:val="26"/>
        </w:numPr>
        <w:spacing w:after="120"/>
        <w:ind w:left="720"/>
        <w:contextualSpacing w:val="0"/>
      </w:pPr>
      <w:r w:rsidRPr="0099244E">
        <w:t>Real-time conductor measurements, limit calculations</w:t>
      </w:r>
      <w:r>
        <w:t>,</w:t>
      </w:r>
      <w:r w:rsidRPr="0099244E">
        <w:t xml:space="preserve"> and telemetry</w:t>
      </w:r>
    </w:p>
    <w:p w:rsidR="002902EF" w:rsidRDefault="002902EF" w:rsidP="00BB34F0">
      <w:pPr>
        <w:pStyle w:val="ListParagraph"/>
        <w:numPr>
          <w:ilvl w:val="1"/>
          <w:numId w:val="26"/>
        </w:numPr>
        <w:spacing w:after="120"/>
        <w:ind w:left="720"/>
        <w:contextualSpacing w:val="0"/>
      </w:pPr>
      <w:r w:rsidRPr="0099244E">
        <w:t>Calibrated load cells directly installed on the monitored conductor</w:t>
      </w:r>
    </w:p>
    <w:p w:rsidR="002902EF" w:rsidRDefault="002902EF" w:rsidP="00BB34F0">
      <w:pPr>
        <w:pStyle w:val="ListParagraph"/>
        <w:numPr>
          <w:ilvl w:val="1"/>
          <w:numId w:val="26"/>
        </w:numPr>
        <w:ind w:left="720"/>
        <w:contextualSpacing w:val="0"/>
      </w:pPr>
      <w:r w:rsidRPr="0099244E">
        <w:t>Laser-based measurement of conductor sag similar to the technology used by land surveyors</w:t>
      </w:r>
    </w:p>
    <w:p w:rsidR="002902EF" w:rsidRPr="0099244E" w:rsidRDefault="002902EF" w:rsidP="002902EF">
      <w:r w:rsidRPr="0099244E">
        <w:t>Effective us</w:t>
      </w:r>
      <w:r>
        <w:t>age</w:t>
      </w:r>
      <w:r w:rsidRPr="0099244E">
        <w:t xml:space="preserve"> of DLR assume</w:t>
      </w:r>
      <w:r>
        <w:t>s</w:t>
      </w:r>
      <w:r w:rsidRPr="0099244E">
        <w:t xml:space="preserve"> that the limiting element is the conductor itself and not a substation element</w:t>
      </w:r>
      <w:r>
        <w:t>,</w:t>
      </w:r>
      <w:r w:rsidRPr="0099244E">
        <w:t xml:space="preserve"> such as a breaker, current transformer, wave trap</w:t>
      </w:r>
      <w:r>
        <w:t>,</w:t>
      </w:r>
      <w:r w:rsidRPr="0099244E">
        <w:t xml:space="preserve"> or relay setting</w:t>
      </w:r>
      <w:r>
        <w:t xml:space="preserve">. </w:t>
      </w:r>
      <w:r w:rsidRPr="0099244E">
        <w:t>Additionally, DLR can only be directly effective for thermal overload conditions</w:t>
      </w:r>
      <w:r>
        <w:t xml:space="preserve">. </w:t>
      </w:r>
    </w:p>
    <w:p w:rsidR="002902EF" w:rsidRDefault="002902EF" w:rsidP="002902EF">
      <w:r w:rsidRPr="00D4331C">
        <w:t>The ISO is committed to working with transmission owners to identify</w:t>
      </w:r>
      <w:r>
        <w:t xml:space="preserve"> </w:t>
      </w:r>
      <w:r w:rsidRPr="0099244E">
        <w:t xml:space="preserve">potential </w:t>
      </w:r>
      <w:r>
        <w:t>transmission circuits</w:t>
      </w:r>
      <w:r w:rsidRPr="0099244E">
        <w:t xml:space="preserve"> that can benefit from the use of DLR</w:t>
      </w:r>
      <w:r>
        <w:t>. R</w:t>
      </w:r>
      <w:r w:rsidRPr="0099244E">
        <w:t>ecent advances in the measurement techniques mentioned are promising in terms of return on investment</w:t>
      </w:r>
      <w:r>
        <w:t>. Before widespread implementation,</w:t>
      </w:r>
      <w:r w:rsidRPr="0099244E">
        <w:t xml:space="preserve"> </w:t>
      </w:r>
      <w:r>
        <w:t>s</w:t>
      </w:r>
      <w:r w:rsidRPr="0099244E">
        <w:t>tandards that pertain to planning, testing</w:t>
      </w:r>
      <w:r>
        <w:t>,</w:t>
      </w:r>
      <w:r w:rsidRPr="0099244E">
        <w:t xml:space="preserve"> and </w:t>
      </w:r>
      <w:r>
        <w:t>s</w:t>
      </w:r>
      <w:r w:rsidRPr="0099244E">
        <w:t xml:space="preserve">ystem </w:t>
      </w:r>
      <w:r>
        <w:t>o</w:t>
      </w:r>
      <w:r w:rsidRPr="0099244E">
        <w:t xml:space="preserve">perator training </w:t>
      </w:r>
      <w:r>
        <w:t>would need to</w:t>
      </w:r>
      <w:r w:rsidRPr="0099244E">
        <w:t xml:space="preserve"> be in place</w:t>
      </w:r>
      <w:r>
        <w:t xml:space="preserve"> to ensure the effective use of DLR on the transmission system</w:t>
      </w:r>
      <w:r w:rsidRPr="0099244E">
        <w:t>.</w:t>
      </w:r>
    </w:p>
    <w:p w:rsidR="002902EF" w:rsidRDefault="002902EF" w:rsidP="007F64BB">
      <w:pPr>
        <w:pStyle w:val="Heading3"/>
      </w:pPr>
      <w:bookmarkStart w:id="734" w:name="_Toc271632301"/>
      <w:r>
        <w:t>Flexible Alternating-Current Transmission Systems</w:t>
      </w:r>
      <w:bookmarkEnd w:id="734"/>
    </w:p>
    <w:p w:rsidR="002902EF" w:rsidRDefault="002902EF" w:rsidP="002902EF">
      <w:r>
        <w:t>One way</w:t>
      </w:r>
      <w:r w:rsidRPr="00823FD2">
        <w:t xml:space="preserve"> to </w:t>
      </w:r>
      <w:r>
        <w:t xml:space="preserve">enhance the performance of </w:t>
      </w:r>
      <w:r w:rsidRPr="00823FD2">
        <w:t>the transmission system i</w:t>
      </w:r>
      <w:r w:rsidRPr="00AE5FA6">
        <w:t xml:space="preserve">s </w:t>
      </w:r>
      <w:r>
        <w:t xml:space="preserve">to </w:t>
      </w:r>
      <w:r w:rsidRPr="00AE5FA6">
        <w:t>appl</w:t>
      </w:r>
      <w:r>
        <w:t>y f</w:t>
      </w:r>
      <w:r w:rsidRPr="00AE5FA6">
        <w:t xml:space="preserve">lexible </w:t>
      </w:r>
      <w:r>
        <w:t>alternating-current</w:t>
      </w:r>
      <w:r w:rsidRPr="00AE5FA6">
        <w:t xml:space="preserve"> </w:t>
      </w:r>
      <w:r>
        <w:t>t</w:t>
      </w:r>
      <w:r w:rsidRPr="00AE5FA6">
        <w:t xml:space="preserve">ransmission </w:t>
      </w:r>
      <w:r>
        <w:t>s</w:t>
      </w:r>
      <w:r w:rsidRPr="00AE5FA6">
        <w:t>ystem technology.</w:t>
      </w:r>
      <w:r w:rsidRPr="008B3D88">
        <w:rPr>
          <w:rStyle w:val="FootnoteReference"/>
          <w:sz w:val="22"/>
        </w:rPr>
        <w:footnoteReference w:id="260"/>
      </w:r>
      <w:r w:rsidRPr="00AE5FA6">
        <w:t xml:space="preserve"> FACTS is</w:t>
      </w:r>
      <w:r>
        <w:t xml:space="preserve"> </w:t>
      </w:r>
      <w:r w:rsidRPr="00AE5FA6">
        <w:t>a combination of solid-state switches and computerized automation that enable</w:t>
      </w:r>
      <w:r>
        <w:t xml:space="preserve">s </w:t>
      </w:r>
      <w:r w:rsidRPr="00AE5FA6">
        <w:t>nearly instantaneous customized control of power flows</w:t>
      </w:r>
      <w:r>
        <w:t>—</w:t>
      </w:r>
      <w:r w:rsidRPr="00AE5FA6">
        <w:t>far faster than</w:t>
      </w:r>
      <w:r>
        <w:t xml:space="preserve"> </w:t>
      </w:r>
      <w:r w:rsidRPr="00AE5FA6">
        <w:t>traditio</w:t>
      </w:r>
      <w:r>
        <w:t xml:space="preserve">nal electromechanical switches. </w:t>
      </w:r>
      <w:r w:rsidRPr="00AE5FA6">
        <w:t xml:space="preserve">The devices can be used </w:t>
      </w:r>
      <w:r>
        <w:t>to accomplish a number of tasks:</w:t>
      </w:r>
    </w:p>
    <w:p w:rsidR="002902EF" w:rsidRDefault="002902EF" w:rsidP="00BB34F0">
      <w:pPr>
        <w:numPr>
          <w:ilvl w:val="0"/>
          <w:numId w:val="27"/>
        </w:numPr>
      </w:pPr>
      <w:r>
        <w:t xml:space="preserve">Precisely </w:t>
      </w:r>
      <w:r w:rsidRPr="00AE5FA6">
        <w:t>move power along transmission lines</w:t>
      </w:r>
    </w:p>
    <w:p w:rsidR="002902EF" w:rsidRDefault="002902EF" w:rsidP="00BB34F0">
      <w:pPr>
        <w:numPr>
          <w:ilvl w:val="0"/>
          <w:numId w:val="27"/>
        </w:numPr>
      </w:pPr>
      <w:r>
        <w:t>Provide dynamic voltage support</w:t>
      </w:r>
    </w:p>
    <w:p w:rsidR="002902EF" w:rsidRDefault="002902EF" w:rsidP="00BB34F0">
      <w:pPr>
        <w:numPr>
          <w:ilvl w:val="0"/>
          <w:numId w:val="27"/>
        </w:numPr>
      </w:pPr>
      <w:r>
        <w:t>Increase transfer limits</w:t>
      </w:r>
    </w:p>
    <w:p w:rsidR="002902EF" w:rsidRDefault="002902EF" w:rsidP="00BB34F0">
      <w:pPr>
        <w:numPr>
          <w:ilvl w:val="0"/>
          <w:numId w:val="27"/>
        </w:numPr>
      </w:pPr>
      <w:r>
        <w:t>H</w:t>
      </w:r>
      <w:r w:rsidRPr="00AE5FA6">
        <w:t>elp stabilize the transmission system</w:t>
      </w:r>
      <w:r>
        <w:t xml:space="preserve"> </w:t>
      </w:r>
      <w:r w:rsidRPr="00AE5FA6">
        <w:t>after a disturbance</w:t>
      </w:r>
    </w:p>
    <w:p w:rsidR="002902EF" w:rsidRDefault="002902EF" w:rsidP="00BB34F0">
      <w:pPr>
        <w:numPr>
          <w:ilvl w:val="0"/>
          <w:numId w:val="27"/>
        </w:numPr>
      </w:pPr>
      <w:r>
        <w:t>R</w:t>
      </w:r>
      <w:r w:rsidRPr="00AE5FA6">
        <w:t>elieve or even eliminate congestion</w:t>
      </w:r>
    </w:p>
    <w:p w:rsidR="002902EF" w:rsidRDefault="002902EF" w:rsidP="00BB34F0">
      <w:pPr>
        <w:numPr>
          <w:ilvl w:val="0"/>
          <w:numId w:val="27"/>
        </w:numPr>
      </w:pPr>
      <w:r>
        <w:t>T</w:t>
      </w:r>
      <w:r w:rsidRPr="00AE5FA6">
        <w:t>ie grids together</w:t>
      </w:r>
    </w:p>
    <w:p w:rsidR="002902EF" w:rsidRDefault="002902EF" w:rsidP="00BB34F0">
      <w:pPr>
        <w:numPr>
          <w:ilvl w:val="0"/>
          <w:numId w:val="27"/>
        </w:numPr>
      </w:pPr>
      <w:r>
        <w:t>I</w:t>
      </w:r>
      <w:r w:rsidRPr="00AE5FA6">
        <w:t xml:space="preserve">ntegrate distributed </w:t>
      </w:r>
      <w:r>
        <w:t xml:space="preserve">and variable-output </w:t>
      </w:r>
      <w:r w:rsidRPr="00AE5FA6">
        <w:t>generation resources into the grid</w:t>
      </w:r>
    </w:p>
    <w:p w:rsidR="002902EF" w:rsidRDefault="002902EF" w:rsidP="00BB34F0">
      <w:pPr>
        <w:numPr>
          <w:ilvl w:val="0"/>
          <w:numId w:val="27"/>
        </w:numPr>
      </w:pPr>
      <w:r>
        <w:t>C</w:t>
      </w:r>
      <w:r w:rsidRPr="00AE5FA6">
        <w:t>ombat the</w:t>
      </w:r>
      <w:r>
        <w:t xml:space="preserve"> </w:t>
      </w:r>
      <w:r w:rsidRPr="00AE5FA6">
        <w:t>phenomenon of loop flow</w:t>
      </w:r>
    </w:p>
    <w:p w:rsidR="00D81312" w:rsidRPr="002902EF" w:rsidRDefault="00987991" w:rsidP="002902EF">
      <w:pPr>
        <w:pStyle w:val="NormalWeb"/>
        <w:rPr>
          <w:sz w:val="22"/>
          <w:szCs w:val="22"/>
        </w:rPr>
      </w:pPr>
      <w:r w:rsidRPr="00987991">
        <w:rPr>
          <w:sz w:val="22"/>
          <w:szCs w:val="22"/>
        </w:rPr>
        <w:t>FACTS applications have the potential to provide a much-needed boost to the transmission system and some other technical advantages, especially when dynamic voltage support is needed.</w:t>
      </w:r>
      <w:r w:rsidRPr="00987991">
        <w:rPr>
          <w:rStyle w:val="FootnoteReference"/>
          <w:sz w:val="22"/>
          <w:szCs w:val="22"/>
        </w:rPr>
        <w:t xml:space="preserve"> </w:t>
      </w:r>
      <w:r w:rsidRPr="00987991">
        <w:rPr>
          <w:sz w:val="22"/>
          <w:szCs w:val="22"/>
        </w:rPr>
        <w:t>However, a thorough economic evaluation of the costs and system performance of proposed FACTS applications compared with alternative plans is required within the framework of the wholesale markets and transmission tariff. Studies that project the prices of electric energy, capacity, and ancillary services, as well as the potential effects on loop flow, are important considerations.</w:t>
      </w:r>
      <w:r w:rsidRPr="00987991">
        <w:rPr>
          <w:rStyle w:val="FootnoteReference"/>
          <w:sz w:val="22"/>
          <w:szCs w:val="22"/>
        </w:rPr>
        <w:footnoteReference w:id="261"/>
      </w:r>
    </w:p>
    <w:p w:rsidR="001B3090" w:rsidRDefault="00ED05F0">
      <w:pPr>
        <w:pStyle w:val="Heading2"/>
      </w:pPr>
      <w:bookmarkStart w:id="735" w:name="_Toc271632302"/>
      <w:r w:rsidRPr="000862E2">
        <w:t xml:space="preserve">Integration </w:t>
      </w:r>
      <w:r w:rsidR="00857BFB">
        <w:t xml:space="preserve">of Active Demand Resources </w:t>
      </w:r>
      <w:r w:rsidRPr="000862E2">
        <w:t>under the FCM</w:t>
      </w:r>
      <w:bookmarkEnd w:id="719"/>
      <w:bookmarkEnd w:id="735"/>
      <w:r w:rsidRPr="000862E2">
        <w:t xml:space="preserve"> </w:t>
      </w:r>
    </w:p>
    <w:p w:rsidR="00ED05F0" w:rsidRPr="00BC6344" w:rsidRDefault="00ED05F0" w:rsidP="00073277">
      <w:r w:rsidRPr="000862E2">
        <w:t xml:space="preserve">Almost 1,900 MW of system demand were enrolled in the demand-resource programs for summer 2010. </w:t>
      </w:r>
      <w:r w:rsidR="00987991" w:rsidRPr="00987991">
        <w:t xml:space="preserve">The FCM treats demand response, energy efficiency, and distributed generation as capacity resources, and demand resources (both active and passive) will represent 9% (almost 2,900 MW) of the representative capacity resources needed (i.e., the ICR) in the New England electric power system by 2012 (see </w:t>
      </w:r>
      <w:fldSimple w:instr=" REF _Ref266550660 \r \h  \* MERGEFORMAT ">
        <w:r w:rsidR="00E5699E">
          <w:t>Section 4</w:t>
        </w:r>
      </w:fldSimple>
      <w:r w:rsidR="00987991" w:rsidRPr="00987991">
        <w:t>). Of</w:t>
      </w:r>
      <w:r w:rsidRPr="000862E2">
        <w:t xml:space="preserve"> these total demand resources, approximately 6% of the ICR, or </w:t>
      </w:r>
      <w:r w:rsidR="00243DDB">
        <w:t xml:space="preserve">about </w:t>
      </w:r>
      <w:r w:rsidRPr="000862E2">
        <w:t>1,800 MW, are active demand resources. The implementation of significant amounts of demand resources into New England has many advantages:</w:t>
      </w:r>
      <w:r w:rsidR="007C375B">
        <w:t xml:space="preserve"> </w:t>
      </w:r>
    </w:p>
    <w:p w:rsidR="00ED05F0" w:rsidRDefault="00ED05F0" w:rsidP="00D93A06">
      <w:pPr>
        <w:pStyle w:val="Bullet-Solid"/>
      </w:pPr>
      <w:r>
        <w:t>Delaying or</w:t>
      </w:r>
      <w:r w:rsidRPr="005D644B">
        <w:t xml:space="preserve"> reducing the need to build additional transmission, generation</w:t>
      </w:r>
      <w:r>
        <w:t>,</w:t>
      </w:r>
      <w:r w:rsidRPr="005D644B">
        <w:t xml:space="preserve"> </w:t>
      </w:r>
      <w:r w:rsidR="002E02B6">
        <w:t xml:space="preserve">or </w:t>
      </w:r>
      <w:r w:rsidRPr="005D644B">
        <w:t>distribution facilities</w:t>
      </w:r>
      <w:r>
        <w:t xml:space="preserve">, or a combination of new facilities </w:t>
      </w:r>
    </w:p>
    <w:p w:rsidR="00ED05F0" w:rsidRDefault="00ED05F0" w:rsidP="00D93A06">
      <w:pPr>
        <w:pStyle w:val="Bullet-Solid"/>
      </w:pPr>
      <w:r>
        <w:t>R</w:t>
      </w:r>
      <w:r w:rsidRPr="005D644B">
        <w:t>educ</w:t>
      </w:r>
      <w:r>
        <w:t>ing</w:t>
      </w:r>
      <w:r w:rsidRPr="005D644B">
        <w:t xml:space="preserve"> </w:t>
      </w:r>
      <w:r>
        <w:t xml:space="preserve">land use and adverse environmental impacts, such as air </w:t>
      </w:r>
      <w:r w:rsidRPr="005D644B">
        <w:t>emissions</w:t>
      </w:r>
      <w:r>
        <w:t xml:space="preserve"> and water discharges </w:t>
      </w:r>
    </w:p>
    <w:p w:rsidR="00ED05F0" w:rsidRDefault="00ED05F0" w:rsidP="009931F3">
      <w:pPr>
        <w:pStyle w:val="Bullet-Solid"/>
        <w:spacing w:after="240"/>
      </w:pPr>
      <w:r>
        <w:t>R</w:t>
      </w:r>
      <w:r w:rsidRPr="005D644B">
        <w:t>educ</w:t>
      </w:r>
      <w:r>
        <w:t>ing</w:t>
      </w:r>
      <w:r w:rsidRPr="005D644B">
        <w:t xml:space="preserve"> </w:t>
      </w:r>
      <w:r>
        <w:t>the reliance on imported</w:t>
      </w:r>
      <w:r w:rsidRPr="005D644B">
        <w:t xml:space="preserve"> fuel</w:t>
      </w:r>
      <w:r>
        <w:t>s</w:t>
      </w:r>
      <w:r w:rsidRPr="005D644B">
        <w:t xml:space="preserve"> </w:t>
      </w:r>
      <w:r>
        <w:t>and improving the diversity of system resources</w:t>
      </w:r>
    </w:p>
    <w:p w:rsidR="00ED05F0" w:rsidRPr="00D3086E" w:rsidRDefault="00ED05F0" w:rsidP="00073277">
      <w:r w:rsidRPr="00D3086E">
        <w:t xml:space="preserve">To gain all these benefits, the ISO must be prepared to </w:t>
      </w:r>
      <w:r w:rsidR="00062BD1">
        <w:t xml:space="preserve">reliably </w:t>
      </w:r>
      <w:r w:rsidRPr="00D3086E">
        <w:t xml:space="preserve">integrate the </w:t>
      </w:r>
      <w:r>
        <w:t xml:space="preserve">high level </w:t>
      </w:r>
      <w:r w:rsidRPr="00D3086E">
        <w:t>of demand resources that clear in the FCAs</w:t>
      </w:r>
      <w:r w:rsidR="00793A0E" w:rsidRPr="00793A0E">
        <w:t xml:space="preserve"> </w:t>
      </w:r>
      <w:r w:rsidR="00793A0E" w:rsidRPr="00D3086E">
        <w:t>into New England</w:t>
      </w:r>
      <w:r w:rsidR="00793A0E">
        <w:t>’s system</w:t>
      </w:r>
      <w:r w:rsidR="00793A0E" w:rsidRPr="00D3086E">
        <w:t xml:space="preserve"> </w:t>
      </w:r>
      <w:r w:rsidR="00793A0E">
        <w:t xml:space="preserve">planning, operation, and market administration </w:t>
      </w:r>
      <w:r w:rsidRPr="00D3086E">
        <w:t>without creating undue barriers to participation</w:t>
      </w:r>
      <w:r>
        <w:t>. T</w:t>
      </w:r>
      <w:r w:rsidRPr="00D3086E">
        <w:rPr>
          <w:lang w:val="en-GB"/>
        </w:rPr>
        <w:t xml:space="preserve">he ISO </w:t>
      </w:r>
      <w:r>
        <w:rPr>
          <w:lang w:val="en-GB"/>
        </w:rPr>
        <w:t>has</w:t>
      </w:r>
      <w:r w:rsidRPr="00D3086E">
        <w:rPr>
          <w:lang w:val="en-GB"/>
        </w:rPr>
        <w:t xml:space="preserve"> </w:t>
      </w:r>
      <w:r w:rsidR="00793A0E">
        <w:rPr>
          <w:lang w:val="en-GB"/>
        </w:rPr>
        <w:t xml:space="preserve">created new procedures to </w:t>
      </w:r>
      <w:r w:rsidRPr="00D3086E">
        <w:rPr>
          <w:lang w:val="en-GB"/>
        </w:rPr>
        <w:t>work toward integrating the FCM</w:t>
      </w:r>
      <w:r w:rsidR="007D29BE">
        <w:rPr>
          <w:lang w:val="en-GB"/>
        </w:rPr>
        <w:t>’s</w:t>
      </w:r>
      <w:r w:rsidRPr="00D3086E">
        <w:rPr>
          <w:lang w:val="en-GB"/>
        </w:rPr>
        <w:t xml:space="preserve"> </w:t>
      </w:r>
      <w:r>
        <w:rPr>
          <w:lang w:val="en-GB"/>
        </w:rPr>
        <w:t>active</w:t>
      </w:r>
      <w:r w:rsidR="007D29BE">
        <w:rPr>
          <w:lang w:val="en-GB"/>
        </w:rPr>
        <w:t>-</w:t>
      </w:r>
      <w:r>
        <w:rPr>
          <w:lang w:val="en-GB"/>
        </w:rPr>
        <w:t>demand-resource</w:t>
      </w:r>
      <w:r w:rsidRPr="00D3086E">
        <w:rPr>
          <w:lang w:val="en-GB"/>
        </w:rPr>
        <w:t xml:space="preserve"> products into system planning</w:t>
      </w:r>
      <w:r>
        <w:rPr>
          <w:lang w:val="en-GB"/>
        </w:rPr>
        <w:t>,</w:t>
      </w:r>
      <w:r w:rsidRPr="00D3086E">
        <w:rPr>
          <w:lang w:val="en-GB"/>
        </w:rPr>
        <w:t xml:space="preserve"> system </w:t>
      </w:r>
      <w:r>
        <w:rPr>
          <w:lang w:val="en-GB"/>
        </w:rPr>
        <w:t xml:space="preserve">operations, </w:t>
      </w:r>
      <w:r w:rsidRPr="00D3086E">
        <w:rPr>
          <w:lang w:val="en-GB"/>
        </w:rPr>
        <w:t>and market operations</w:t>
      </w:r>
      <w:r>
        <w:rPr>
          <w:lang w:val="en-GB"/>
        </w:rPr>
        <w:t xml:space="preserve">. </w:t>
      </w:r>
    </w:p>
    <w:p w:rsidR="00ED05F0" w:rsidRDefault="00ED05F0" w:rsidP="00073277">
      <w:pPr>
        <w:rPr>
          <w:lang w:val="en-GB"/>
        </w:rPr>
      </w:pPr>
      <w:r>
        <w:rPr>
          <w:lang w:val="en-GB"/>
        </w:rPr>
        <w:t>T</w:t>
      </w:r>
      <w:r w:rsidRPr="006E1820">
        <w:rPr>
          <w:lang w:val="en-GB"/>
        </w:rPr>
        <w:t xml:space="preserve">o determine </w:t>
      </w:r>
      <w:r>
        <w:rPr>
          <w:lang w:val="en-GB"/>
        </w:rPr>
        <w:t xml:space="preserve">whether </w:t>
      </w:r>
      <w:r w:rsidRPr="006E1820">
        <w:rPr>
          <w:lang w:val="en-GB"/>
        </w:rPr>
        <w:t xml:space="preserve">the expected levels of </w:t>
      </w:r>
      <w:r>
        <w:rPr>
          <w:lang w:val="en-GB"/>
        </w:rPr>
        <w:t>active d</w:t>
      </w:r>
      <w:r w:rsidRPr="006E1820">
        <w:rPr>
          <w:lang w:val="en-GB"/>
        </w:rPr>
        <w:t>emand</w:t>
      </w:r>
      <w:r>
        <w:rPr>
          <w:lang w:val="en-GB"/>
        </w:rPr>
        <w:t xml:space="preserve"> </w:t>
      </w:r>
      <w:r w:rsidRPr="00D3086E">
        <w:rPr>
          <w:lang w:val="en-GB"/>
        </w:rPr>
        <w:t>resources</w:t>
      </w:r>
      <w:r w:rsidRPr="006E1820">
        <w:rPr>
          <w:lang w:val="en-GB"/>
        </w:rPr>
        <w:t xml:space="preserve"> </w:t>
      </w:r>
      <w:r>
        <w:rPr>
          <w:lang w:val="en-GB"/>
        </w:rPr>
        <w:t xml:space="preserve">that </w:t>
      </w:r>
      <w:r w:rsidRPr="006E1820">
        <w:rPr>
          <w:lang w:val="en-GB"/>
        </w:rPr>
        <w:t xml:space="preserve">clear in the initial </w:t>
      </w:r>
      <w:r>
        <w:rPr>
          <w:lang w:val="en-GB"/>
        </w:rPr>
        <w:t xml:space="preserve">FCAs </w:t>
      </w:r>
      <w:r w:rsidRPr="006E1820">
        <w:rPr>
          <w:lang w:val="en-GB"/>
        </w:rPr>
        <w:t xml:space="preserve">could be reliably integrated in New England without </w:t>
      </w:r>
      <w:r>
        <w:rPr>
          <w:lang w:val="en-GB"/>
        </w:rPr>
        <w:t xml:space="preserve">having a </w:t>
      </w:r>
      <w:r w:rsidRPr="006E1820">
        <w:rPr>
          <w:lang w:val="en-GB"/>
        </w:rPr>
        <w:t xml:space="preserve">negative impact </w:t>
      </w:r>
      <w:r>
        <w:rPr>
          <w:lang w:val="en-GB"/>
        </w:rPr>
        <w:t xml:space="preserve">on </w:t>
      </w:r>
      <w:r w:rsidRPr="006E1820">
        <w:rPr>
          <w:lang w:val="en-GB"/>
        </w:rPr>
        <w:t>market and system operation</w:t>
      </w:r>
      <w:r>
        <w:rPr>
          <w:lang w:val="en-GB"/>
        </w:rPr>
        <w:t>s, t</w:t>
      </w:r>
      <w:r w:rsidRPr="006E1820">
        <w:rPr>
          <w:lang w:val="en-GB"/>
        </w:rPr>
        <w:t xml:space="preserve">he ISO performed an initial </w:t>
      </w:r>
      <w:r>
        <w:rPr>
          <w:lang w:val="en-GB"/>
        </w:rPr>
        <w:t xml:space="preserve">operable capacity analysis of active demand </w:t>
      </w:r>
      <w:r w:rsidRPr="00D3086E">
        <w:rPr>
          <w:lang w:val="en-GB"/>
        </w:rPr>
        <w:t>resource</w:t>
      </w:r>
      <w:r>
        <w:rPr>
          <w:lang w:val="en-GB"/>
        </w:rPr>
        <w:t>s</w:t>
      </w:r>
      <w:r w:rsidRPr="00D3086E">
        <w:rPr>
          <w:lang w:val="en-GB"/>
        </w:rPr>
        <w:t xml:space="preserve">. The analysis focused on varying levels of </w:t>
      </w:r>
      <w:r>
        <w:rPr>
          <w:lang w:val="en-GB"/>
        </w:rPr>
        <w:t xml:space="preserve">participation by active </w:t>
      </w:r>
      <w:r w:rsidRPr="00D3086E">
        <w:rPr>
          <w:lang w:val="en-GB"/>
        </w:rPr>
        <w:t>demand</w:t>
      </w:r>
      <w:r>
        <w:rPr>
          <w:lang w:val="en-GB"/>
        </w:rPr>
        <w:t xml:space="preserve"> </w:t>
      </w:r>
      <w:r w:rsidRPr="00D3086E">
        <w:rPr>
          <w:lang w:val="en-GB"/>
        </w:rPr>
        <w:t>resource</w:t>
      </w:r>
      <w:r>
        <w:rPr>
          <w:lang w:val="en-GB"/>
        </w:rPr>
        <w:t>s</w:t>
      </w:r>
      <w:r w:rsidRPr="006E1820">
        <w:rPr>
          <w:lang w:val="en-GB"/>
        </w:rPr>
        <w:t xml:space="preserve"> during the initial FCM delivery years. This initial </w:t>
      </w:r>
      <w:r w:rsidRPr="00D3086E">
        <w:rPr>
          <w:lang w:val="en-GB"/>
        </w:rPr>
        <w:t xml:space="preserve">analysis showed that the 2010 </w:t>
      </w:r>
      <w:r>
        <w:rPr>
          <w:lang w:val="en-GB"/>
        </w:rPr>
        <w:t>active</w:t>
      </w:r>
      <w:r w:rsidR="007D29BE">
        <w:rPr>
          <w:lang w:val="en-GB"/>
        </w:rPr>
        <w:t>-</w:t>
      </w:r>
      <w:r w:rsidRPr="00D3086E">
        <w:rPr>
          <w:lang w:val="en-GB"/>
        </w:rPr>
        <w:t>demand-resource levels met the criteria needed for system reliability</w:t>
      </w:r>
      <w:r w:rsidRPr="006E1820">
        <w:rPr>
          <w:lang w:val="en-GB"/>
        </w:rPr>
        <w:t xml:space="preserve">; however, the </w:t>
      </w:r>
      <w:r>
        <w:rPr>
          <w:lang w:val="en-GB"/>
        </w:rPr>
        <w:t>analysis of the outcome</w:t>
      </w:r>
      <w:r w:rsidRPr="006E1820">
        <w:rPr>
          <w:lang w:val="en-GB"/>
        </w:rPr>
        <w:t xml:space="preserve"> </w:t>
      </w:r>
      <w:r>
        <w:rPr>
          <w:lang w:val="en-GB"/>
        </w:rPr>
        <w:t xml:space="preserve">of FCA #2 </w:t>
      </w:r>
      <w:r w:rsidRPr="006E1820">
        <w:rPr>
          <w:lang w:val="en-GB"/>
        </w:rPr>
        <w:t>for the 2011/</w:t>
      </w:r>
      <w:r>
        <w:rPr>
          <w:lang w:val="en-GB"/>
        </w:rPr>
        <w:t>20</w:t>
      </w:r>
      <w:r w:rsidRPr="006E1820">
        <w:rPr>
          <w:lang w:val="en-GB"/>
        </w:rPr>
        <w:t xml:space="preserve">12 delivery year </w:t>
      </w:r>
      <w:r>
        <w:rPr>
          <w:lang w:val="en-GB"/>
        </w:rPr>
        <w:t>identified operational issues and the potential need to change FCM market rules</w:t>
      </w:r>
      <w:r w:rsidRPr="006E1820">
        <w:rPr>
          <w:lang w:val="en-GB"/>
        </w:rPr>
        <w:t xml:space="preserve">. Specific concerns </w:t>
      </w:r>
      <w:r>
        <w:rPr>
          <w:lang w:val="en-GB"/>
        </w:rPr>
        <w:t xml:space="preserve">were as follows: </w:t>
      </w:r>
    </w:p>
    <w:p w:rsidR="00ED05F0" w:rsidRDefault="00ED05F0" w:rsidP="00D93A06">
      <w:pPr>
        <w:pStyle w:val="Bullet-Solid"/>
        <w:rPr>
          <w:lang w:val="en-GB"/>
        </w:rPr>
      </w:pPr>
      <w:r>
        <w:rPr>
          <w:lang w:val="en-GB"/>
        </w:rPr>
        <w:t>The a</w:t>
      </w:r>
      <w:r w:rsidRPr="006E1820">
        <w:rPr>
          <w:lang w:val="en-GB"/>
        </w:rPr>
        <w:t xml:space="preserve">bility of </w:t>
      </w:r>
      <w:r>
        <w:rPr>
          <w:lang w:val="en-GB"/>
        </w:rPr>
        <w:t xml:space="preserve">active </w:t>
      </w:r>
      <w:r w:rsidRPr="00D3086E">
        <w:rPr>
          <w:lang w:val="en-GB"/>
        </w:rPr>
        <w:t>demand resources to</w:t>
      </w:r>
      <w:r w:rsidRPr="006E1820">
        <w:rPr>
          <w:lang w:val="en-GB"/>
        </w:rPr>
        <w:t xml:space="preserve"> </w:t>
      </w:r>
      <w:r>
        <w:rPr>
          <w:lang w:val="en-GB"/>
        </w:rPr>
        <w:t xml:space="preserve">maintain </w:t>
      </w:r>
      <w:r w:rsidRPr="00B069EB">
        <w:rPr>
          <w:lang w:val="en-GB"/>
        </w:rPr>
        <w:t xml:space="preserve">reduction without </w:t>
      </w:r>
      <w:r w:rsidR="00821C68" w:rsidRPr="00B069EB">
        <w:rPr>
          <w:lang w:val="en-GB"/>
        </w:rPr>
        <w:t>fatigue</w:t>
      </w:r>
      <w:r w:rsidRPr="00B069EB">
        <w:rPr>
          <w:lang w:val="en-GB"/>
        </w:rPr>
        <w:t xml:space="preserve"> during</w:t>
      </w:r>
      <w:r w:rsidRPr="006E1820">
        <w:rPr>
          <w:lang w:val="en-GB"/>
        </w:rPr>
        <w:t xml:space="preserve"> the anticipated hours of operation</w:t>
      </w:r>
      <w:r w:rsidRPr="003E1466">
        <w:rPr>
          <w:rStyle w:val="FootnoteReference"/>
          <w:sz w:val="22"/>
          <w:lang w:val="en-GB"/>
        </w:rPr>
        <w:footnoteReference w:id="262"/>
      </w:r>
    </w:p>
    <w:p w:rsidR="00ED05F0" w:rsidRDefault="00ED05F0" w:rsidP="00D93A06">
      <w:pPr>
        <w:pStyle w:val="Bullet-Solid"/>
        <w:rPr>
          <w:lang w:val="en-GB"/>
        </w:rPr>
      </w:pPr>
      <w:r w:rsidRPr="00D3086E">
        <w:rPr>
          <w:lang w:val="en-GB"/>
        </w:rPr>
        <w:t>Access to the resources outside the initially approved program hours and requirements</w:t>
      </w:r>
    </w:p>
    <w:p w:rsidR="00ED05F0" w:rsidRDefault="00ED05F0" w:rsidP="00D93A06">
      <w:pPr>
        <w:pStyle w:val="Bullet-Solid"/>
        <w:rPr>
          <w:lang w:val="en-GB"/>
        </w:rPr>
      </w:pPr>
      <w:r w:rsidRPr="00D3086E">
        <w:rPr>
          <w:lang w:val="en-GB"/>
        </w:rPr>
        <w:t xml:space="preserve">The </w:t>
      </w:r>
      <w:r w:rsidRPr="001175D0">
        <w:rPr>
          <w:lang w:val="en-GB"/>
        </w:rPr>
        <w:t xml:space="preserve">appropriateness of </w:t>
      </w:r>
      <w:r w:rsidR="00A73FE0" w:rsidRPr="001175D0">
        <w:rPr>
          <w:lang w:val="en-GB"/>
        </w:rPr>
        <w:t>reserve “gross-up” rules</w:t>
      </w:r>
      <w:r w:rsidR="00A73FE0" w:rsidRPr="003E1466">
        <w:rPr>
          <w:rStyle w:val="FootnoteReference"/>
          <w:sz w:val="22"/>
          <w:lang w:val="en-GB"/>
        </w:rPr>
        <w:footnoteReference w:id="263"/>
      </w:r>
      <w:r w:rsidRPr="00D3086E">
        <w:rPr>
          <w:lang w:val="en-GB"/>
        </w:rPr>
        <w:t xml:space="preserve"> </w:t>
      </w:r>
    </w:p>
    <w:p w:rsidR="00ED05F0" w:rsidRDefault="00ED05F0" w:rsidP="00D93A06">
      <w:pPr>
        <w:pStyle w:val="Bullet-Solid"/>
        <w:rPr>
          <w:lang w:val="en-GB"/>
        </w:rPr>
      </w:pPr>
      <w:r w:rsidRPr="00D3086E">
        <w:rPr>
          <w:lang w:val="en-GB"/>
        </w:rPr>
        <w:t xml:space="preserve">Auction transparency during the annual auctions </w:t>
      </w:r>
    </w:p>
    <w:p w:rsidR="00ED05F0" w:rsidRDefault="00ED05F0" w:rsidP="006630C6">
      <w:pPr>
        <w:pStyle w:val="Bullet-Solid"/>
        <w:spacing w:after="240"/>
        <w:rPr>
          <w:lang w:val="en-GB"/>
        </w:rPr>
      </w:pPr>
      <w:r w:rsidRPr="00D3086E">
        <w:rPr>
          <w:lang w:val="en-GB"/>
        </w:rPr>
        <w:t xml:space="preserve">Infrastructure and telemetering requirements for the </w:t>
      </w:r>
      <w:r>
        <w:rPr>
          <w:lang w:val="en-GB"/>
        </w:rPr>
        <w:t xml:space="preserve">active </w:t>
      </w:r>
      <w:r w:rsidRPr="00D3086E">
        <w:rPr>
          <w:lang w:val="en-GB"/>
        </w:rPr>
        <w:t>demand resources</w:t>
      </w:r>
    </w:p>
    <w:p w:rsidR="00ED05F0" w:rsidRDefault="00ED05F0" w:rsidP="00073277">
      <w:r w:rsidRPr="00D3086E">
        <w:rPr>
          <w:lang w:val="en-GB"/>
        </w:rPr>
        <w:t xml:space="preserve">The ISO led an open stakeholder process that included a review of the operable capacity analysis </w:t>
      </w:r>
      <w:r>
        <w:rPr>
          <w:lang w:val="en-GB"/>
        </w:rPr>
        <w:t xml:space="preserve">of active demand resources </w:t>
      </w:r>
      <w:r w:rsidRPr="00D3086E">
        <w:rPr>
          <w:lang w:val="en-GB"/>
        </w:rPr>
        <w:t xml:space="preserve">and </w:t>
      </w:r>
      <w:r>
        <w:rPr>
          <w:lang w:val="en-GB"/>
        </w:rPr>
        <w:t>revised</w:t>
      </w:r>
      <w:r w:rsidRPr="00D3086E">
        <w:rPr>
          <w:lang w:val="en-GB"/>
        </w:rPr>
        <w:t xml:space="preserve"> FCM rules </w:t>
      </w:r>
      <w:r>
        <w:rPr>
          <w:lang w:val="en-GB"/>
        </w:rPr>
        <w:t xml:space="preserve">to accommodate these </w:t>
      </w:r>
      <w:r w:rsidRPr="00D3086E">
        <w:rPr>
          <w:lang w:val="en-GB"/>
        </w:rPr>
        <w:t>resources. This stakeholder process culminated with unanimous support at the NEPOOL Participants Committee and ultimately a filing with FERC on October 1, 2008, which FERC approved on October 28, 2008.</w:t>
      </w:r>
      <w:r w:rsidRPr="003E1466">
        <w:rPr>
          <w:rStyle w:val="FootnoteReference"/>
          <w:sz w:val="22"/>
          <w:lang w:val="en-GB"/>
        </w:rPr>
        <w:footnoteReference w:id="264"/>
      </w:r>
      <w:r w:rsidRPr="003E1466">
        <w:rPr>
          <w:lang w:val="en-GB"/>
        </w:rPr>
        <w:t xml:space="preserve"> </w:t>
      </w:r>
      <w:r w:rsidRPr="00D3086E">
        <w:t xml:space="preserve">The </w:t>
      </w:r>
      <w:r>
        <w:t xml:space="preserve">revised </w:t>
      </w:r>
      <w:r w:rsidRPr="00D3086E">
        <w:t>rule included provisions</w:t>
      </w:r>
      <w:r>
        <w:t xml:space="preserve"> on the </w:t>
      </w:r>
      <w:r w:rsidRPr="002B3D9C">
        <w:t>following areas of concern:</w:t>
      </w:r>
      <w:r>
        <w:t xml:space="preserve"> </w:t>
      </w:r>
    </w:p>
    <w:p w:rsidR="00ED05F0" w:rsidRDefault="00ED05F0" w:rsidP="00D93A06">
      <w:pPr>
        <w:pStyle w:val="Bullet-Solid"/>
      </w:pPr>
      <w:r>
        <w:t xml:space="preserve">The dispatch and settlement rules governing active </w:t>
      </w:r>
      <w:r w:rsidRPr="00D3086E">
        <w:t>demand resources</w:t>
      </w:r>
    </w:p>
    <w:p w:rsidR="00ED05F0" w:rsidRDefault="00ED05F0" w:rsidP="00D93A06">
      <w:pPr>
        <w:pStyle w:val="Bullet-Solid"/>
      </w:pPr>
      <w:r>
        <w:t>The eventual elimination of the c</w:t>
      </w:r>
      <w:r w:rsidRPr="00D3086E">
        <w:t>ritical-peak resource</w:t>
      </w:r>
      <w:r>
        <w:t xml:space="preserve"> category and the conversion of these resources into other categorie</w:t>
      </w:r>
      <w:r w:rsidRPr="00D3086E">
        <w:t>s</w:t>
      </w:r>
      <w:r>
        <w:t xml:space="preserve"> of demand resources</w:t>
      </w:r>
    </w:p>
    <w:p w:rsidR="00ED05F0" w:rsidRDefault="00ED05F0" w:rsidP="00D93A06">
      <w:pPr>
        <w:pStyle w:val="Bullet-Solid"/>
      </w:pPr>
      <w:r>
        <w:t xml:space="preserve">Improved </w:t>
      </w:r>
      <w:r w:rsidRPr="00D3086E">
        <w:t xml:space="preserve">information to facilitate </w:t>
      </w:r>
      <w:r>
        <w:t>active</w:t>
      </w:r>
      <w:r w:rsidR="007D29BE">
        <w:t>-</w:t>
      </w:r>
      <w:r w:rsidRPr="00D3086E">
        <w:t>demand-resource participation in Forward Capacity Auctions</w:t>
      </w:r>
    </w:p>
    <w:p w:rsidR="00ED05F0" w:rsidRDefault="00ED05F0" w:rsidP="006630C6">
      <w:pPr>
        <w:pStyle w:val="Bullet-Solid"/>
        <w:spacing w:after="240"/>
      </w:pPr>
      <w:r>
        <w:t>A c</w:t>
      </w:r>
      <w:r w:rsidRPr="00D3086E">
        <w:t>larif</w:t>
      </w:r>
      <w:r>
        <w:t xml:space="preserve">ication of </w:t>
      </w:r>
      <w:r w:rsidRPr="00D3086E">
        <w:t xml:space="preserve">the ISO’s ability to impose appropriate sanctions </w:t>
      </w:r>
      <w:r>
        <w:t xml:space="preserve">when </w:t>
      </w:r>
      <w:r w:rsidRPr="00D3086E">
        <w:t xml:space="preserve">market participants with </w:t>
      </w:r>
      <w:r>
        <w:t xml:space="preserve">active </w:t>
      </w:r>
      <w:r w:rsidRPr="00D3086E">
        <w:t>demand resources do not comply with their obligations</w:t>
      </w:r>
    </w:p>
    <w:p w:rsidR="00ED05F0" w:rsidRDefault="00ED05F0" w:rsidP="00073277">
      <w:r w:rsidRPr="00D3086E">
        <w:t xml:space="preserve">The ISO’s real-time operational practices </w:t>
      </w:r>
      <w:r>
        <w:t>have been</w:t>
      </w:r>
      <w:r w:rsidRPr="00E27EAD">
        <w:t xml:space="preserve"> </w:t>
      </w:r>
      <w:r w:rsidRPr="007D1C98">
        <w:t xml:space="preserve">revised to </w:t>
      </w:r>
      <w:r w:rsidRPr="00CF0505">
        <w:t xml:space="preserve">improve the integration of large quantities of </w:t>
      </w:r>
      <w:r>
        <w:t xml:space="preserve">active </w:t>
      </w:r>
      <w:r w:rsidRPr="00CF0505">
        <w:t>demand resources. These</w:t>
      </w:r>
      <w:r w:rsidRPr="00E27EAD">
        <w:t xml:space="preserve"> changes </w:t>
      </w:r>
      <w:r w:rsidR="00CC649B">
        <w:t xml:space="preserve">include </w:t>
      </w:r>
      <w:r w:rsidRPr="00E27EAD">
        <w:t xml:space="preserve">modifications to OP 4 and operator interfaces, the creation of demand-designated entities that can aggregate the operation of </w:t>
      </w:r>
      <w:r>
        <w:t xml:space="preserve">active </w:t>
      </w:r>
      <w:r w:rsidRPr="00E27EAD">
        <w:t xml:space="preserve">demand </w:t>
      </w:r>
      <w:r w:rsidR="00890D42" w:rsidRPr="00890D42">
        <w:t>resources, the establishment of dispatch zones for active demand resources, and</w:t>
      </w:r>
      <w:r w:rsidRPr="00E27EAD">
        <w:t xml:space="preserve"> the implementation of new communications infrastructure.</w:t>
      </w:r>
    </w:p>
    <w:p w:rsidR="00B462A6" w:rsidRDefault="00ED05F0">
      <w:pPr>
        <w:pStyle w:val="Heading3"/>
      </w:pPr>
      <w:bookmarkStart w:id="736" w:name="_Toc239157122"/>
      <w:bookmarkStart w:id="737" w:name="_Toc271632303"/>
      <w:r w:rsidRPr="00A5001B">
        <w:t xml:space="preserve">Modifications to ISO New England Operating Procedure </w:t>
      </w:r>
      <w:r w:rsidR="00D36CAA">
        <w:t xml:space="preserve">No. </w:t>
      </w:r>
      <w:r w:rsidRPr="00A5001B">
        <w:t>4</w:t>
      </w:r>
      <w:bookmarkEnd w:id="736"/>
      <w:bookmarkEnd w:id="737"/>
    </w:p>
    <w:p w:rsidR="00ED05F0" w:rsidRDefault="00ED05F0" w:rsidP="00073277">
      <w:r w:rsidRPr="000766D4">
        <w:t>Before June 1, 2010, the</w:t>
      </w:r>
      <w:r w:rsidRPr="00A5001B">
        <w:t xml:space="preserve"> implementation of OP 4 </w:t>
      </w:r>
      <w:r w:rsidR="00CC649B">
        <w:t xml:space="preserve">actions </w:t>
      </w:r>
      <w:r>
        <w:t xml:space="preserve">involved </w:t>
      </w:r>
      <w:r w:rsidRPr="00A5001B">
        <w:t>noti</w:t>
      </w:r>
      <w:r>
        <w:t xml:space="preserve">fying </w:t>
      </w:r>
      <w:r w:rsidRPr="00A5001B">
        <w:t xml:space="preserve">stakeholders </w:t>
      </w:r>
      <w:r>
        <w:t xml:space="preserve">that </w:t>
      </w:r>
      <w:r w:rsidRPr="00A5001B">
        <w:t xml:space="preserve">the ISO </w:t>
      </w:r>
      <w:r>
        <w:t>was</w:t>
      </w:r>
      <w:r w:rsidRPr="00A5001B">
        <w:t xml:space="preserve"> </w:t>
      </w:r>
      <w:r>
        <w:t xml:space="preserve">close to not meeting </w:t>
      </w:r>
      <w:r w:rsidRPr="00A5001B">
        <w:t>its full 10</w:t>
      </w:r>
      <w:r>
        <w:t>-</w:t>
      </w:r>
      <w:r w:rsidRPr="00A5001B">
        <w:t xml:space="preserve"> and 30</w:t>
      </w:r>
      <w:r>
        <w:t>-</w:t>
      </w:r>
      <w:r w:rsidRPr="00A5001B">
        <w:t>minute operating</w:t>
      </w:r>
      <w:r>
        <w:t>-</w:t>
      </w:r>
      <w:r w:rsidRPr="00A5001B">
        <w:t>reserve</w:t>
      </w:r>
      <w:r>
        <w:t xml:space="preserve"> requirement</w:t>
      </w:r>
      <w:r w:rsidRPr="00A5001B">
        <w:t>s or ha</w:t>
      </w:r>
      <w:r>
        <w:t>d</w:t>
      </w:r>
      <w:r w:rsidRPr="00A5001B">
        <w:t xml:space="preserve"> a transmission system problem </w:t>
      </w:r>
      <w:r>
        <w:t xml:space="preserve">preventing </w:t>
      </w:r>
      <w:r w:rsidRPr="00A5001B">
        <w:t xml:space="preserve">the ISO </w:t>
      </w:r>
      <w:r>
        <w:t xml:space="preserve">from </w:t>
      </w:r>
      <w:r w:rsidRPr="00A5001B">
        <w:t>maintain</w:t>
      </w:r>
      <w:r>
        <w:t>ing</w:t>
      </w:r>
      <w:r w:rsidRPr="00A5001B">
        <w:t xml:space="preserve"> first</w:t>
      </w:r>
      <w:r>
        <w:t>-</w:t>
      </w:r>
      <w:r w:rsidRPr="00A5001B">
        <w:t xml:space="preserve"> or second</w:t>
      </w:r>
      <w:r>
        <w:t>-</w:t>
      </w:r>
      <w:r w:rsidRPr="00A5001B">
        <w:t xml:space="preserve">contingency coverage. </w:t>
      </w:r>
      <w:r>
        <w:t>T</w:t>
      </w:r>
      <w:r w:rsidRPr="00A5001B">
        <w:t xml:space="preserve">he availability of </w:t>
      </w:r>
      <w:r>
        <w:t>active d</w:t>
      </w:r>
      <w:r w:rsidRPr="00A5001B">
        <w:t xml:space="preserve">emand </w:t>
      </w:r>
      <w:r w:rsidRPr="00D3086E">
        <w:t xml:space="preserve">resources in large quantities and in shorter </w:t>
      </w:r>
      <w:r>
        <w:t xml:space="preserve">response </w:t>
      </w:r>
      <w:r w:rsidRPr="00D3086E">
        <w:t>time</w:t>
      </w:r>
      <w:r>
        <w:t>s greatly expands the resources available to maintain operating reserves</w:t>
      </w:r>
      <w:r w:rsidRPr="00D3086E">
        <w:t xml:space="preserve">. As such, </w:t>
      </w:r>
      <w:r>
        <w:t xml:space="preserve">by reducing load in the appropriate locations, active </w:t>
      </w:r>
      <w:r w:rsidRPr="00D3086E">
        <w:t>demand resources</w:t>
      </w:r>
      <w:r>
        <w:t xml:space="preserve"> can be used to free other supply resources for maintaining reserve requirements for a systemwide event and transmission security for local events. T</w:t>
      </w:r>
      <w:r w:rsidRPr="00A5001B">
        <w:t xml:space="preserve">he ISO </w:t>
      </w:r>
      <w:r>
        <w:t>has</w:t>
      </w:r>
      <w:r w:rsidRPr="00A5001B">
        <w:t xml:space="preserve"> modif</w:t>
      </w:r>
      <w:r>
        <w:t>ied</w:t>
      </w:r>
      <w:r w:rsidRPr="00A5001B">
        <w:t xml:space="preserve"> OP</w:t>
      </w:r>
      <w:r>
        <w:t> </w:t>
      </w:r>
      <w:r w:rsidRPr="00A5001B">
        <w:t>4</w:t>
      </w:r>
      <w:r>
        <w:t>,</w:t>
      </w:r>
      <w:r w:rsidRPr="00A5001B">
        <w:t xml:space="preserve"> divid</w:t>
      </w:r>
      <w:r>
        <w:t>ing</w:t>
      </w:r>
      <w:r w:rsidRPr="00A5001B">
        <w:t xml:space="preserve"> </w:t>
      </w:r>
      <w:r>
        <w:t xml:space="preserve">the use of active demand resources </w:t>
      </w:r>
      <w:r w:rsidRPr="00A5001B">
        <w:t xml:space="preserve">into stages </w:t>
      </w:r>
      <w:r>
        <w:t>that</w:t>
      </w:r>
      <w:r w:rsidRPr="00A5001B">
        <w:t xml:space="preserve"> more accurately reflect </w:t>
      </w:r>
      <w:r w:rsidRPr="00D727D0">
        <w:t>the</w:t>
      </w:r>
      <w:r>
        <w:t>ir</w:t>
      </w:r>
      <w:r w:rsidRPr="00D727D0">
        <w:t xml:space="preserve"> level of </w:t>
      </w:r>
      <w:r>
        <w:t xml:space="preserve">contribution to system </w:t>
      </w:r>
      <w:r w:rsidRPr="00D727D0">
        <w:t>reliability</w:t>
      </w:r>
      <w:r>
        <w:t>.</w:t>
      </w:r>
      <w:r w:rsidRPr="00FC01AA">
        <w:rPr>
          <w:rStyle w:val="FootnoteReference"/>
          <w:sz w:val="22"/>
        </w:rPr>
        <w:footnoteReference w:id="265"/>
      </w:r>
      <w:r w:rsidRPr="00A01F86">
        <w:t xml:space="preserve"> </w:t>
      </w:r>
    </w:p>
    <w:p w:rsidR="00B462A6" w:rsidRDefault="00ED05F0">
      <w:pPr>
        <w:pStyle w:val="Heading3"/>
      </w:pPr>
      <w:bookmarkStart w:id="738" w:name="_Toc239157123"/>
      <w:bookmarkStart w:id="739" w:name="_Toc271632304"/>
      <w:r w:rsidRPr="00993881">
        <w:t>Creation of Demand</w:t>
      </w:r>
      <w:r>
        <w:t>-</w:t>
      </w:r>
      <w:r w:rsidRPr="00993881">
        <w:t>Designated Entities</w:t>
      </w:r>
      <w:bookmarkEnd w:id="738"/>
      <w:bookmarkEnd w:id="739"/>
    </w:p>
    <w:p w:rsidR="00ED05F0" w:rsidRDefault="00ED05F0" w:rsidP="00073277">
      <w:pPr>
        <w:rPr>
          <w:bCs/>
        </w:rPr>
      </w:pPr>
      <w:r>
        <w:t>C</w:t>
      </w:r>
      <w:r w:rsidRPr="00B05370">
        <w:t>oordinat</w:t>
      </w:r>
      <w:r>
        <w:t xml:space="preserve">ing </w:t>
      </w:r>
      <w:r w:rsidRPr="00B05370">
        <w:t xml:space="preserve">operations between </w:t>
      </w:r>
      <w:r>
        <w:t xml:space="preserve">the </w:t>
      </w:r>
      <w:r w:rsidRPr="00B05370">
        <w:t xml:space="preserve">ISO </w:t>
      </w:r>
      <w:r w:rsidRPr="00D3086E">
        <w:t>and the demand-resource</w:t>
      </w:r>
      <w:r w:rsidRPr="00B05370">
        <w:t xml:space="preserve"> network operating centers</w:t>
      </w:r>
      <w:r>
        <w:t xml:space="preserve"> has been enhanced by creating</w:t>
      </w:r>
      <w:r w:rsidRPr="00B05370">
        <w:t xml:space="preserve"> </w:t>
      </w:r>
      <w:r w:rsidRPr="00C2261F">
        <w:rPr>
          <w:i/>
        </w:rPr>
        <w:t>demand-designated entities</w:t>
      </w:r>
      <w:r>
        <w:t xml:space="preserve"> </w:t>
      </w:r>
      <w:r w:rsidRPr="00B05370">
        <w:t>(DDE</w:t>
      </w:r>
      <w:r>
        <w:t>s</w:t>
      </w:r>
      <w:r w:rsidRPr="00B05370">
        <w:t>)</w:t>
      </w:r>
      <w:r>
        <w:t>,</w:t>
      </w:r>
      <w:r w:rsidRPr="00B05370">
        <w:t xml:space="preserve"> similar to generator</w:t>
      </w:r>
      <w:r>
        <w:t>-d</w:t>
      </w:r>
      <w:r w:rsidRPr="00B05370">
        <w:t xml:space="preserve">esignated </w:t>
      </w:r>
      <w:r>
        <w:t>e</w:t>
      </w:r>
      <w:r w:rsidRPr="00B05370">
        <w:t>ntities</w:t>
      </w:r>
      <w:r>
        <w:t>. These a</w:t>
      </w:r>
      <w:r w:rsidRPr="00B05370">
        <w:t>ctive</w:t>
      </w:r>
      <w:r w:rsidR="007D29BE">
        <w:t>-</w:t>
      </w:r>
      <w:r>
        <w:t>d</w:t>
      </w:r>
      <w:r w:rsidRPr="00B05370">
        <w:t>emand</w:t>
      </w:r>
      <w:r>
        <w:t>-r</w:t>
      </w:r>
      <w:r w:rsidRPr="00B05370">
        <w:t xml:space="preserve">esource </w:t>
      </w:r>
      <w:r>
        <w:t xml:space="preserve">communication entities are </w:t>
      </w:r>
      <w:r w:rsidRPr="00B05370">
        <w:t xml:space="preserve">responsible for receiving and acting on </w:t>
      </w:r>
      <w:r>
        <w:t>d</w:t>
      </w:r>
      <w:r w:rsidRPr="00B05370">
        <w:t xml:space="preserve">ispatch </w:t>
      </w:r>
      <w:r>
        <w:t>i</w:t>
      </w:r>
      <w:r w:rsidRPr="00B05370">
        <w:t xml:space="preserve">nstructions from the ISO. </w:t>
      </w:r>
      <w:r>
        <w:t>DDEs are</w:t>
      </w:r>
      <w:r w:rsidRPr="00B05370">
        <w:t xml:space="preserve"> the only entit</w:t>
      </w:r>
      <w:r>
        <w:t xml:space="preserve">ies </w:t>
      </w:r>
      <w:r w:rsidRPr="00B05370">
        <w:t xml:space="preserve">the ISO will communicate </w:t>
      </w:r>
      <w:r>
        <w:t>with regarding d</w:t>
      </w:r>
      <w:r w:rsidRPr="00B05370">
        <w:t xml:space="preserve">ispatch </w:t>
      </w:r>
      <w:r>
        <w:t>i</w:t>
      </w:r>
      <w:r w:rsidRPr="00B05370">
        <w:t xml:space="preserve">nstructions for </w:t>
      </w:r>
      <w:r>
        <w:t>active d</w:t>
      </w:r>
      <w:r w:rsidRPr="00B05370">
        <w:t xml:space="preserve">emand </w:t>
      </w:r>
      <w:r>
        <w:t>r</w:t>
      </w:r>
      <w:r w:rsidRPr="00B05370">
        <w:t>esources</w:t>
      </w:r>
      <w:r>
        <w:t xml:space="preserve">. </w:t>
      </w:r>
    </w:p>
    <w:p w:rsidR="00ED05F0" w:rsidRPr="00A5001B" w:rsidRDefault="00ED05F0" w:rsidP="00073277">
      <w:r w:rsidRPr="00D32B98">
        <w:t xml:space="preserve">In addition, the </w:t>
      </w:r>
      <w:r>
        <w:t>DDEs</w:t>
      </w:r>
      <w:r w:rsidRPr="00D32B98">
        <w:t xml:space="preserve"> </w:t>
      </w:r>
      <w:r>
        <w:t>are</w:t>
      </w:r>
      <w:r w:rsidRPr="00D32B98">
        <w:t xml:space="preserve"> required to participate in training activities with the ISO and </w:t>
      </w:r>
      <w:r>
        <w:t>l</w:t>
      </w:r>
      <w:r w:rsidRPr="00D32B98">
        <w:t xml:space="preserve">ocal </w:t>
      </w:r>
      <w:r>
        <w:t>c</w:t>
      </w:r>
      <w:r w:rsidRPr="00D32B98">
        <w:t xml:space="preserve">ontrol </w:t>
      </w:r>
      <w:r>
        <w:t>c</w:t>
      </w:r>
      <w:r w:rsidRPr="00D32B98">
        <w:t xml:space="preserve">enter staff </w:t>
      </w:r>
      <w:r>
        <w:t xml:space="preserve">to </w:t>
      </w:r>
      <w:r w:rsidRPr="00D32B98">
        <w:t>gain confidence and expertise in how these resources fit into the overall operation of the interconnected systems</w:t>
      </w:r>
      <w:r>
        <w:t xml:space="preserve">. </w:t>
      </w:r>
    </w:p>
    <w:p w:rsidR="00B462A6" w:rsidRDefault="00ED05F0">
      <w:pPr>
        <w:pStyle w:val="Heading3"/>
      </w:pPr>
      <w:bookmarkStart w:id="740" w:name="_Toc239157124"/>
      <w:bookmarkStart w:id="741" w:name="_Toc271632305"/>
      <w:r w:rsidRPr="00993881">
        <w:t>Operator Interfaces</w:t>
      </w:r>
      <w:bookmarkEnd w:id="740"/>
      <w:bookmarkEnd w:id="741"/>
    </w:p>
    <w:p w:rsidR="00ED05F0" w:rsidRDefault="00ED05F0" w:rsidP="00073277">
      <w:r>
        <w:t>The ISO has incorporated active demand resources into the dispatch management tools within the Energy Management System (EMS), allowing operator control over their dispatch similar to other resources, with real-time input from the rest of the software tools within the EMS. This is a structural improvement from the past condition, in which active demand resources were administered with a separate set of software tools. Operational staff have been trained in the new environment and can use these new tools to predict available reserves both pre- and post-application of active demand resources. This new environment also allows for improved auditing of active demand resources to ensure they can respond as bid into the FCM during a system event.</w:t>
      </w:r>
      <w:r w:rsidR="007F145C">
        <w:t xml:space="preserve"> </w:t>
      </w:r>
    </w:p>
    <w:p w:rsidR="00B462A6" w:rsidRDefault="00ED05F0">
      <w:pPr>
        <w:pStyle w:val="Heading3"/>
      </w:pPr>
      <w:bookmarkStart w:id="742" w:name="_Toc239157125"/>
      <w:bookmarkStart w:id="743" w:name="_Toc271632306"/>
      <w:r>
        <w:t>Development of New Communications Infrastructure</w:t>
      </w:r>
      <w:bookmarkEnd w:id="742"/>
      <w:bookmarkEnd w:id="743"/>
    </w:p>
    <w:p w:rsidR="00ED05F0" w:rsidRDefault="00ED05F0" w:rsidP="00073277">
      <w:r>
        <w:rPr>
          <w:lang w:val="en-GB"/>
        </w:rPr>
        <w:t>The ISO has worked with stakeholders to r</w:t>
      </w:r>
      <w:r w:rsidRPr="009245DF">
        <w:rPr>
          <w:lang w:val="en-GB"/>
        </w:rPr>
        <w:t xml:space="preserve">eplace the communication </w:t>
      </w:r>
      <w:r w:rsidRPr="00524A0D">
        <w:rPr>
          <w:lang w:val="en-GB"/>
        </w:rPr>
        <w:t xml:space="preserve">infrastructure </w:t>
      </w:r>
      <w:r>
        <w:rPr>
          <w:lang w:val="en-GB"/>
        </w:rPr>
        <w:t xml:space="preserve">for active demand resources </w:t>
      </w:r>
      <w:r w:rsidRPr="00524A0D">
        <w:rPr>
          <w:lang w:val="en-GB"/>
        </w:rPr>
        <w:t xml:space="preserve">throughout the region. </w:t>
      </w:r>
      <w:r w:rsidR="0049509B">
        <w:t xml:space="preserve">The response of active </w:t>
      </w:r>
      <w:r w:rsidR="0049509B" w:rsidRPr="00D3086E">
        <w:t xml:space="preserve">demand </w:t>
      </w:r>
      <w:r w:rsidR="0049509B">
        <w:t>resources</w:t>
      </w:r>
      <w:r w:rsidR="0049509B" w:rsidRPr="00D3086E">
        <w:t xml:space="preserve"> </w:t>
      </w:r>
      <w:r w:rsidR="0049509B">
        <w:t>is now</w:t>
      </w:r>
      <w:r w:rsidR="0049509B" w:rsidRPr="00D3086E">
        <w:t xml:space="preserve"> modeled, monitored, and controlled by the ISO’s </w:t>
      </w:r>
      <w:r w:rsidR="0049509B">
        <w:t>Energy Management System</w:t>
      </w:r>
      <w:r w:rsidR="0049509B" w:rsidRPr="00D3086E">
        <w:t>, giving system operators a secure and reliable means to dispatch these resources</w:t>
      </w:r>
      <w:r w:rsidR="0049509B">
        <w:t>.</w:t>
      </w:r>
      <w:r w:rsidR="0049509B">
        <w:rPr>
          <w:lang w:val="en-GB"/>
        </w:rPr>
        <w:t xml:space="preserve"> </w:t>
      </w:r>
      <w:r>
        <w:rPr>
          <w:lang w:val="en-GB"/>
        </w:rPr>
        <w:t>This prevents</w:t>
      </w:r>
      <w:r w:rsidRPr="00524A0D">
        <w:rPr>
          <w:lang w:val="en-GB"/>
        </w:rPr>
        <w:t xml:space="preserve"> </w:t>
      </w:r>
      <w:r w:rsidRPr="00524A0D">
        <w:t xml:space="preserve">single points of failure </w:t>
      </w:r>
      <w:r>
        <w:t>from</w:t>
      </w:r>
      <w:r w:rsidRPr="00524A0D">
        <w:t xml:space="preserve"> render</w:t>
      </w:r>
      <w:r>
        <w:t>ing</w:t>
      </w:r>
      <w:r w:rsidRPr="00524A0D">
        <w:t xml:space="preserve"> all </w:t>
      </w:r>
      <w:r>
        <w:t>active</w:t>
      </w:r>
      <w:r w:rsidR="007D29BE">
        <w:t>-</w:t>
      </w:r>
      <w:r w:rsidRPr="00524A0D">
        <w:t>demand-reso</w:t>
      </w:r>
      <w:r w:rsidRPr="00D3086E">
        <w:t xml:space="preserve">urce assets </w:t>
      </w:r>
      <w:r w:rsidRPr="00E27EAD">
        <w:t>unusable during an emergency or</w:t>
      </w:r>
      <w:r w:rsidRPr="00D3086E">
        <w:t xml:space="preserve"> economic dispatch. </w:t>
      </w:r>
      <w:r w:rsidR="00890D42" w:rsidRPr="00890D42">
        <w:t xml:space="preserve">A final </w:t>
      </w:r>
      <w:r w:rsidR="00890D42" w:rsidRPr="00D42903">
        <w:t>effort to enhance</w:t>
      </w:r>
      <w:r w:rsidR="00890D42" w:rsidRPr="00890D42">
        <w:t xml:space="preserve"> the communications infrastructure involved integrating the active-demand-resource assets within the</w:t>
      </w:r>
      <w:r w:rsidRPr="00D3086E">
        <w:t xml:space="preserve"> ISO’s </w:t>
      </w:r>
      <w:r>
        <w:t>s</w:t>
      </w:r>
      <w:r w:rsidR="003B3E28">
        <w:t>upervisory</w:t>
      </w:r>
      <w:r w:rsidRPr="00D3086E">
        <w:t xml:space="preserve"> </w:t>
      </w:r>
      <w:r>
        <w:t>c</w:t>
      </w:r>
      <w:r w:rsidRPr="00D3086E">
        <w:t xml:space="preserve">ontrol and </w:t>
      </w:r>
      <w:r>
        <w:t>d</w:t>
      </w:r>
      <w:r w:rsidRPr="00D3086E">
        <w:t xml:space="preserve">ata </w:t>
      </w:r>
      <w:r>
        <w:t>a</w:t>
      </w:r>
      <w:r w:rsidRPr="00D3086E">
        <w:t>cquisition (SCADA) functions.</w:t>
      </w:r>
      <w:r>
        <w:t xml:space="preserve"> </w:t>
      </w:r>
    </w:p>
    <w:p w:rsidR="00B462A6" w:rsidRDefault="00890D42">
      <w:pPr>
        <w:pStyle w:val="Heading3"/>
      </w:pPr>
      <w:bookmarkStart w:id="744" w:name="_Toc239157126"/>
      <w:bookmarkStart w:id="745" w:name="_Toc271632307"/>
      <w:r w:rsidRPr="00890D42">
        <w:t>Use of Active</w:t>
      </w:r>
      <w:r w:rsidR="00DF7B56" w:rsidRPr="007D29BE">
        <w:t>-</w:t>
      </w:r>
      <w:r w:rsidR="00BC7F25" w:rsidRPr="007D29BE">
        <w:t>Demand</w:t>
      </w:r>
      <w:r w:rsidR="00DF7B56" w:rsidRPr="007D29BE">
        <w:t>-</w:t>
      </w:r>
      <w:r w:rsidR="00BC7F25" w:rsidRPr="007D29BE">
        <w:t>Resource</w:t>
      </w:r>
      <w:r w:rsidR="00ED05F0" w:rsidRPr="007D29BE">
        <w:t xml:space="preserve"> Dispatch</w:t>
      </w:r>
      <w:r w:rsidR="00ED05F0" w:rsidRPr="00D93D8A">
        <w:t xml:space="preserve"> Zones</w:t>
      </w:r>
      <w:bookmarkEnd w:id="744"/>
      <w:bookmarkEnd w:id="745"/>
    </w:p>
    <w:p w:rsidR="00ED05F0" w:rsidRDefault="00CE16C8" w:rsidP="00073277">
      <w:r w:rsidRPr="00CE16C8">
        <w:t xml:space="preserve">A </w:t>
      </w:r>
      <w:r w:rsidRPr="00CE16C8">
        <w:rPr>
          <w:i/>
        </w:rPr>
        <w:t>demand-resource dispatch zone</w:t>
      </w:r>
      <w:r w:rsidRPr="00CE16C8">
        <w:t xml:space="preserve"> is a group of</w:t>
      </w:r>
      <w:r w:rsidR="00ED05F0" w:rsidRPr="00D93D8A">
        <w:t xml:space="preserve"> nodes </w:t>
      </w:r>
      <w:r w:rsidR="007C375B">
        <w:t xml:space="preserve">(i.e., pricing points) </w:t>
      </w:r>
      <w:r w:rsidR="00ED05F0" w:rsidRPr="00D93D8A">
        <w:t xml:space="preserve">within a load zone that </w:t>
      </w:r>
      <w:r w:rsidR="00ED05F0">
        <w:t>is</w:t>
      </w:r>
      <w:r w:rsidR="00ED05F0" w:rsidRPr="00D93D8A">
        <w:t xml:space="preserve"> used to define and dispatch rea</w:t>
      </w:r>
      <w:r w:rsidR="00ED05F0">
        <w:t>l</w:t>
      </w:r>
      <w:r w:rsidR="00ED05F0" w:rsidRPr="00D93D8A">
        <w:t>-time demand-response resources or real-time emergency generation (RTEG) resources. Th</w:t>
      </w:r>
      <w:r w:rsidR="00ED05F0">
        <w:t>ese</w:t>
      </w:r>
      <w:r w:rsidR="00ED05F0" w:rsidRPr="00D93D8A">
        <w:t xml:space="preserve"> allow for a more granular dispatch of </w:t>
      </w:r>
      <w:r w:rsidR="00ED05F0">
        <w:t xml:space="preserve">active </w:t>
      </w:r>
      <w:r w:rsidR="00ED05F0" w:rsidRPr="00D93D8A">
        <w:t xml:space="preserve">demand resources at times, locations, and quantities needed to address potential system problems without unnecessarily calling on other </w:t>
      </w:r>
      <w:r w:rsidR="00ED05F0">
        <w:t xml:space="preserve">active </w:t>
      </w:r>
      <w:r w:rsidR="00ED05F0" w:rsidRPr="00D93D8A">
        <w:t xml:space="preserve">demand resources. </w:t>
      </w:r>
      <w:fldSimple w:instr=" REF _Ref234743321 \h  \* MERGEFORMAT ">
        <w:r w:rsidR="00E5699E" w:rsidRPr="00D93A06">
          <w:t xml:space="preserve">Figure </w:t>
        </w:r>
        <w:r w:rsidR="00E5699E">
          <w:rPr>
            <w:noProof/>
          </w:rPr>
          <w:t>9</w:t>
        </w:r>
        <w:r w:rsidR="00E5699E">
          <w:rPr>
            <w:noProof/>
          </w:rPr>
          <w:noBreakHyphen/>
          <w:t>1</w:t>
        </w:r>
      </w:fldSimple>
      <w:r w:rsidR="00ED05F0" w:rsidRPr="00D93D8A">
        <w:t xml:space="preserve"> shows the dispatch zones the ISO use</w:t>
      </w:r>
      <w:r w:rsidR="00ED05F0">
        <w:t>s</w:t>
      </w:r>
      <w:r w:rsidR="00ED05F0" w:rsidRPr="00D93D8A">
        <w:t xml:space="preserve"> to dispatch FCM </w:t>
      </w:r>
      <w:r w:rsidR="00ED05F0">
        <w:t xml:space="preserve">active </w:t>
      </w:r>
      <w:r w:rsidR="00ED05F0" w:rsidRPr="00D93D8A">
        <w:t>demand resources.</w:t>
      </w:r>
      <w:r w:rsidR="00ED05F0">
        <w:t xml:space="preserve"> </w:t>
      </w:r>
    </w:p>
    <w:p w:rsidR="001B3090" w:rsidRDefault="00ED05F0">
      <w:pPr>
        <w:keepNext/>
        <w:keepLines/>
        <w:spacing w:after="0" w:line="240" w:lineRule="auto"/>
        <w:jc w:val="center"/>
      </w:pPr>
      <w:r w:rsidRPr="00317139">
        <w:rPr>
          <w:noProof/>
        </w:rPr>
        <w:drawing>
          <wp:inline distT="0" distB="0" distL="0" distR="0">
            <wp:extent cx="3303493" cy="4426539"/>
            <wp:effectExtent l="19050" t="19050" r="11207" b="1211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62" cstate="print"/>
                    <a:stretch>
                      <a:fillRect/>
                    </a:stretch>
                  </pic:blipFill>
                  <pic:spPr>
                    <a:xfrm>
                      <a:off x="0" y="0"/>
                      <a:ext cx="3303803" cy="4426955"/>
                    </a:xfrm>
                    <a:prstGeom prst="rect">
                      <a:avLst/>
                    </a:prstGeom>
                    <a:ln w="3175">
                      <a:solidFill>
                        <a:schemeClr val="tx1"/>
                      </a:solidFill>
                    </a:ln>
                  </pic:spPr>
                </pic:pic>
              </a:graphicData>
            </a:graphic>
          </wp:inline>
        </w:drawing>
      </w:r>
    </w:p>
    <w:p w:rsidR="001B3090" w:rsidRDefault="00ED05F0">
      <w:pPr>
        <w:pStyle w:val="Caption-Figure"/>
        <w:ind w:left="2070" w:right="2070"/>
      </w:pPr>
      <w:bookmarkStart w:id="746" w:name="_Ref234743321"/>
      <w:bookmarkStart w:id="747" w:name="_Toc239157199"/>
      <w:bookmarkStart w:id="748" w:name="_Toc271552389"/>
      <w:r w:rsidRPr="00D93A06">
        <w:t xml:space="preserve">Figure </w:t>
      </w:r>
      <w:r w:rsidR="00832C7A">
        <w:fldChar w:fldCharType="begin"/>
      </w:r>
      <w:r w:rsidR="00807C8D">
        <w:instrText xml:space="preserve"> STYLEREF 1 \s </w:instrText>
      </w:r>
      <w:r w:rsidR="00832C7A">
        <w:fldChar w:fldCharType="separate"/>
      </w:r>
      <w:r w:rsidR="00E5699E">
        <w:rPr>
          <w:noProof/>
        </w:rPr>
        <w:t>9</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746"/>
      <w:r w:rsidRPr="00D93A06">
        <w:t>:</w:t>
      </w:r>
      <w:r>
        <w:t xml:space="preserve"> Active</w:t>
      </w:r>
      <w:r w:rsidR="007D29BE">
        <w:t>-</w:t>
      </w:r>
      <w:r>
        <w:t>demand-resource dispatch zones in the ISO New England system</w:t>
      </w:r>
      <w:r w:rsidRPr="002E7A00">
        <w:t>.</w:t>
      </w:r>
      <w:bookmarkEnd w:id="747"/>
      <w:bookmarkEnd w:id="748"/>
    </w:p>
    <w:p w:rsidR="00ED05F0" w:rsidRDefault="00ED05F0" w:rsidP="00073277"/>
    <w:p w:rsidR="001B3090" w:rsidRDefault="00CE674F">
      <w:pPr>
        <w:pStyle w:val="Heading2"/>
      </w:pPr>
      <w:bookmarkStart w:id="749" w:name="_Toc271632308"/>
      <w:bookmarkStart w:id="750" w:name="_Ref266559772"/>
      <w:r>
        <w:t xml:space="preserve">Integration of </w:t>
      </w:r>
      <w:r w:rsidR="00987991" w:rsidRPr="00987991">
        <w:t>Variable-Output Generation</w:t>
      </w:r>
      <w:bookmarkEnd w:id="749"/>
    </w:p>
    <w:p w:rsidR="00B64337" w:rsidRDefault="00F02F7A" w:rsidP="00B64337">
      <w:r>
        <w:t>Two of the main types of variable</w:t>
      </w:r>
      <w:r w:rsidR="0065374D">
        <w:t>-output</w:t>
      </w:r>
      <w:r>
        <w:t xml:space="preserve"> generation </w:t>
      </w:r>
      <w:r w:rsidR="00700057">
        <w:t xml:space="preserve">resources </w:t>
      </w:r>
      <w:r>
        <w:t xml:space="preserve">are wind and solar technologies. </w:t>
      </w:r>
      <w:r w:rsidR="00B64337" w:rsidRPr="007C375B">
        <w:t>The large</w:t>
      </w:r>
      <w:r w:rsidR="00B64337" w:rsidRPr="00A12257">
        <w:t>-scale use of wind power is becoming a norm in many parts of the world</w:t>
      </w:r>
      <w:r w:rsidR="00C65487">
        <w:t xml:space="preserve"> </w:t>
      </w:r>
      <w:r w:rsidR="00B64337" w:rsidRPr="00A12257">
        <w:t xml:space="preserve">due to the emissions-free electric energy </w:t>
      </w:r>
      <w:r w:rsidR="00C65487">
        <w:t xml:space="preserve">wind power </w:t>
      </w:r>
      <w:r w:rsidR="00B64337" w:rsidRPr="00A12257">
        <w:t>can generate; the speed with which wind power plants can be constructed; the generation diversity it adds to the resource mix (</w:t>
      </w:r>
      <w:r w:rsidR="00B64337">
        <w:t>s</w:t>
      </w:r>
      <w:r w:rsidR="00B64337" w:rsidRPr="00A12257">
        <w:t xml:space="preserve">ee </w:t>
      </w:r>
      <w:r w:rsidR="00832C7A">
        <w:fldChar w:fldCharType="begin"/>
      </w:r>
      <w:r w:rsidR="00B64337">
        <w:instrText xml:space="preserve"> REF _Ref266552266 \r \h </w:instrText>
      </w:r>
      <w:r w:rsidR="00832C7A">
        <w:fldChar w:fldCharType="separate"/>
      </w:r>
      <w:r w:rsidR="00E5699E">
        <w:t>Section 7</w:t>
      </w:r>
      <w:r w:rsidR="00832C7A">
        <w:fldChar w:fldCharType="end"/>
      </w:r>
      <w:r w:rsidR="00B64337" w:rsidRPr="00A12257">
        <w:t xml:space="preserve">); the long-term certainty </w:t>
      </w:r>
      <w:r w:rsidR="00C65487">
        <w:t>of its fuel costs</w:t>
      </w:r>
      <w:r w:rsidR="00B64337" w:rsidRPr="00A12257">
        <w:t xml:space="preserve">; and, in some instances, the cost-competitiveness of modern utility-scale wind power. Emissions-free generation helps meet environmental goals, such as RPSs and greenhouse gas </w:t>
      </w:r>
      <w:r w:rsidR="003B3E28">
        <w:t>reduction</w:t>
      </w:r>
      <w:r w:rsidR="00B64337" w:rsidRPr="00A12257">
        <w:t xml:space="preserve"> objectives (see </w:t>
      </w:r>
      <w:r w:rsidR="00832C7A">
        <w:fldChar w:fldCharType="begin"/>
      </w:r>
      <w:r w:rsidR="00B64337">
        <w:instrText xml:space="preserve"> REF _Ref262118354 \r \h </w:instrText>
      </w:r>
      <w:r w:rsidR="00832C7A">
        <w:fldChar w:fldCharType="separate"/>
      </w:r>
      <w:r w:rsidR="00E5699E">
        <w:t>Section 8</w:t>
      </w:r>
      <w:r w:rsidR="00832C7A">
        <w:fldChar w:fldCharType="end"/>
      </w:r>
      <w:r w:rsidR="00B64337" w:rsidRPr="00A12257">
        <w:t xml:space="preserve">). Wind power plants can be </w:t>
      </w:r>
      <w:r w:rsidR="00B64337" w:rsidRPr="000B40FA">
        <w:t xml:space="preserve">constructed in </w:t>
      </w:r>
      <w:r w:rsidR="00B64337">
        <w:t xml:space="preserve">as little as </w:t>
      </w:r>
      <w:r w:rsidR="00B64337" w:rsidRPr="000B40FA">
        <w:t xml:space="preserve">three to six months in New England, which facilitates financing and quick </w:t>
      </w:r>
      <w:r w:rsidR="00B64337" w:rsidRPr="00A12257">
        <w:t xml:space="preserve">responses to identified system needs. </w:t>
      </w:r>
      <w:r w:rsidR="00C65487">
        <w:t>W</w:t>
      </w:r>
      <w:r w:rsidR="00B64337" w:rsidRPr="00A12257">
        <w:t xml:space="preserve">ith a fuel cost fixed at essentially zero, </w:t>
      </w:r>
      <w:r w:rsidR="00C65487">
        <w:t>wind power</w:t>
      </w:r>
      <w:r w:rsidR="00EF747E">
        <w:t xml:space="preserve">’s long-term </w:t>
      </w:r>
      <w:r w:rsidR="00B64337" w:rsidRPr="00A12257">
        <w:t>fuel</w:t>
      </w:r>
      <w:r w:rsidR="00EF747E">
        <w:t xml:space="preserve"> </w:t>
      </w:r>
      <w:r w:rsidR="00B64337" w:rsidRPr="00A12257">
        <w:t>cost</w:t>
      </w:r>
      <w:r w:rsidR="00EF747E">
        <w:t>s</w:t>
      </w:r>
      <w:r w:rsidR="00B64337" w:rsidRPr="00A12257">
        <w:t xml:space="preserve"> </w:t>
      </w:r>
      <w:r w:rsidR="00EF747E">
        <w:t>are known</w:t>
      </w:r>
      <w:r w:rsidR="00B64337" w:rsidRPr="00A12257">
        <w:t xml:space="preserve">. </w:t>
      </w:r>
      <w:r w:rsidR="00C70B1E">
        <w:t>If</w:t>
      </w:r>
      <w:r w:rsidR="00B64337" w:rsidRPr="00A12257">
        <w:t xml:space="preserve"> the cost</w:t>
      </w:r>
      <w:r w:rsidR="00EF747E">
        <w:t>s</w:t>
      </w:r>
      <w:r w:rsidR="00B64337" w:rsidRPr="00A12257">
        <w:t xml:space="preserve"> of fossil fuels </w:t>
      </w:r>
      <w:r w:rsidR="00C70B1E">
        <w:t xml:space="preserve">and environmental emission-allowance prices </w:t>
      </w:r>
      <w:r w:rsidR="00B64337" w:rsidRPr="00A12257">
        <w:t>rise, wind power may become more attractive as a resource (see</w:t>
      </w:r>
      <w:r w:rsidR="00807134">
        <w:t> </w:t>
      </w:r>
      <w:r w:rsidR="00832C7A">
        <w:fldChar w:fldCharType="begin"/>
      </w:r>
      <w:r w:rsidR="00B64337">
        <w:instrText xml:space="preserve"> REF _Ref234901949 \r \h </w:instrText>
      </w:r>
      <w:r w:rsidR="00832C7A">
        <w:fldChar w:fldCharType="separate"/>
      </w:r>
      <w:r w:rsidR="00E5699E">
        <w:t>Section 10</w:t>
      </w:r>
      <w:r w:rsidR="00832C7A">
        <w:fldChar w:fldCharType="end"/>
      </w:r>
      <w:r w:rsidR="00B64337" w:rsidRPr="00A12257">
        <w:t>)</w:t>
      </w:r>
      <w:r w:rsidR="00EF747E">
        <w:t xml:space="preserve"> and can help New England </w:t>
      </w:r>
      <w:r w:rsidR="00EF747E" w:rsidRPr="00A12257">
        <w:t xml:space="preserve">relieve </w:t>
      </w:r>
      <w:r w:rsidR="00EF747E">
        <w:t xml:space="preserve">its </w:t>
      </w:r>
      <w:r w:rsidR="00EF747E" w:rsidRPr="00A12257">
        <w:t>dependence on natural gas (</w:t>
      </w:r>
      <w:r w:rsidR="00EF747E">
        <w:t>s</w:t>
      </w:r>
      <w:r w:rsidR="00EF747E" w:rsidRPr="00A12257">
        <w:t xml:space="preserve">ee </w:t>
      </w:r>
      <w:r w:rsidR="00832C7A">
        <w:fldChar w:fldCharType="begin"/>
      </w:r>
      <w:r w:rsidR="00EF747E">
        <w:instrText xml:space="preserve"> REF _Ref266552266 \r \h </w:instrText>
      </w:r>
      <w:r w:rsidR="00832C7A">
        <w:fldChar w:fldCharType="separate"/>
      </w:r>
      <w:r w:rsidR="00E5699E">
        <w:t>Section 7</w:t>
      </w:r>
      <w:r w:rsidR="00832C7A">
        <w:fldChar w:fldCharType="end"/>
      </w:r>
      <w:r w:rsidR="00EF747E" w:rsidRPr="00A12257">
        <w:t>)</w:t>
      </w:r>
      <w:r w:rsidR="00B64337">
        <w:t>.</w:t>
      </w:r>
      <w:r w:rsidR="00B64337" w:rsidRPr="00A12257">
        <w:t xml:space="preserve"> </w:t>
      </w:r>
    </w:p>
    <w:p w:rsidR="00B64337" w:rsidRPr="00706919" w:rsidRDefault="00B64337" w:rsidP="00B64337">
      <w:r>
        <w:t>Solar photovoltaic (PV) technology is experiencing a high level of growth</w:t>
      </w:r>
      <w:r w:rsidRPr="00876B02">
        <w:t xml:space="preserve"> </w:t>
      </w:r>
      <w:r>
        <w:t xml:space="preserve">in </w:t>
      </w:r>
      <w:r w:rsidRPr="00876B02">
        <w:t>the</w:t>
      </w:r>
      <w:r>
        <w:t xml:space="preserve"> New England states, and the </w:t>
      </w:r>
      <w:r w:rsidRPr="007C4E26">
        <w:t>technology</w:t>
      </w:r>
      <w:r>
        <w:t xml:space="preserve"> is making strong inroads in locally providing electricity at customer sites. As the New England states reach hundreds of megawatts of installed solar capacity, solar PV will </w:t>
      </w:r>
      <w:r w:rsidRPr="005761A3">
        <w:t xml:space="preserve">begin to have a measurable </w:t>
      </w:r>
      <w:r w:rsidRPr="00706919">
        <w:t xml:space="preserve">impact on the power system load and operation. </w:t>
      </w:r>
    </w:p>
    <w:p w:rsidR="005761A3" w:rsidRDefault="00700057" w:rsidP="008A150B">
      <w:r w:rsidRPr="00706919">
        <w:t xml:space="preserve">Studies are </w:t>
      </w:r>
      <w:r w:rsidR="005D01FD" w:rsidRPr="00706919">
        <w:t xml:space="preserve">being conducted </w:t>
      </w:r>
      <w:r w:rsidRPr="00706919">
        <w:t xml:space="preserve">to determine how to </w:t>
      </w:r>
      <w:r w:rsidR="003B482D" w:rsidRPr="00706919">
        <w:t xml:space="preserve">successfully integrate variable-output </w:t>
      </w:r>
      <w:r w:rsidRPr="00706919">
        <w:t>resources into the power generation system</w:t>
      </w:r>
      <w:r w:rsidR="003B482D" w:rsidRPr="00706919">
        <w:t xml:space="preserve"> and plan for this integration. Some issues being addressed include projecting and modeling energy production and the capacity values for use in analyses; coordinating generation and transmission planning approaches; studying the effects of distributed resources; determining the need for changes in operating practices, such as changes in the amounts of operating reserves and regulation requirements;</w:t>
      </w:r>
      <w:r w:rsidR="00391A5A">
        <w:t xml:space="preserve"> </w:t>
      </w:r>
      <w:r w:rsidR="003B482D" w:rsidRPr="00706919">
        <w:t>identifying possible needs for</w:t>
      </w:r>
      <w:r w:rsidR="00391A5A">
        <w:t xml:space="preserve"> </w:t>
      </w:r>
      <w:r w:rsidR="003B482D" w:rsidRPr="00706919">
        <w:t>integrating large amounts of storage and demand response and successfully integrating those technologies; and resolving other planning and operating</w:t>
      </w:r>
      <w:r w:rsidR="00391A5A">
        <w:t xml:space="preserve"> </w:t>
      </w:r>
      <w:r w:rsidR="003B482D" w:rsidRPr="00706919">
        <w:t xml:space="preserve">aspects of </w:t>
      </w:r>
      <w:r w:rsidR="00FE7B23" w:rsidRPr="00706919">
        <w:t xml:space="preserve">the development of </w:t>
      </w:r>
      <w:r w:rsidR="003B482D" w:rsidRPr="00706919">
        <w:t>large-scale variable</w:t>
      </w:r>
      <w:r w:rsidR="00FE7B23" w:rsidRPr="00706919">
        <w:t>-output</w:t>
      </w:r>
      <w:r w:rsidR="003B482D" w:rsidRPr="00706919">
        <w:t xml:space="preserve"> resource</w:t>
      </w:r>
      <w:r w:rsidR="00FE7B23" w:rsidRPr="00706919">
        <w:t>s</w:t>
      </w:r>
      <w:r w:rsidR="003B482D" w:rsidRPr="00706919">
        <w:t>.</w:t>
      </w:r>
      <w:r w:rsidR="003B482D" w:rsidRPr="00706919">
        <w:rPr>
          <w:rStyle w:val="FootnoteReference"/>
          <w:sz w:val="22"/>
        </w:rPr>
        <w:footnoteReference w:id="266"/>
      </w:r>
      <w:r w:rsidR="003B482D" w:rsidRPr="00706919">
        <w:t xml:space="preserve"> </w:t>
      </w:r>
      <w:r w:rsidRPr="00706919">
        <w:t xml:space="preserve">Results of </w:t>
      </w:r>
      <w:r w:rsidR="00FE7B23" w:rsidRPr="00706919">
        <w:t xml:space="preserve">several </w:t>
      </w:r>
      <w:r w:rsidRPr="00706919">
        <w:t>studies, other</w:t>
      </w:r>
      <w:r w:rsidRPr="005761A3">
        <w:t xml:space="preserve"> factors about integrating these resources</w:t>
      </w:r>
      <w:r w:rsidR="00E02E6D" w:rsidRPr="005761A3">
        <w:t xml:space="preserve"> and their growth in New England and adjacent areas</w:t>
      </w:r>
      <w:r w:rsidRPr="005761A3">
        <w:t xml:space="preserve">, and state incentives </w:t>
      </w:r>
      <w:r w:rsidR="00E02E6D" w:rsidRPr="005761A3">
        <w:t xml:space="preserve">and costs </w:t>
      </w:r>
      <w:r w:rsidRPr="005761A3">
        <w:t xml:space="preserve">for using </w:t>
      </w:r>
      <w:r w:rsidR="005D01FD" w:rsidRPr="005761A3">
        <w:t xml:space="preserve">solar </w:t>
      </w:r>
      <w:r w:rsidRPr="005761A3">
        <w:t>technologies follow</w:t>
      </w:r>
      <w:r w:rsidR="00544CC1" w:rsidRPr="005761A3">
        <w:t>.</w:t>
      </w:r>
    </w:p>
    <w:p w:rsidR="00B462A6" w:rsidRDefault="00DE42F5">
      <w:pPr>
        <w:pStyle w:val="Heading3"/>
      </w:pPr>
      <w:bookmarkStart w:id="751" w:name="_Toc271632309"/>
      <w:bookmarkStart w:id="752" w:name="_Ref270425955"/>
      <w:r>
        <w:t>Studies of Variable</w:t>
      </w:r>
      <w:r w:rsidR="0065374D">
        <w:t>-Output</w:t>
      </w:r>
      <w:r>
        <w:t xml:space="preserve"> Generation Resources</w:t>
      </w:r>
      <w:bookmarkEnd w:id="751"/>
    </w:p>
    <w:p w:rsidR="009120EC" w:rsidRDefault="00DE42F5">
      <w:r>
        <w:t xml:space="preserve">Several studies </w:t>
      </w:r>
      <w:r w:rsidR="00D81312">
        <w:t xml:space="preserve">conducted by NERC </w:t>
      </w:r>
      <w:r w:rsidR="00DC08E7">
        <w:t xml:space="preserve">and the IRC </w:t>
      </w:r>
      <w:r>
        <w:t>have addressed the integration of variable</w:t>
      </w:r>
      <w:r w:rsidR="00CB15DD">
        <w:t>-output</w:t>
      </w:r>
      <w:r>
        <w:t xml:space="preserve"> generation resources</w:t>
      </w:r>
      <w:r w:rsidR="00DC08E7">
        <w:t>.</w:t>
      </w:r>
    </w:p>
    <w:p w:rsidR="001B3090" w:rsidRDefault="00987991" w:rsidP="00235A65">
      <w:pPr>
        <w:pStyle w:val="Heading4"/>
      </w:pPr>
      <w:bookmarkStart w:id="753" w:name="_Ref271204085"/>
      <w:r w:rsidRPr="00987991">
        <w:t>NERC’s Integrating Variable Generation Task</w:t>
      </w:r>
      <w:r w:rsidR="002B1C5F">
        <w:t xml:space="preserve"> Force</w:t>
      </w:r>
      <w:bookmarkEnd w:id="752"/>
      <w:r w:rsidR="0065374D">
        <w:t xml:space="preserve"> Report</w:t>
      </w:r>
      <w:bookmarkEnd w:id="753"/>
    </w:p>
    <w:p w:rsidR="002B1C5F" w:rsidRDefault="002B1C5F" w:rsidP="002B1C5F">
      <w:r w:rsidRPr="007407F6">
        <w:t>In December 2007</w:t>
      </w:r>
      <w:r>
        <w:t>,</w:t>
      </w:r>
      <w:r w:rsidRPr="007407F6">
        <w:t xml:space="preserve"> </w:t>
      </w:r>
      <w:r>
        <w:t xml:space="preserve">the </w:t>
      </w:r>
      <w:r w:rsidRPr="007407F6">
        <w:t xml:space="preserve">NERC Planning </w:t>
      </w:r>
      <w:r>
        <w:t xml:space="preserve">Committee </w:t>
      </w:r>
      <w:r w:rsidRPr="007407F6">
        <w:t>and</w:t>
      </w:r>
      <w:r>
        <w:t xml:space="preserve"> the NERC</w:t>
      </w:r>
      <w:r w:rsidRPr="007407F6">
        <w:t xml:space="preserve"> Operating Committee create</w:t>
      </w:r>
      <w:r>
        <w:t xml:space="preserve">d the </w:t>
      </w:r>
      <w:r w:rsidR="006F7103" w:rsidRPr="006F7103">
        <w:t xml:space="preserve">Integrating Variable Generation Task Force </w:t>
      </w:r>
      <w:r w:rsidR="00F76232">
        <w:t>(</w:t>
      </w:r>
      <w:r>
        <w:t>IVGTF</w:t>
      </w:r>
      <w:r w:rsidR="00F76232">
        <w:t>)</w:t>
      </w:r>
      <w:r>
        <w:t xml:space="preserve"> and charged it to prepare a report addressing the following topics:</w:t>
      </w:r>
      <w:r w:rsidRPr="00314EE5">
        <w:rPr>
          <w:rStyle w:val="FootnoteReference"/>
        </w:rPr>
        <w:t xml:space="preserve"> </w:t>
      </w:r>
      <w:r w:rsidRPr="00F86983">
        <w:rPr>
          <w:rStyle w:val="FootnoteReference"/>
          <w:sz w:val="22"/>
        </w:rPr>
        <w:footnoteReference w:id="267"/>
      </w:r>
    </w:p>
    <w:p w:rsidR="002B1C5F" w:rsidRPr="005D01FD" w:rsidRDefault="00987991" w:rsidP="00BB34F0">
      <w:pPr>
        <w:pStyle w:val="ListParagraph"/>
        <w:numPr>
          <w:ilvl w:val="1"/>
          <w:numId w:val="28"/>
        </w:numPr>
        <w:spacing w:before="0" w:after="120"/>
        <w:ind w:left="720"/>
        <w:contextualSpacing w:val="0"/>
      </w:pPr>
      <w:r w:rsidRPr="00987991">
        <w:t>Raise industry awareness and understanding of the characteristics of variable-output generation</w:t>
      </w:r>
    </w:p>
    <w:p w:rsidR="002B1C5F" w:rsidRPr="005D01FD" w:rsidRDefault="00987991" w:rsidP="00BB34F0">
      <w:pPr>
        <w:pStyle w:val="ListParagraph"/>
        <w:numPr>
          <w:ilvl w:val="1"/>
          <w:numId w:val="28"/>
        </w:numPr>
        <w:spacing w:before="0" w:after="120"/>
        <w:ind w:left="720"/>
        <w:contextualSpacing w:val="0"/>
      </w:pPr>
      <w:r w:rsidRPr="00987991">
        <w:t>Review the planning and operations of integrating variable-output resources</w:t>
      </w:r>
      <w:r w:rsidR="005D01FD">
        <w:t xml:space="preserve"> and identify </w:t>
      </w:r>
      <w:r w:rsidRPr="00987991">
        <w:t xml:space="preserve">high-level shortcomings of existing planning approaches </w:t>
      </w:r>
    </w:p>
    <w:p w:rsidR="002B1C5F" w:rsidRDefault="002B1C5F" w:rsidP="00BB34F0">
      <w:pPr>
        <w:pStyle w:val="ListParagraph"/>
        <w:numPr>
          <w:ilvl w:val="1"/>
          <w:numId w:val="28"/>
        </w:numPr>
        <w:spacing w:before="0"/>
        <w:ind w:left="720"/>
        <w:contextualSpacing w:val="0"/>
      </w:pPr>
      <w:r w:rsidRPr="007407F6">
        <w:t xml:space="preserve">Broadly assess </w:t>
      </w:r>
      <w:r>
        <w:t>existing s</w:t>
      </w:r>
      <w:r w:rsidRPr="007407F6">
        <w:t xml:space="preserve">tandards to identify possible gaps and requirements to </w:t>
      </w:r>
      <w:r w:rsidRPr="00A73FE0">
        <w:t>ensure power</w:t>
      </w:r>
      <w:r>
        <w:t xml:space="preserve"> system reliability</w:t>
      </w:r>
      <w:r w:rsidRPr="007407F6">
        <w:t xml:space="preserve"> </w:t>
      </w:r>
    </w:p>
    <w:p w:rsidR="002B1C5F" w:rsidRDefault="002B1C5F" w:rsidP="002B1C5F">
      <w:r>
        <w:t xml:space="preserve">The </w:t>
      </w:r>
      <w:r w:rsidRPr="007407F6">
        <w:t>ISO</w:t>
      </w:r>
      <w:r>
        <w:t xml:space="preserve"> </w:t>
      </w:r>
      <w:r w:rsidRPr="007407F6">
        <w:t xml:space="preserve">is actively participating as a member of </w:t>
      </w:r>
      <w:r>
        <w:t xml:space="preserve">the </w:t>
      </w:r>
      <w:r w:rsidRPr="007407F6">
        <w:t>IVGTF. The IVGTF’s assignment includes the following tasks:</w:t>
      </w:r>
    </w:p>
    <w:p w:rsidR="002B1C5F" w:rsidRDefault="002B1C5F" w:rsidP="00BB34F0">
      <w:pPr>
        <w:pStyle w:val="ListParagraph"/>
        <w:numPr>
          <w:ilvl w:val="1"/>
          <w:numId w:val="28"/>
        </w:numPr>
        <w:spacing w:before="0" w:after="120"/>
        <w:ind w:left="720"/>
        <w:contextualSpacing w:val="0"/>
      </w:pPr>
      <w:r w:rsidRPr="007C4E26">
        <w:t>Developing collaboratively proposed NERC standards as a strawman for industry consideration</w:t>
      </w:r>
    </w:p>
    <w:p w:rsidR="002B1C5F" w:rsidRPr="00A43400" w:rsidRDefault="002B1C5F" w:rsidP="00BB34F0">
      <w:pPr>
        <w:pStyle w:val="ListParagraph"/>
        <w:numPr>
          <w:ilvl w:val="1"/>
          <w:numId w:val="28"/>
        </w:numPr>
        <w:spacing w:before="0"/>
        <w:ind w:left="720"/>
        <w:contextualSpacing w:val="0"/>
      </w:pPr>
      <w:r w:rsidRPr="007C4E26">
        <w:t xml:space="preserve">Conducting research and summarizing specific analyses and studies that identify operational and planning issues concerning the integration of large amounts of wind generation </w:t>
      </w:r>
      <w:r w:rsidRPr="00A73FE0">
        <w:t xml:space="preserve">with the </w:t>
      </w:r>
      <w:r w:rsidRPr="007C4E26">
        <w:t xml:space="preserve">electric </w:t>
      </w:r>
      <w:r w:rsidR="00987991" w:rsidRPr="00987991">
        <w:t>power system.</w:t>
      </w:r>
    </w:p>
    <w:p w:rsidR="002E215B" w:rsidRDefault="00987991" w:rsidP="002B1C5F">
      <w:r w:rsidRPr="00987991">
        <w:t>The IVGTF studied power system reliability issues surrounding the integration of large amounts of resources that possess variability and uncertainty and has issued several conclusions and recommendations for revising practices to accommodate higher levels of these resources on the system. First</w:t>
      </w:r>
      <w:r w:rsidR="002B1C5F">
        <w:t xml:space="preserve">, </w:t>
      </w:r>
      <w:r w:rsidR="002B1C5F" w:rsidRPr="007407F6">
        <w:t>power system planners must consider the impacts of variable</w:t>
      </w:r>
      <w:r w:rsidR="00CB15DD">
        <w:t>-output</w:t>
      </w:r>
      <w:r w:rsidR="002B1C5F" w:rsidRPr="007407F6">
        <w:t xml:space="preserve"> generation in power system planning and design and must develop the necessary practices and methods to maintain long-</w:t>
      </w:r>
      <w:r w:rsidR="002B1C5F" w:rsidRPr="00A73FE0">
        <w:t xml:space="preserve">term power system reliability. Second, operators </w:t>
      </w:r>
      <w:r w:rsidR="006F7103">
        <w:t>will</w:t>
      </w:r>
      <w:r w:rsidR="002B1C5F" w:rsidRPr="00A73FE0">
        <w:t xml:space="preserve"> require new tools and practices to maintain power</w:t>
      </w:r>
      <w:r w:rsidR="002B1C5F" w:rsidRPr="007407F6">
        <w:t xml:space="preserve"> system reliability</w:t>
      </w:r>
      <w:r w:rsidR="002B1C5F">
        <w:t xml:space="preserve">. Last, </w:t>
      </w:r>
      <w:r w:rsidR="002B1C5F" w:rsidRPr="007407F6">
        <w:t xml:space="preserve">planners and operators will benefit from </w:t>
      </w:r>
      <w:r w:rsidR="002B1C5F" w:rsidRPr="00E436BC">
        <w:t xml:space="preserve">a reference manual </w:t>
      </w:r>
      <w:r w:rsidR="002B1C5F" w:rsidRPr="007407F6">
        <w:t xml:space="preserve">describing required changes to </w:t>
      </w:r>
      <w:r w:rsidR="002B1C5F">
        <w:t xml:space="preserve">the </w:t>
      </w:r>
      <w:r w:rsidR="002B1C5F" w:rsidRPr="007407F6">
        <w:t xml:space="preserve">planning and operation of both </w:t>
      </w:r>
      <w:r w:rsidR="002B1C5F" w:rsidRPr="00121106">
        <w:t>th</w:t>
      </w:r>
      <w:r w:rsidR="002B1C5F" w:rsidRPr="00A73FE0">
        <w:t xml:space="preserve">e </w:t>
      </w:r>
      <w:r w:rsidR="002B1C5F">
        <w:t xml:space="preserve">electric </w:t>
      </w:r>
      <w:r w:rsidR="002B1C5F" w:rsidRPr="00121106">
        <w:t>power</w:t>
      </w:r>
      <w:r w:rsidR="002B1C5F" w:rsidRPr="007407F6">
        <w:t xml:space="preserve"> and distribution systems to accommodate large amounts of variable</w:t>
      </w:r>
      <w:r w:rsidR="00CB15DD">
        <w:t>-output</w:t>
      </w:r>
      <w:r w:rsidR="002B1C5F" w:rsidRPr="007407F6">
        <w:t xml:space="preserve"> generation. </w:t>
      </w:r>
    </w:p>
    <w:p w:rsidR="006F7103" w:rsidRDefault="002B1C5F" w:rsidP="006F7103">
      <w:r w:rsidRPr="007407F6">
        <w:t>The IVGTF recognizes that the impacts of variable</w:t>
      </w:r>
      <w:r w:rsidR="00CB15DD">
        <w:t>-output</w:t>
      </w:r>
      <w:r w:rsidRPr="007407F6">
        <w:t xml:space="preserve"> generation </w:t>
      </w:r>
      <w:r w:rsidR="00987991" w:rsidRPr="00987991">
        <w:t>resources like wind and solar power are region-specific because of regional differences in the characteristics of the wind and solar power</w:t>
      </w:r>
      <w:r w:rsidRPr="007407F6">
        <w:t xml:space="preserve"> resource</w:t>
      </w:r>
      <w:r>
        <w:t xml:space="preserve">s, </w:t>
      </w:r>
      <w:r w:rsidRPr="00E436BC">
        <w:t xml:space="preserve">load, and the operating and planning of generation and transmission </w:t>
      </w:r>
      <w:r w:rsidR="00987991" w:rsidRPr="00987991">
        <w:t>resources. It also recognizes that diversity of locations for variable-output resources would mitigate the adverse effects of variations in total wind and solar energy production.</w:t>
      </w:r>
    </w:p>
    <w:p w:rsidR="002B1C5F" w:rsidRPr="007407F6" w:rsidRDefault="002B1C5F" w:rsidP="002B1C5F">
      <w:r w:rsidRPr="00E436BC">
        <w:t>The</w:t>
      </w:r>
      <w:r w:rsidRPr="007407F6">
        <w:t xml:space="preserve"> IVGTF has </w:t>
      </w:r>
      <w:r>
        <w:t xml:space="preserve">begun </w:t>
      </w:r>
      <w:r w:rsidRPr="007407F6">
        <w:t xml:space="preserve">a second phase of work </w:t>
      </w:r>
      <w:r>
        <w:t xml:space="preserve">to </w:t>
      </w:r>
      <w:r w:rsidRPr="007407F6">
        <w:t>investigat</w:t>
      </w:r>
      <w:r>
        <w:t>e</w:t>
      </w:r>
      <w:r w:rsidRPr="007407F6">
        <w:t xml:space="preserve"> more deeply the conclusions drawn and the recommendations made </w:t>
      </w:r>
      <w:r>
        <w:t xml:space="preserve">as a result of </w:t>
      </w:r>
      <w:r w:rsidRPr="007407F6">
        <w:t>the first phase of work</w:t>
      </w:r>
      <w:r>
        <w:t xml:space="preserve">. The </w:t>
      </w:r>
      <w:r w:rsidRPr="007407F6">
        <w:t>ISO</w:t>
      </w:r>
      <w:r>
        <w:t xml:space="preserve"> </w:t>
      </w:r>
      <w:r w:rsidRPr="007407F6">
        <w:t>is actively participating in th</w:t>
      </w:r>
      <w:r>
        <w:t xml:space="preserve">e IVGTF’s </w:t>
      </w:r>
      <w:r w:rsidRPr="007407F6">
        <w:t>second phase</w:t>
      </w:r>
      <w:r>
        <w:t>.</w:t>
      </w:r>
      <w:r w:rsidRPr="005C434B">
        <w:rPr>
          <w:rStyle w:val="FootnoteReference"/>
          <w:color w:val="000000"/>
          <w:sz w:val="22"/>
        </w:rPr>
        <w:footnoteReference w:id="268"/>
      </w:r>
    </w:p>
    <w:p w:rsidR="001B3090" w:rsidRDefault="00397FB2" w:rsidP="00235A65">
      <w:pPr>
        <w:pStyle w:val="Heading4"/>
      </w:pPr>
      <w:r>
        <w:t>IRC Report</w:t>
      </w:r>
      <w:r w:rsidR="004E7159">
        <w:t xml:space="preserve"> on Variable</w:t>
      </w:r>
      <w:r w:rsidR="00CB15DD">
        <w:t>-Output</w:t>
      </w:r>
      <w:r w:rsidR="004E7159">
        <w:t xml:space="preserve"> Energy Resources</w:t>
      </w:r>
    </w:p>
    <w:p w:rsidR="002B1C5F" w:rsidRDefault="002B1C5F" w:rsidP="002B1C5F">
      <w:r>
        <w:t>A recent</w:t>
      </w:r>
      <w:r w:rsidR="00AF0F48">
        <w:t xml:space="preserve"> report </w:t>
      </w:r>
      <w:r w:rsidRPr="008B6203">
        <w:t>on variable</w:t>
      </w:r>
      <w:r w:rsidR="00CB15DD">
        <w:t>-output</w:t>
      </w:r>
      <w:r w:rsidRPr="008B6203">
        <w:t xml:space="preserve"> energy resources </w:t>
      </w:r>
      <w:r w:rsidR="00AF0F48">
        <w:t xml:space="preserve">by the ISO/RTO Council </w:t>
      </w:r>
      <w:r w:rsidRPr="008B6203">
        <w:t>indicates</w:t>
      </w:r>
      <w:r>
        <w:t xml:space="preserve"> the following three issues with </w:t>
      </w:r>
      <w:r w:rsidR="00120C7E">
        <w:t xml:space="preserve">these types of </w:t>
      </w:r>
      <w:r w:rsidRPr="008B6203">
        <w:t xml:space="preserve">resources, such as </w:t>
      </w:r>
      <w:r w:rsidR="00AF0F48">
        <w:t xml:space="preserve">solar and </w:t>
      </w:r>
      <w:r w:rsidRPr="008B6203">
        <w:t>wind:</w:t>
      </w:r>
      <w:r w:rsidRPr="005C434B">
        <w:rPr>
          <w:rStyle w:val="FootnoteReference"/>
          <w:sz w:val="22"/>
        </w:rPr>
        <w:footnoteReference w:id="269"/>
      </w:r>
      <w:r w:rsidRPr="005C434B">
        <w:t xml:space="preserve"> </w:t>
      </w:r>
    </w:p>
    <w:p w:rsidR="002B1C5F" w:rsidRDefault="002B1C5F" w:rsidP="002B1C5F">
      <w:pPr>
        <w:pStyle w:val="Bullet-Solid"/>
      </w:pPr>
      <w:r>
        <w:t>Uncertainty before the dispatch, as reflected in energy market forecast errors</w:t>
      </w:r>
    </w:p>
    <w:p w:rsidR="002B1C5F" w:rsidRDefault="002B1C5F" w:rsidP="002B1C5F">
      <w:pPr>
        <w:pStyle w:val="Bullet-Solid"/>
      </w:pPr>
      <w:r>
        <w:t>Variability of production as the penetration of the resource grows</w:t>
      </w:r>
    </w:p>
    <w:p w:rsidR="002B1C5F" w:rsidRDefault="002B1C5F" w:rsidP="002B1C5F">
      <w:pPr>
        <w:pStyle w:val="Bullet-Solid"/>
        <w:spacing w:after="240"/>
      </w:pPr>
      <w:r>
        <w:t>Lack of dispatch control of the variable</w:t>
      </w:r>
      <w:r w:rsidR="00120C7E">
        <w:t>-output</w:t>
      </w:r>
      <w:r>
        <w:t xml:space="preserve"> resource</w:t>
      </w:r>
    </w:p>
    <w:p w:rsidR="002B1C5F" w:rsidRPr="00893338" w:rsidRDefault="002B1C5F" w:rsidP="008A150B">
      <w:r>
        <w:t>The report suggests that the large-scale integration of variable</w:t>
      </w:r>
      <w:r w:rsidR="00120C7E">
        <w:t>-output</w:t>
      </w:r>
      <w:r>
        <w:t xml:space="preserve"> resources could have an adverse impact on system. The effects on other generation include less efficient unit commitment, higher system ramp ups and </w:t>
      </w:r>
      <w:r w:rsidRPr="00981182">
        <w:t>downs, increased load</w:t>
      </w:r>
      <w:r w:rsidRPr="003174D8">
        <w:t>-</w:t>
      </w:r>
      <w:r w:rsidRPr="00981182">
        <w:t>following regulation and reserve requirements,</w:t>
      </w:r>
      <w:r w:rsidRPr="00FB06FE">
        <w:t xml:space="preserve"> and</w:t>
      </w:r>
      <w:r>
        <w:t xml:space="preserve"> increased frequency and magnitude of the under- and over-generation events.</w:t>
      </w:r>
      <w:r w:rsidRPr="005C434B">
        <w:rPr>
          <w:rStyle w:val="FootnoteReference"/>
          <w:sz w:val="22"/>
        </w:rPr>
        <w:footnoteReference w:id="270"/>
      </w:r>
      <w:r w:rsidRPr="005C434B">
        <w:t xml:space="preserve"> </w:t>
      </w:r>
      <w:r>
        <w:t>The report discusses options to deal with these requirements.</w:t>
      </w:r>
      <w:r w:rsidRPr="00C323B0">
        <w:t xml:space="preserve"> </w:t>
      </w:r>
    </w:p>
    <w:p w:rsidR="00B462A6" w:rsidRDefault="00987991">
      <w:pPr>
        <w:pStyle w:val="Heading3"/>
        <w:rPr>
          <w:sz w:val="22"/>
          <w:szCs w:val="22"/>
        </w:rPr>
      </w:pPr>
      <w:bookmarkStart w:id="754" w:name="_Toc271632310"/>
      <w:r w:rsidRPr="00987991">
        <w:t>Wind Generation Technology and Integration</w:t>
      </w:r>
      <w:bookmarkEnd w:id="754"/>
    </w:p>
    <w:bookmarkEnd w:id="750"/>
    <w:p w:rsidR="00ED05F0" w:rsidRDefault="007C375B" w:rsidP="00073277">
      <w:r>
        <w:t>While wind can provide many system benefits, t</w:t>
      </w:r>
      <w:r w:rsidR="00C814EB" w:rsidRPr="00C814EB">
        <w:t xml:space="preserve">he variability of wind resources and the uncertainty with which the amount of power produced can be accurately forecast pose challenges for the reliable operation and planning of the power system. Many favorable sites for wind development </w:t>
      </w:r>
      <w:r w:rsidR="005C434B">
        <w:t xml:space="preserve">in New England </w:t>
      </w:r>
      <w:r w:rsidR="00C814EB" w:rsidRPr="00C814EB">
        <w:t>are remote from load centers. Development of these distant sites would likely require significant transmission development</w:t>
      </w:r>
      <w:r w:rsidR="00DD0672">
        <w:t>,</w:t>
      </w:r>
      <w:r w:rsidR="00C814EB" w:rsidRPr="00C814EB">
        <w:t xml:space="preserve"> which may not be economical and would further complicate the operations and planning of the system. The geographical diversity of wind power development throughout New England and its neighboring systems in New York and the eastern Canadian provinces would mitigate some of the adverse impacts </w:t>
      </w:r>
      <w:r w:rsidR="00C814EB" w:rsidRPr="005C434B">
        <w:t xml:space="preserve">of </w:t>
      </w:r>
      <w:r w:rsidR="00CE16C8" w:rsidRPr="005C434B">
        <w:t>wind-resource</w:t>
      </w:r>
      <w:r w:rsidR="00C814EB" w:rsidRPr="00C814EB">
        <w:t xml:space="preserve"> variability on the overall system. Several Elective and Merchant Transmission Upgrades are in various stages of development to </w:t>
      </w:r>
      <w:r w:rsidR="00C814EB" w:rsidRPr="005C434B">
        <w:t xml:space="preserve">access </w:t>
      </w:r>
      <w:r w:rsidR="00CE16C8" w:rsidRPr="005C434B">
        <w:t>th</w:t>
      </w:r>
      <w:r w:rsidR="005C434B" w:rsidRPr="005C434B">
        <w:t xml:space="preserve">is </w:t>
      </w:r>
      <w:r w:rsidR="00CE16C8" w:rsidRPr="005C434B">
        <w:t xml:space="preserve">wind </w:t>
      </w:r>
      <w:r w:rsidR="005C434B" w:rsidRPr="005C434B">
        <w:t xml:space="preserve">power as well as </w:t>
      </w:r>
      <w:r w:rsidR="00CE16C8" w:rsidRPr="005C434B">
        <w:t>other renewable resources</w:t>
      </w:r>
      <w:r w:rsidR="00C814EB" w:rsidRPr="005C434B">
        <w:t xml:space="preserve"> (</w:t>
      </w:r>
      <w:r w:rsidR="00DD0672" w:rsidRPr="005C434B">
        <w:t>s</w:t>
      </w:r>
      <w:r w:rsidR="00C814EB" w:rsidRPr="005C434B">
        <w:t xml:space="preserve">ee </w:t>
      </w:r>
      <w:fldSimple w:instr=" REF _Ref262118292 \r \h  \* MERGEFORMAT ">
        <w:r w:rsidR="00E5699E">
          <w:t>Section 6</w:t>
        </w:r>
      </w:fldSimple>
      <w:r w:rsidR="00715A98" w:rsidRPr="005C434B">
        <w:t xml:space="preserve">, </w:t>
      </w:r>
      <w:fldSimple w:instr=" REF _Ref234901949 \r \h  \* MERGEFORMAT ">
        <w:r w:rsidR="00E5699E">
          <w:t>Section 10</w:t>
        </w:r>
      </w:fldSimple>
      <w:r w:rsidR="00C814EB" w:rsidRPr="005C434B">
        <w:t xml:space="preserve">, and </w:t>
      </w:r>
      <w:fldSimple w:instr=" REF _Ref266552486 \r \h  \* MERGEFORMAT ">
        <w:r w:rsidR="00E5699E">
          <w:t>Section 12</w:t>
        </w:r>
      </w:fldSimple>
      <w:r w:rsidR="00C814EB" w:rsidRPr="005C434B">
        <w:t>)</w:t>
      </w:r>
    </w:p>
    <w:p w:rsidR="00ED05F0" w:rsidRDefault="00ED05F0" w:rsidP="00073277">
      <w:r w:rsidRPr="00FE15AE">
        <w:t xml:space="preserve">As of </w:t>
      </w:r>
      <w:r>
        <w:t>April</w:t>
      </w:r>
      <w:r w:rsidRPr="00FE15AE">
        <w:t xml:space="preserve"> 2010</w:t>
      </w:r>
      <w:r>
        <w:t>,</w:t>
      </w:r>
      <w:r w:rsidRPr="00FE15AE">
        <w:t xml:space="preserve"> approximately </w:t>
      </w:r>
      <w:r w:rsidR="005F67CD">
        <w:t>200</w:t>
      </w:r>
      <w:r w:rsidRPr="00FE15AE">
        <w:t xml:space="preserve"> MW of utility-scale wind generation </w:t>
      </w:r>
      <w:r>
        <w:t xml:space="preserve">are </w:t>
      </w:r>
      <w:r w:rsidRPr="00FE15AE">
        <w:t>on</w:t>
      </w:r>
      <w:r w:rsidR="005E132C">
        <w:t xml:space="preserve"> </w:t>
      </w:r>
      <w:r w:rsidRPr="00FE15AE">
        <w:t>line in the ISO</w:t>
      </w:r>
      <w:r>
        <w:t xml:space="preserve"> New England </w:t>
      </w:r>
      <w:r w:rsidRPr="00FE15AE">
        <w:t xml:space="preserve">system, of which approximately 170 MW are biddable assets. </w:t>
      </w:r>
      <w:r w:rsidRPr="005B228A">
        <w:t>New</w:t>
      </w:r>
      <w:r w:rsidRPr="00FE15AE">
        <w:t xml:space="preserve"> England has </w:t>
      </w:r>
      <w:r>
        <w:t>approximately</w:t>
      </w:r>
      <w:r w:rsidR="007C375B">
        <w:t xml:space="preserve"> </w:t>
      </w:r>
      <w:r w:rsidR="00A12257" w:rsidRPr="005B228A">
        <w:t>3,</w:t>
      </w:r>
      <w:r w:rsidR="007E54CD" w:rsidRPr="005B228A">
        <w:t>100 </w:t>
      </w:r>
      <w:r w:rsidR="00A12257" w:rsidRPr="005B228A">
        <w:t>MW</w:t>
      </w:r>
      <w:r w:rsidRPr="005B228A">
        <w:t xml:space="preserve"> of</w:t>
      </w:r>
      <w:r w:rsidRPr="00FE15AE">
        <w:t xml:space="preserve"> larger-scale wind projects in the </w:t>
      </w:r>
      <w:r>
        <w:t>q</w:t>
      </w:r>
      <w:r w:rsidRPr="00FE15AE">
        <w:t xml:space="preserve">ueue, </w:t>
      </w:r>
      <w:r w:rsidR="005C434B">
        <w:t xml:space="preserve">of which </w:t>
      </w:r>
      <w:r w:rsidRPr="00FE15AE">
        <w:t>over 1</w:t>
      </w:r>
      <w:r>
        <w:t>,</w:t>
      </w:r>
      <w:r w:rsidRPr="00FE15AE">
        <w:t>000 MW represent offshore projects and 2</w:t>
      </w:r>
      <w:r>
        <w:t>,100</w:t>
      </w:r>
      <w:r w:rsidRPr="00FE15AE">
        <w:t xml:space="preserve"> MW represent onshore projects.</w:t>
      </w:r>
      <w:r w:rsidR="00121106" w:rsidRPr="005C434B">
        <w:rPr>
          <w:rStyle w:val="FootnoteReference"/>
          <w:sz w:val="22"/>
        </w:rPr>
        <w:footnoteReference w:id="271"/>
      </w:r>
      <w:r w:rsidRPr="00FE15AE">
        <w:t xml:space="preserve"> </w:t>
      </w:r>
      <w:r w:rsidR="00832C7A">
        <w:fldChar w:fldCharType="begin"/>
      </w:r>
      <w:r w:rsidR="00A45CDF">
        <w:instrText xml:space="preserve"> REF _Ref265832462 \h </w:instrText>
      </w:r>
      <w:r w:rsidR="00832C7A">
        <w:fldChar w:fldCharType="separate"/>
      </w:r>
      <w:r w:rsidR="00E5699E">
        <w:t xml:space="preserve">Figure </w:t>
      </w:r>
      <w:r w:rsidR="00E5699E">
        <w:rPr>
          <w:noProof/>
        </w:rPr>
        <w:t>9</w:t>
      </w:r>
      <w:r w:rsidR="00E5699E">
        <w:noBreakHyphen/>
      </w:r>
      <w:r w:rsidR="00E5699E">
        <w:rPr>
          <w:noProof/>
        </w:rPr>
        <w:t>2</w:t>
      </w:r>
      <w:r w:rsidR="00832C7A">
        <w:fldChar w:fldCharType="end"/>
      </w:r>
      <w:r w:rsidRPr="00FE15AE">
        <w:t xml:space="preserve"> shows a map of planned and active wind projects in New England.</w:t>
      </w:r>
      <w:r>
        <w:t xml:space="preserve"> New England holds </w:t>
      </w:r>
      <w:r w:rsidR="00F45226">
        <w:t xml:space="preserve">the </w:t>
      </w:r>
      <w:r>
        <w:t xml:space="preserve">potential for developing </w:t>
      </w:r>
      <w:r w:rsidRPr="00DD0672">
        <w:t xml:space="preserve">over </w:t>
      </w:r>
      <w:r w:rsidR="004116BF" w:rsidRPr="00DD0672">
        <w:t xml:space="preserve">215 </w:t>
      </w:r>
      <w:r w:rsidR="008B6829">
        <w:t>gigawatts (</w:t>
      </w:r>
      <w:r w:rsidR="004116BF" w:rsidRPr="00DD0672">
        <w:t>GW</w:t>
      </w:r>
      <w:r w:rsidR="008B6829">
        <w:t>)</w:t>
      </w:r>
      <w:r>
        <w:t xml:space="preserve"> of wind generation.</w:t>
      </w:r>
      <w:r w:rsidRPr="00F45226">
        <w:rPr>
          <w:rStyle w:val="FootnoteReference"/>
          <w:sz w:val="22"/>
        </w:rPr>
        <w:footnoteReference w:id="272"/>
      </w:r>
      <w:r>
        <w:t xml:space="preserve"> </w:t>
      </w:r>
    </w:p>
    <w:p w:rsidR="001B3090" w:rsidRDefault="00A45CDF">
      <w:pPr>
        <w:keepNext/>
        <w:keepLines/>
        <w:spacing w:after="0" w:line="240" w:lineRule="auto"/>
        <w:jc w:val="center"/>
      </w:pPr>
      <w:r w:rsidRPr="00A45CDF">
        <w:rPr>
          <w:noProof/>
        </w:rPr>
        <w:drawing>
          <wp:inline distT="0" distB="0" distL="0" distR="0">
            <wp:extent cx="3805656" cy="4446472"/>
            <wp:effectExtent l="38100" t="19050" r="23394" b="11228"/>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3802274" cy="4442520"/>
                    </a:xfrm>
                    <a:prstGeom prst="rect">
                      <a:avLst/>
                    </a:prstGeom>
                    <a:noFill/>
                    <a:ln w="0">
                      <a:solidFill>
                        <a:schemeClr val="tx1"/>
                      </a:solidFill>
                      <a:miter lim="800000"/>
                      <a:headEnd/>
                      <a:tailEnd/>
                    </a:ln>
                  </pic:spPr>
                </pic:pic>
              </a:graphicData>
            </a:graphic>
          </wp:inline>
        </w:drawing>
      </w:r>
    </w:p>
    <w:p w:rsidR="003F3D84" w:rsidRDefault="00A45CDF" w:rsidP="007B6EB4">
      <w:pPr>
        <w:pStyle w:val="Caption"/>
        <w:keepNext w:val="0"/>
        <w:keepLines w:val="0"/>
        <w:tabs>
          <w:tab w:val="left" w:pos="7740"/>
        </w:tabs>
        <w:spacing w:before="120" w:after="240"/>
        <w:ind w:left="1710" w:right="1620"/>
        <w:jc w:val="left"/>
      </w:pPr>
      <w:bookmarkStart w:id="755" w:name="_Ref265832462"/>
      <w:bookmarkStart w:id="756" w:name="_Toc271552390"/>
      <w:r>
        <w:t xml:space="preserve">Figure </w:t>
      </w:r>
      <w:r w:rsidR="00832C7A">
        <w:fldChar w:fldCharType="begin"/>
      </w:r>
      <w:r w:rsidR="00807C8D">
        <w:instrText xml:space="preserve"> STYLEREF 1 \s </w:instrText>
      </w:r>
      <w:r w:rsidR="00832C7A">
        <w:fldChar w:fldCharType="separate"/>
      </w:r>
      <w:r w:rsidR="00E5699E">
        <w:rPr>
          <w:noProof/>
        </w:rPr>
        <w:t>9</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755"/>
      <w:r>
        <w:t>: P</w:t>
      </w:r>
      <w:r w:rsidRPr="00FE15AE">
        <w:t>lanned and active wind projects in New England</w:t>
      </w:r>
      <w:r>
        <w:t>, 2010</w:t>
      </w:r>
      <w:r w:rsidR="00662103">
        <w:t>.</w:t>
      </w:r>
      <w:bookmarkEnd w:id="756"/>
      <w:r w:rsidR="00662103">
        <w:t xml:space="preserve"> </w:t>
      </w:r>
    </w:p>
    <w:p w:rsidR="00FE7B23" w:rsidRDefault="00ED05F0" w:rsidP="00B64337">
      <w:r>
        <w:t xml:space="preserve">The </w:t>
      </w:r>
      <w:r w:rsidRPr="00FE15AE">
        <w:t>ISO</w:t>
      </w:r>
      <w:r>
        <w:t xml:space="preserve"> is focusing on three main wind-integration </w:t>
      </w:r>
      <w:r w:rsidRPr="00FE15AE">
        <w:t>activities: facilitatin</w:t>
      </w:r>
      <w:r>
        <w:t>g</w:t>
      </w:r>
      <w:r w:rsidRPr="00FE15AE">
        <w:t xml:space="preserve"> the interconnection process for new wind generators, active</w:t>
      </w:r>
      <w:r>
        <w:t xml:space="preserve">ly </w:t>
      </w:r>
      <w:r w:rsidRPr="00FE15AE">
        <w:t>participatin</w:t>
      </w:r>
      <w:r>
        <w:t>g</w:t>
      </w:r>
      <w:r w:rsidRPr="00FE15AE">
        <w:t xml:space="preserve"> in the NERC IVGTF Phase II, and </w:t>
      </w:r>
      <w:r w:rsidR="00C760B5">
        <w:t>conducting</w:t>
      </w:r>
      <w:r w:rsidRPr="00FE15AE">
        <w:t xml:space="preserve"> a </w:t>
      </w:r>
      <w:r>
        <w:t xml:space="preserve">study of </w:t>
      </w:r>
      <w:r w:rsidRPr="00FE15AE">
        <w:t>large-scale wind integration operational effects—the New England Wind Integration Study (NEWIS).</w:t>
      </w:r>
    </w:p>
    <w:p w:rsidR="001B3090" w:rsidRDefault="00ED05F0" w:rsidP="00235A65">
      <w:pPr>
        <w:pStyle w:val="Heading4"/>
      </w:pPr>
      <w:r>
        <w:t>Wind Generator Interconnection Facilitation</w:t>
      </w:r>
    </w:p>
    <w:p w:rsidR="00ED05F0" w:rsidRDefault="00BC373C" w:rsidP="00073277">
      <w:r>
        <w:t>Developers of w</w:t>
      </w:r>
      <w:r w:rsidR="00ED05F0" w:rsidRPr="00211CDA">
        <w:t>ind generat</w:t>
      </w:r>
      <w:r>
        <w:t xml:space="preserve">ion </w:t>
      </w:r>
      <w:r w:rsidR="00ED05F0">
        <w:t xml:space="preserve">interested in </w:t>
      </w:r>
      <w:r w:rsidR="00ED05F0" w:rsidRPr="00211CDA">
        <w:t>interconnect</w:t>
      </w:r>
      <w:r w:rsidR="00ED05F0">
        <w:t xml:space="preserve">ing facilities </w:t>
      </w:r>
      <w:r w:rsidR="00ED05F0" w:rsidRPr="00211CDA">
        <w:t>to the ISO</w:t>
      </w:r>
      <w:r w:rsidR="00ED05F0">
        <w:t xml:space="preserve"> </w:t>
      </w:r>
      <w:r w:rsidR="00ED05F0" w:rsidRPr="00211CDA">
        <w:t xml:space="preserve">system face particular challenges </w:t>
      </w:r>
      <w:r>
        <w:t xml:space="preserve">because of </w:t>
      </w:r>
      <w:r w:rsidR="00ED05F0" w:rsidRPr="00211CDA">
        <w:t xml:space="preserve">the differences </w:t>
      </w:r>
      <w:r w:rsidR="00ED05F0">
        <w:t>between</w:t>
      </w:r>
      <w:r w:rsidR="00ED05F0" w:rsidRPr="00211CDA">
        <w:t xml:space="preserve"> wind power </w:t>
      </w:r>
      <w:r w:rsidR="00ED05F0">
        <w:t xml:space="preserve">and </w:t>
      </w:r>
      <w:r w:rsidR="00ED05F0" w:rsidRPr="00211CDA">
        <w:t>conventional resources</w:t>
      </w:r>
      <w:r w:rsidR="00ED05F0">
        <w:t xml:space="preserve"> caused by the variability of wind power production. </w:t>
      </w:r>
      <w:r>
        <w:t xml:space="preserve">In </w:t>
      </w:r>
      <w:r w:rsidR="00ED05F0" w:rsidRPr="00211CDA">
        <w:t>recogni</w:t>
      </w:r>
      <w:r>
        <w:t xml:space="preserve">tion of </w:t>
      </w:r>
      <w:r w:rsidR="00ED05F0" w:rsidRPr="00211CDA">
        <w:t xml:space="preserve">this and </w:t>
      </w:r>
      <w:r w:rsidR="00AB623F">
        <w:t xml:space="preserve">because </w:t>
      </w:r>
      <w:r>
        <w:t>wind generation is a relatively new type of technology for the New England system, the ISO</w:t>
      </w:r>
      <w:r w:rsidRPr="00211CDA">
        <w:t xml:space="preserve"> </w:t>
      </w:r>
      <w:r w:rsidR="00ED05F0" w:rsidRPr="00211CDA">
        <w:t>has developed a set of procedures to facilitate wind generator interconnection. ISO</w:t>
      </w:r>
      <w:r w:rsidR="00ED05F0">
        <w:t xml:space="preserve"> </w:t>
      </w:r>
      <w:r w:rsidR="00ED05F0" w:rsidRPr="00211CDA">
        <w:t xml:space="preserve">staff </w:t>
      </w:r>
      <w:r w:rsidR="00ED05F0">
        <w:t>assist wind project developers through</w:t>
      </w:r>
      <w:r w:rsidR="00ED05F0" w:rsidRPr="00211CDA">
        <w:t xml:space="preserve"> the interconnection process</w:t>
      </w:r>
      <w:r w:rsidR="00ED05F0">
        <w:t>,</w:t>
      </w:r>
      <w:r w:rsidR="00ED05F0" w:rsidRPr="00211CDA">
        <w:t xml:space="preserve"> including</w:t>
      </w:r>
      <w:r w:rsidR="00ED05F0">
        <w:t xml:space="preserve"> the following tasks</w:t>
      </w:r>
      <w:r w:rsidR="00FA113D">
        <w:t>:</w:t>
      </w:r>
      <w:r w:rsidR="00ED05F0" w:rsidRPr="00211CDA">
        <w:t xml:space="preserve"> </w:t>
      </w:r>
    </w:p>
    <w:p w:rsidR="00E02278" w:rsidRDefault="00ED05F0" w:rsidP="00BB34F0">
      <w:pPr>
        <w:pStyle w:val="ListParagraph"/>
        <w:numPr>
          <w:ilvl w:val="1"/>
          <w:numId w:val="28"/>
        </w:numPr>
        <w:spacing w:before="0" w:after="120"/>
        <w:ind w:left="720"/>
        <w:contextualSpacing w:val="0"/>
      </w:pPr>
      <w:r w:rsidRPr="00195755">
        <w:t>Meeting all phases of the ISO’s specific commissioning protocol</w:t>
      </w:r>
    </w:p>
    <w:p w:rsidR="00E02278" w:rsidRDefault="00ED05F0" w:rsidP="00BB34F0">
      <w:pPr>
        <w:pStyle w:val="ListParagraph"/>
        <w:numPr>
          <w:ilvl w:val="1"/>
          <w:numId w:val="28"/>
        </w:numPr>
        <w:spacing w:before="0" w:after="120"/>
        <w:ind w:left="720"/>
        <w:contextualSpacing w:val="0"/>
      </w:pPr>
      <w:r w:rsidRPr="00195755">
        <w:t>Compl</w:t>
      </w:r>
      <w:r w:rsidR="00EF6CF6">
        <w:t xml:space="preserve">ying </w:t>
      </w:r>
      <w:r w:rsidRPr="00195755">
        <w:t>with voice, data, and telemetry requirements, depending on the type of markets in which the resource will be participating</w:t>
      </w:r>
    </w:p>
    <w:p w:rsidR="00E02278" w:rsidRPr="00D42903" w:rsidRDefault="00ED05F0" w:rsidP="00BB34F0">
      <w:pPr>
        <w:pStyle w:val="ListParagraph"/>
        <w:numPr>
          <w:ilvl w:val="1"/>
          <w:numId w:val="28"/>
        </w:numPr>
        <w:spacing w:before="0" w:after="120"/>
        <w:ind w:left="720"/>
        <w:contextualSpacing w:val="0"/>
      </w:pPr>
      <w:r>
        <w:t>Designatin</w:t>
      </w:r>
      <w:r w:rsidR="00EF6CF6">
        <w:t>g</w:t>
      </w:r>
      <w:r>
        <w:t xml:space="preserve"> </w:t>
      </w:r>
      <w:r w:rsidRPr="007C4E26">
        <w:t xml:space="preserve">an entity that has complete control over the </w:t>
      </w:r>
      <w:r>
        <w:t xml:space="preserve">wind generation </w:t>
      </w:r>
      <w:r w:rsidRPr="007C4E26">
        <w:t xml:space="preserve">resource and that can </w:t>
      </w:r>
      <w:r w:rsidRPr="00D42903">
        <w:t>be contacted at all times during both normal and emergency conditions</w:t>
      </w:r>
    </w:p>
    <w:p w:rsidR="00E02278" w:rsidRPr="00D42903" w:rsidRDefault="00ED05F0" w:rsidP="00BB34F0">
      <w:pPr>
        <w:pStyle w:val="ListParagraph"/>
        <w:numPr>
          <w:ilvl w:val="1"/>
          <w:numId w:val="28"/>
        </w:numPr>
        <w:spacing w:before="0" w:after="120"/>
        <w:ind w:left="720"/>
        <w:contextualSpacing w:val="0"/>
      </w:pPr>
      <w:r w:rsidRPr="00D42903">
        <w:t>Submi</w:t>
      </w:r>
      <w:r w:rsidR="00EF6CF6">
        <w:t xml:space="preserve">tting </w:t>
      </w:r>
      <w:r w:rsidRPr="00D42903">
        <w:t xml:space="preserve">real-time self-scheduling information so that </w:t>
      </w:r>
      <w:r w:rsidR="00043F19">
        <w:t xml:space="preserve">the ISO can account for </w:t>
      </w:r>
      <w:r w:rsidRPr="00D42903">
        <w:t xml:space="preserve">this information </w:t>
      </w:r>
      <w:r w:rsidR="00EF6CF6">
        <w:t>when</w:t>
      </w:r>
      <w:r w:rsidRPr="00D42903">
        <w:t xml:space="preserve"> </w:t>
      </w:r>
      <w:r w:rsidR="00EF6CF6">
        <w:t xml:space="preserve">operating the system and </w:t>
      </w:r>
      <w:r w:rsidR="001E039D">
        <w:t xml:space="preserve">conducting </w:t>
      </w:r>
      <w:r w:rsidR="00EF6CF6">
        <w:t>r</w:t>
      </w:r>
      <w:r w:rsidR="00890D42" w:rsidRPr="00D42903">
        <w:t xml:space="preserve">esource </w:t>
      </w:r>
      <w:r w:rsidR="00EF6CF6">
        <w:t>a</w:t>
      </w:r>
      <w:r w:rsidR="00890D42" w:rsidRPr="00D42903">
        <w:t xml:space="preserve">dequacy </w:t>
      </w:r>
      <w:r w:rsidR="001E039D">
        <w:t>analyses</w:t>
      </w:r>
      <w:r w:rsidR="00890D42" w:rsidRPr="00D42903">
        <w:t xml:space="preserve"> (see Section</w:t>
      </w:r>
      <w:r w:rsidR="00D42903" w:rsidRPr="00D42903">
        <w:t xml:space="preserve"> </w:t>
      </w:r>
      <w:fldSimple w:instr=" REF _Ref266541080 \r \h  \* MERGEFORMAT ">
        <w:r w:rsidR="00E5699E">
          <w:t>4.1</w:t>
        </w:r>
      </w:fldSimple>
      <w:r w:rsidR="008A344A" w:rsidRPr="00D42903">
        <w:t>)</w:t>
      </w:r>
    </w:p>
    <w:p w:rsidR="00E02278" w:rsidRDefault="00ED05F0" w:rsidP="00BB34F0">
      <w:pPr>
        <w:pStyle w:val="ListParagraph"/>
        <w:numPr>
          <w:ilvl w:val="1"/>
          <w:numId w:val="28"/>
        </w:numPr>
        <w:spacing w:before="0"/>
        <w:ind w:left="720"/>
        <w:contextualSpacing w:val="0"/>
      </w:pPr>
      <w:r w:rsidRPr="00195755">
        <w:t xml:space="preserve">Understanding operating requirements, </w:t>
      </w:r>
      <w:r w:rsidR="00043F19">
        <w:t xml:space="preserve">which </w:t>
      </w:r>
      <w:r w:rsidRPr="00195755">
        <w:t>includ</w:t>
      </w:r>
      <w:r w:rsidR="00043F19">
        <w:t>es</w:t>
      </w:r>
      <w:r w:rsidRPr="00195755">
        <w:t xml:space="preserve"> the provision of training</w:t>
      </w:r>
      <w:r w:rsidR="00A447D0">
        <w:t>,</w:t>
      </w:r>
      <w:r w:rsidRPr="00195755">
        <w:t xml:space="preserve"> </w:t>
      </w:r>
      <w:r w:rsidR="00FA113D">
        <w:t>for</w:t>
      </w:r>
      <w:r w:rsidRPr="00195755">
        <w:t xml:space="preserve"> how the ISO manages congestion, should it occur </w:t>
      </w:r>
    </w:p>
    <w:p w:rsidR="007C34C3" w:rsidRPr="00045C21" w:rsidRDefault="00ED05F0" w:rsidP="00073277">
      <w:r w:rsidRPr="00211CDA">
        <w:t xml:space="preserve">Additionally, wind generators are </w:t>
      </w:r>
      <w:r w:rsidR="00D4331C" w:rsidRPr="00D4331C">
        <w:t xml:space="preserve">notified that because the interconnection requirements are under review as part of the NEWIS (see </w:t>
      </w:r>
      <w:r w:rsidR="008A344A">
        <w:t>below</w:t>
      </w:r>
      <w:r w:rsidR="00D4331C" w:rsidRPr="00D4331C">
        <w:t xml:space="preserve">), the requirements are interim and may change once the </w:t>
      </w:r>
      <w:r w:rsidR="00043F19">
        <w:t>study</w:t>
      </w:r>
      <w:r w:rsidR="00D4331C" w:rsidRPr="00D4331C">
        <w:t xml:space="preserve"> has finalized recommendations for interconnection requirements.</w:t>
      </w:r>
    </w:p>
    <w:p w:rsidR="00F158B9" w:rsidRDefault="00ED05F0" w:rsidP="00235A65">
      <w:pPr>
        <w:pStyle w:val="Heading4"/>
      </w:pPr>
      <w:bookmarkStart w:id="757" w:name="_Ref266559811"/>
      <w:r>
        <w:t>New England Wind Integration Study</w:t>
      </w:r>
      <w:bookmarkEnd w:id="757"/>
      <w:r>
        <w:t xml:space="preserve"> </w:t>
      </w:r>
    </w:p>
    <w:p w:rsidR="00ED05F0" w:rsidRPr="00404FB8" w:rsidDel="00AD44A8" w:rsidRDefault="00ED05F0" w:rsidP="00073277">
      <w:r>
        <w:t xml:space="preserve">The </w:t>
      </w:r>
      <w:r w:rsidRPr="00404FB8">
        <w:t>ISO</w:t>
      </w:r>
      <w:r>
        <w:t xml:space="preserve"> is conducting</w:t>
      </w:r>
      <w:r w:rsidRPr="00404FB8">
        <w:t xml:space="preserve"> </w:t>
      </w:r>
      <w:r w:rsidR="00C738F5">
        <w:t xml:space="preserve">the comprehensive New England Wind Integration </w:t>
      </w:r>
      <w:r w:rsidR="00C738F5" w:rsidRPr="00C738F5">
        <w:t xml:space="preserve">Study </w:t>
      </w:r>
      <w:r w:rsidR="00821C68" w:rsidRPr="00821C68">
        <w:t>that highlights the operational effects of large-scale wind integration in New England, including the effects of wind forecasting and large-scale wind power on the rest of the generation fleet.</w:t>
      </w:r>
      <w:r w:rsidR="00C738F5">
        <w:t xml:space="preserve"> </w:t>
      </w:r>
      <w:r w:rsidRPr="00404FB8">
        <w:t xml:space="preserve">In 2009, </w:t>
      </w:r>
      <w:r>
        <w:t xml:space="preserve">the </w:t>
      </w:r>
      <w:r w:rsidRPr="00404FB8">
        <w:t>ISO</w:t>
      </w:r>
      <w:r>
        <w:t xml:space="preserve"> </w:t>
      </w:r>
      <w:r w:rsidRPr="00404FB8">
        <w:t>publicly released a</w:t>
      </w:r>
      <w:r w:rsidR="002A6DF6">
        <w:t xml:space="preserve"> request for proposals (</w:t>
      </w:r>
      <w:r w:rsidRPr="00404FB8">
        <w:t>RFP</w:t>
      </w:r>
      <w:r w:rsidR="002A6DF6">
        <w:t>)</w:t>
      </w:r>
      <w:r w:rsidRPr="00404FB8">
        <w:t xml:space="preserve"> and selected an expert vendor—General Electric Energy Applications and Systems Engineering, with support from EnerNex, AWSTruewind, and WindLogics—to perform </w:t>
      </w:r>
      <w:r w:rsidR="00C738F5">
        <w:t xml:space="preserve">the </w:t>
      </w:r>
      <w:r w:rsidRPr="00404FB8">
        <w:t>study</w:t>
      </w:r>
      <w:r>
        <w:t>.</w:t>
      </w:r>
      <w:r w:rsidRPr="00043F19">
        <w:rPr>
          <w:rStyle w:val="FootnoteReference"/>
          <w:sz w:val="22"/>
        </w:rPr>
        <w:footnoteReference w:id="273"/>
      </w:r>
      <w:r>
        <w:t xml:space="preserve"> A</w:t>
      </w:r>
      <w:r w:rsidRPr="00404FB8">
        <w:t xml:space="preserve">ll work </w:t>
      </w:r>
      <w:r>
        <w:t xml:space="preserve">is </w:t>
      </w:r>
      <w:r w:rsidRPr="00404FB8">
        <w:t>to be performed during 2009 and 2010</w:t>
      </w:r>
      <w:r w:rsidR="008D759A">
        <w:t xml:space="preserve">. </w:t>
      </w:r>
      <w:r w:rsidR="00C738F5">
        <w:t xml:space="preserve">In addition to studying operational effects on large-scale wind integration, </w:t>
      </w:r>
      <w:r w:rsidRPr="00C738F5">
        <w:t xml:space="preserve">NEWIS </w:t>
      </w:r>
      <w:r w:rsidR="00C738F5">
        <w:t xml:space="preserve">will </w:t>
      </w:r>
      <w:r w:rsidRPr="00C738F5">
        <w:t>recommend potential corrective actions</w:t>
      </w:r>
      <w:r>
        <w:t xml:space="preserve"> </w:t>
      </w:r>
      <w:r w:rsidRPr="00404FB8">
        <w:t>to mitigate adverse operating conditions created or exacerbated by the variability and un</w:t>
      </w:r>
      <w:r w:rsidR="0015207A">
        <w:t>certainty</w:t>
      </w:r>
      <w:r w:rsidRPr="00404FB8">
        <w:t xml:space="preserve"> of wind power</w:t>
      </w:r>
      <w:r>
        <w:t>.</w:t>
      </w:r>
    </w:p>
    <w:p w:rsidR="00ED05F0" w:rsidRPr="00404FB8" w:rsidRDefault="00ED05F0" w:rsidP="00D93A06">
      <w:pPr>
        <w:rPr>
          <w:color w:val="000000"/>
        </w:rPr>
      </w:pPr>
      <w:r>
        <w:t xml:space="preserve">NEWIS </w:t>
      </w:r>
      <w:r w:rsidRPr="00404FB8">
        <w:t xml:space="preserve">captures the unique characteristics of New England’s electrical </w:t>
      </w:r>
      <w:r>
        <w:t xml:space="preserve">power </w:t>
      </w:r>
      <w:r w:rsidRPr="00404FB8">
        <w:t>system and wind resource</w:t>
      </w:r>
      <w:r>
        <w:rPr>
          <w:rFonts w:cs="Times New Roman"/>
        </w:rPr>
        <w:t>—</w:t>
      </w:r>
      <w:r w:rsidRPr="00404FB8">
        <w:t>including</w:t>
      </w:r>
      <w:r>
        <w:t xml:space="preserve"> historical</w:t>
      </w:r>
      <w:r w:rsidRPr="00404FB8">
        <w:t xml:space="preserve"> load and ramping profiles, geography, topology, supply</w:t>
      </w:r>
      <w:r>
        <w:t>-</w:t>
      </w:r>
      <w:r w:rsidRPr="00404FB8">
        <w:t xml:space="preserve"> and demand-side resource characteristics, and wind profiles</w:t>
      </w:r>
      <w:r>
        <w:rPr>
          <w:rFonts w:cs="Times New Roman"/>
        </w:rPr>
        <w:t>—</w:t>
      </w:r>
      <w:r w:rsidRPr="00404FB8">
        <w:t xml:space="preserve">and the unique impacts </w:t>
      </w:r>
      <w:r>
        <w:t xml:space="preserve">that these </w:t>
      </w:r>
      <w:r w:rsidRPr="00121106">
        <w:t xml:space="preserve">characteristics </w:t>
      </w:r>
      <w:r w:rsidR="00821C68" w:rsidRPr="00121106">
        <w:t>can</w:t>
      </w:r>
      <w:r w:rsidR="00C738F5" w:rsidRPr="00121106">
        <w:t xml:space="preserve"> </w:t>
      </w:r>
      <w:r w:rsidRPr="00121106">
        <w:t>have</w:t>
      </w:r>
      <w:r>
        <w:t xml:space="preserve"> </w:t>
      </w:r>
      <w:r w:rsidRPr="00404FB8">
        <w:t>on system operations and planning with increasing wind power penetration</w:t>
      </w:r>
      <w:r>
        <w:t>.</w:t>
      </w:r>
      <w:r w:rsidRPr="00043F19">
        <w:rPr>
          <w:rStyle w:val="FootnoteReference"/>
          <w:sz w:val="22"/>
        </w:rPr>
        <w:footnoteReference w:id="274"/>
      </w:r>
      <w:r w:rsidR="0048311E">
        <w:t xml:space="preserve"> </w:t>
      </w:r>
      <w:r>
        <w:t xml:space="preserve">In addition to ISO support staff and the vendors, </w:t>
      </w:r>
      <w:r w:rsidRPr="00404FB8">
        <w:t>NEWIS includes a Technical Review Committee (TRC) composed of ISO</w:t>
      </w:r>
      <w:r>
        <w:t xml:space="preserve"> </w:t>
      </w:r>
      <w:r w:rsidRPr="00404FB8">
        <w:t>subject matter experts and external wind integration experts</w:t>
      </w:r>
      <w:r>
        <w:t>. The ISO provides</w:t>
      </w:r>
      <w:r w:rsidRPr="00404FB8">
        <w:t xml:space="preserve"> regular updates to </w:t>
      </w:r>
      <w:r>
        <w:t>s</w:t>
      </w:r>
      <w:r w:rsidRPr="00404FB8">
        <w:t>takeholders</w:t>
      </w:r>
      <w:r>
        <w:t>.</w:t>
      </w:r>
      <w:r w:rsidRPr="00043F19">
        <w:rPr>
          <w:rStyle w:val="FootnoteReference"/>
          <w:sz w:val="22"/>
        </w:rPr>
        <w:footnoteReference w:id="275"/>
      </w:r>
      <w:r w:rsidRPr="00043F19">
        <w:t xml:space="preserve"> </w:t>
      </w:r>
      <w:r w:rsidRPr="00404FB8">
        <w:t>The</w:t>
      </w:r>
      <w:r>
        <w:t xml:space="preserve"> TRC and stakeholder reviews </w:t>
      </w:r>
      <w:r w:rsidRPr="00404FB8">
        <w:t>help ensure that the study objectives, methodology, and results are scientific, objective, reasonable, and relevant.</w:t>
      </w:r>
    </w:p>
    <w:p w:rsidR="00ED05F0" w:rsidRPr="00404FB8" w:rsidRDefault="00ED05F0" w:rsidP="00D93A06">
      <w:r w:rsidRPr="00D93A06">
        <w:t xml:space="preserve">The results of the complete NEWIS ultimately </w:t>
      </w:r>
      <w:r w:rsidRPr="006352DE">
        <w:t>will form some of the basis for</w:t>
      </w:r>
      <w:r w:rsidRPr="00D93A06">
        <w:t xml:space="preserve"> the ISO’s policies and practices that may result in changes to the ISO tariff, operating procedures, and manuals. The ISO has presented </w:t>
      </w:r>
      <w:r w:rsidR="00E13CA2" w:rsidRPr="00D93A06">
        <w:t xml:space="preserve">to stakeholders </w:t>
      </w:r>
      <w:r w:rsidRPr="00D93A06">
        <w:t>the work completed to date and will continue to work with stakeholders to discuss the study’s findings. It will then complete a full stakeholder process within New England</w:t>
      </w:r>
      <w:r w:rsidR="00F87265">
        <w:t xml:space="preserve"> to address modifications to market and reliability rules required to facilitate the large</w:t>
      </w:r>
      <w:r w:rsidR="001425BB">
        <w:t>-</w:t>
      </w:r>
      <w:r w:rsidR="00F87265">
        <w:t>scale integration of wind resources</w:t>
      </w:r>
      <w:r w:rsidRPr="00D93A06">
        <w:t>. The NEWIS is scheduled for completion in fall 2010</w:t>
      </w:r>
      <w:r w:rsidRPr="00404FB8">
        <w:t>.</w:t>
      </w:r>
    </w:p>
    <w:p w:rsidR="00ED05F0" w:rsidRDefault="00B73B4D" w:rsidP="00D93A06">
      <w:r>
        <w:t xml:space="preserve">Using </w:t>
      </w:r>
      <w:r w:rsidR="00ED05F0" w:rsidRPr="00404FB8">
        <w:t xml:space="preserve">the outcomes of the analysis, </w:t>
      </w:r>
      <w:r w:rsidR="00ED05F0">
        <w:t xml:space="preserve">the </w:t>
      </w:r>
      <w:r w:rsidR="00ED05F0" w:rsidRPr="00404FB8">
        <w:t>ISO</w:t>
      </w:r>
      <w:r w:rsidR="00ED05F0">
        <w:t xml:space="preserve"> </w:t>
      </w:r>
      <w:r w:rsidR="00ED05F0" w:rsidRPr="00404FB8">
        <w:t>will embark on a project to implement the recommendations developed in the NEWIS. The majority of actions to be implemented in the near</w:t>
      </w:r>
      <w:r w:rsidR="00ED05F0">
        <w:t xml:space="preserve"> </w:t>
      </w:r>
      <w:r w:rsidR="00ED05F0" w:rsidRPr="00404FB8">
        <w:t xml:space="preserve">term will </w:t>
      </w:r>
      <w:r w:rsidR="00ED05F0">
        <w:t xml:space="preserve">be </w:t>
      </w:r>
      <w:r w:rsidR="00ED05F0" w:rsidRPr="00404FB8">
        <w:t xml:space="preserve">derived from </w:t>
      </w:r>
      <w:r w:rsidR="00ED05F0">
        <w:t xml:space="preserve">the </w:t>
      </w:r>
      <w:r w:rsidR="00ED05F0" w:rsidRPr="00404FB8">
        <w:t>NEWIS</w:t>
      </w:r>
      <w:r w:rsidR="00ED05F0">
        <w:t>-identified t</w:t>
      </w:r>
      <w:r w:rsidR="00ED05F0" w:rsidRPr="00404FB8">
        <w:t xml:space="preserve">echnical </w:t>
      </w:r>
      <w:r w:rsidR="00ED05F0">
        <w:t>r</w:t>
      </w:r>
      <w:r w:rsidR="00ED05F0" w:rsidRPr="00404FB8">
        <w:t xml:space="preserve">equirements for </w:t>
      </w:r>
      <w:r w:rsidR="00ED05F0">
        <w:t>i</w:t>
      </w:r>
      <w:r w:rsidR="00ED05F0" w:rsidRPr="00404FB8">
        <w:t>nterconnection.</w:t>
      </w:r>
      <w:r w:rsidR="0015207A" w:rsidRPr="00E13CA2">
        <w:rPr>
          <w:rStyle w:val="FootnoteReference"/>
          <w:sz w:val="22"/>
        </w:rPr>
        <w:footnoteReference w:id="276"/>
      </w:r>
      <w:r w:rsidR="00ED05F0" w:rsidRPr="00E13CA2">
        <w:t xml:space="preserve"> </w:t>
      </w:r>
      <w:r w:rsidR="00ED05F0" w:rsidRPr="00404FB8">
        <w:t>The balance of the integration efforts will be ranked by priority and completed in accordance with the ISO’s project implementation schedule</w:t>
      </w:r>
      <w:r w:rsidR="00E84B2C">
        <w:t xml:space="preserve">. </w:t>
      </w:r>
    </w:p>
    <w:p w:rsidR="00B462A6" w:rsidRPr="00DF433B" w:rsidRDefault="00ED05F0">
      <w:pPr>
        <w:pStyle w:val="Heading3"/>
      </w:pPr>
      <w:bookmarkStart w:id="758" w:name="_Toc271632311"/>
      <w:r w:rsidRPr="00DF433B">
        <w:t xml:space="preserve">Solar </w:t>
      </w:r>
      <w:r w:rsidR="00700057" w:rsidRPr="00DF433B">
        <w:t xml:space="preserve">Energy </w:t>
      </w:r>
      <w:r w:rsidRPr="00DF433B">
        <w:t>Technologies</w:t>
      </w:r>
      <w:r w:rsidR="00700057" w:rsidRPr="00DF433B">
        <w:t xml:space="preserve"> and Integration</w:t>
      </w:r>
      <w:bookmarkEnd w:id="758"/>
    </w:p>
    <w:p w:rsidR="007433DD" w:rsidRDefault="00916387" w:rsidP="00073277">
      <w:r w:rsidRPr="00DF433B">
        <w:t xml:space="preserve">The potential for using solar energy is based on the amount of solar radiation that reaches the earth’s surface, the variability of solar </w:t>
      </w:r>
      <w:r w:rsidR="007433DD" w:rsidRPr="00DF433B">
        <w:t xml:space="preserve">energy </w:t>
      </w:r>
      <w:r w:rsidRPr="00DF433B">
        <w:t>production during the day, the efficiency of solar energy technologies</w:t>
      </w:r>
      <w:r w:rsidR="00DF433B" w:rsidRPr="00DF433B">
        <w:t>, and other factors</w:t>
      </w:r>
      <w:r w:rsidRPr="00DF433B">
        <w:t>.</w:t>
      </w:r>
      <w:r w:rsidR="007433DD">
        <w:t xml:space="preserve"> </w:t>
      </w:r>
    </w:p>
    <w:p w:rsidR="0043749C" w:rsidRDefault="00ED05F0" w:rsidP="00073277">
      <w:r w:rsidRPr="007C4E26">
        <w:t>About half of the solar radiation that reaches the earth’s atmosphere reaches the earth’s surface.</w:t>
      </w:r>
      <w:r>
        <w:t xml:space="preserve"> </w:t>
      </w:r>
      <w:r w:rsidR="00832C7A">
        <w:fldChar w:fldCharType="begin"/>
      </w:r>
      <w:r w:rsidR="00E13CA2">
        <w:instrText xml:space="preserve"> REF _Ref264896147 \h </w:instrText>
      </w:r>
      <w:r w:rsidR="00832C7A">
        <w:fldChar w:fldCharType="separate"/>
      </w:r>
      <w:r w:rsidR="00E5699E">
        <w:t xml:space="preserve">Figure </w:t>
      </w:r>
      <w:r w:rsidR="00E5699E">
        <w:rPr>
          <w:noProof/>
        </w:rPr>
        <w:t>9</w:t>
      </w:r>
      <w:r w:rsidR="00E5699E">
        <w:noBreakHyphen/>
      </w:r>
      <w:r w:rsidR="00E5699E">
        <w:rPr>
          <w:noProof/>
        </w:rPr>
        <w:t>3</w:t>
      </w:r>
      <w:r w:rsidR="00832C7A">
        <w:fldChar w:fldCharType="end"/>
      </w:r>
      <w:r w:rsidR="009C5561">
        <w:t xml:space="preserve"> </w:t>
      </w:r>
      <w:r>
        <w:t xml:space="preserve">is a map of </w:t>
      </w:r>
      <w:r w:rsidRPr="006327B6">
        <w:t xml:space="preserve">solar potential in the United States showing that the solar insolation in the Northeastern region is 4 to </w:t>
      </w:r>
      <w:r w:rsidR="00BD5091" w:rsidRPr="006327B6">
        <w:t>5 kWh/m</w:t>
      </w:r>
      <w:r w:rsidR="00BD5091" w:rsidRPr="006327B6">
        <w:rPr>
          <w:vertAlign w:val="superscript"/>
        </w:rPr>
        <w:t>2</w:t>
      </w:r>
      <w:r w:rsidR="00BD5091" w:rsidRPr="006327B6">
        <w:t>/</w:t>
      </w:r>
      <w:r w:rsidR="00715A98" w:rsidRPr="006327B6">
        <w:t>day</w:t>
      </w:r>
      <w:r w:rsidR="00BD5091" w:rsidRPr="006327B6">
        <w:t>.</w:t>
      </w:r>
      <w:r w:rsidR="00BD5091" w:rsidRPr="00E13CA2">
        <w:rPr>
          <w:rStyle w:val="FootnoteReference"/>
          <w:sz w:val="22"/>
        </w:rPr>
        <w:footnoteReference w:id="277"/>
      </w:r>
    </w:p>
    <w:p w:rsidR="00B720BA" w:rsidRDefault="00B720BA" w:rsidP="00073277">
      <w:pPr>
        <w:sectPr w:rsidR="00B720BA" w:rsidSect="008C4446">
          <w:pgSz w:w="12240" w:h="15840" w:code="1"/>
          <w:pgMar w:top="1354" w:right="1440" w:bottom="1440" w:left="1440" w:header="720" w:footer="720" w:gutter="0"/>
          <w:cols w:space="720"/>
          <w:docGrid w:linePitch="360"/>
        </w:sectPr>
      </w:pPr>
    </w:p>
    <w:p w:rsidR="0043749C" w:rsidRDefault="0043749C" w:rsidP="00425E5B">
      <w:pPr>
        <w:spacing w:after="0" w:line="240" w:lineRule="auto"/>
        <w:jc w:val="center"/>
      </w:pPr>
      <w:r>
        <w:rPr>
          <w:noProof/>
        </w:rPr>
        <w:drawing>
          <wp:inline distT="0" distB="0" distL="0" distR="0">
            <wp:extent cx="6934200" cy="5353339"/>
            <wp:effectExtent l="19050" t="0" r="0" b="0"/>
            <wp:docPr id="13" name="Picture 1" descr="http://www.nrel.gov/gis/images/map_pv_national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el.gov/gis/images/map_pv_national_lo-res.jpg"/>
                    <pic:cNvPicPr>
                      <a:picLocks noChangeAspect="1" noChangeArrowheads="1"/>
                    </pic:cNvPicPr>
                  </pic:nvPicPr>
                  <pic:blipFill>
                    <a:blip r:embed="rId64" cstate="print"/>
                    <a:srcRect/>
                    <a:stretch>
                      <a:fillRect/>
                    </a:stretch>
                  </pic:blipFill>
                  <pic:spPr bwMode="auto">
                    <a:xfrm>
                      <a:off x="0" y="0"/>
                      <a:ext cx="6946241" cy="5362635"/>
                    </a:xfrm>
                    <a:prstGeom prst="rect">
                      <a:avLst/>
                    </a:prstGeom>
                    <a:noFill/>
                    <a:ln w="9525">
                      <a:noFill/>
                      <a:miter lim="800000"/>
                      <a:headEnd/>
                      <a:tailEnd/>
                    </a:ln>
                  </pic:spPr>
                </pic:pic>
              </a:graphicData>
            </a:graphic>
          </wp:inline>
        </w:drawing>
      </w:r>
    </w:p>
    <w:p w:rsidR="0043749C" w:rsidRDefault="0043749C" w:rsidP="00E26E30">
      <w:pPr>
        <w:pStyle w:val="Caption"/>
        <w:spacing w:before="120" w:after="80"/>
        <w:ind w:left="1080" w:right="1080"/>
        <w:jc w:val="left"/>
      </w:pPr>
      <w:bookmarkStart w:id="759" w:name="_Ref264896147"/>
      <w:bookmarkStart w:id="760" w:name="_Toc271552391"/>
      <w:r>
        <w:t xml:space="preserve">Figure </w:t>
      </w:r>
      <w:r w:rsidR="00832C7A">
        <w:fldChar w:fldCharType="begin"/>
      </w:r>
      <w:r w:rsidR="00807C8D">
        <w:instrText xml:space="preserve"> STYLEREF 1 \s </w:instrText>
      </w:r>
      <w:r w:rsidR="00832C7A">
        <w:fldChar w:fldCharType="separate"/>
      </w:r>
      <w:r w:rsidR="00E5699E">
        <w:rPr>
          <w:noProof/>
        </w:rPr>
        <w:t>9</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3</w:t>
      </w:r>
      <w:r w:rsidR="00832C7A">
        <w:fldChar w:fldCharType="end"/>
      </w:r>
      <w:bookmarkEnd w:id="759"/>
      <w:r>
        <w:t>:</w:t>
      </w:r>
      <w:r w:rsidRPr="00E86787">
        <w:t xml:space="preserve"> </w:t>
      </w:r>
      <w:r w:rsidR="005103E4">
        <w:t>Annual a</w:t>
      </w:r>
      <w:r w:rsidRPr="00E86787">
        <w:t xml:space="preserve">verage solar radiation </w:t>
      </w:r>
      <w:r w:rsidR="005103E4">
        <w:t>in the United States, 1998 to 2005</w:t>
      </w:r>
      <w:r>
        <w:t>.</w:t>
      </w:r>
      <w:bookmarkEnd w:id="760"/>
    </w:p>
    <w:p w:rsidR="008C4446" w:rsidRDefault="0043749C" w:rsidP="00E26E30">
      <w:pPr>
        <w:pStyle w:val="Caption"/>
        <w:spacing w:after="0"/>
        <w:ind w:left="1080" w:right="1080"/>
        <w:jc w:val="left"/>
        <w:sectPr w:rsidR="008C4446" w:rsidSect="00015282">
          <w:footerReference w:type="default" r:id="rId65"/>
          <w:pgSz w:w="15840" w:h="12240" w:orient="landscape"/>
          <w:pgMar w:top="1350" w:right="1440" w:bottom="1440" w:left="1440" w:header="720" w:footer="720" w:gutter="0"/>
          <w:cols w:space="720"/>
          <w:docGrid w:linePitch="360"/>
        </w:sectPr>
      </w:pPr>
      <w:r w:rsidRPr="003D1293">
        <w:rPr>
          <w:sz w:val="16"/>
          <w:szCs w:val="16"/>
        </w:rPr>
        <w:t>Source:</w:t>
      </w:r>
      <w:r w:rsidRPr="003D1293">
        <w:rPr>
          <w:b w:val="0"/>
          <w:sz w:val="16"/>
          <w:szCs w:val="16"/>
        </w:rPr>
        <w:t xml:space="preserve"> National Renewable Energy Laboratory </w:t>
      </w:r>
      <w:r w:rsidR="00056C3D">
        <w:rPr>
          <w:b w:val="0"/>
          <w:sz w:val="16"/>
          <w:szCs w:val="16"/>
        </w:rPr>
        <w:t>(NREL)</w:t>
      </w:r>
      <w:r w:rsidR="006117FB">
        <w:rPr>
          <w:b w:val="0"/>
          <w:sz w:val="16"/>
          <w:szCs w:val="16"/>
        </w:rPr>
        <w:t>, DOE</w:t>
      </w:r>
      <w:r w:rsidR="00056C3D">
        <w:rPr>
          <w:b w:val="0"/>
          <w:sz w:val="16"/>
          <w:szCs w:val="16"/>
        </w:rPr>
        <w:t xml:space="preserve"> </w:t>
      </w:r>
      <w:r w:rsidRPr="003D1293">
        <w:rPr>
          <w:b w:val="0"/>
          <w:sz w:val="16"/>
          <w:szCs w:val="16"/>
        </w:rPr>
        <w:t>(2008);</w:t>
      </w:r>
      <w:r w:rsidRPr="0026768C">
        <w:rPr>
          <w:b w:val="0"/>
          <w:color w:val="000000" w:themeColor="text1"/>
          <w:sz w:val="16"/>
          <w:szCs w:val="16"/>
        </w:rPr>
        <w:t xml:space="preserve"> </w:t>
      </w:r>
      <w:hyperlink r:id="rId66" w:history="1">
        <w:r w:rsidRPr="0026768C">
          <w:rPr>
            <w:rStyle w:val="Hyperlink"/>
            <w:rFonts w:cs="Arial"/>
            <w:b w:val="0"/>
            <w:color w:val="000000" w:themeColor="text1"/>
            <w:sz w:val="16"/>
            <w:szCs w:val="16"/>
            <w:u w:val="none"/>
          </w:rPr>
          <w:t>http://www.nrel.gov/gis/images/map_pv_national_lo-res.jpg</w:t>
        </w:r>
      </w:hyperlink>
      <w:r w:rsidR="00425E5B">
        <w:br/>
      </w:r>
    </w:p>
    <w:p w:rsidR="00ED05F0" w:rsidRDefault="00ED05F0" w:rsidP="00073277">
      <w:r>
        <w:t>Solar technologies include solar thermal and water heating, photovoltaic systems, and solar concentrator systems</w:t>
      </w:r>
      <w:r w:rsidR="008E627A">
        <w:t xml:space="preserve">, </w:t>
      </w:r>
      <w:r w:rsidR="008D759A">
        <w:t>p</w:t>
      </w:r>
      <w:r w:rsidRPr="00700B72">
        <w:t xml:space="preserve">hotovoltaic systems </w:t>
      </w:r>
      <w:r w:rsidR="008E627A" w:rsidRPr="00700B72">
        <w:t xml:space="preserve">being </w:t>
      </w:r>
      <w:r w:rsidRPr="00700B72">
        <w:t xml:space="preserve">the most widely used. About 80% of the market is served by crystalline silicon PV panels, </w:t>
      </w:r>
      <w:r w:rsidR="00821C68" w:rsidRPr="00700B72">
        <w:t>which can achieve 20% efficiency</w:t>
      </w:r>
      <w:r w:rsidRPr="00700B72">
        <w:t>, while thin films comprise the remaining 20% of the PV market</w:t>
      </w:r>
      <w:r w:rsidR="00821C68" w:rsidRPr="00700B72">
        <w:t xml:space="preserve">, which can achieve </w:t>
      </w:r>
      <w:r w:rsidR="006327B6">
        <w:t xml:space="preserve">up to </w:t>
      </w:r>
      <w:r w:rsidR="00D3485A" w:rsidRPr="00700B72">
        <w:t>11</w:t>
      </w:r>
      <w:r w:rsidR="00821C68" w:rsidRPr="00700B72">
        <w:t>% efficiency.</w:t>
      </w:r>
      <w:r w:rsidR="00805F4E" w:rsidRPr="00B35D92">
        <w:rPr>
          <w:rStyle w:val="FootnoteReference"/>
          <w:sz w:val="22"/>
        </w:rPr>
        <w:footnoteReference w:id="278"/>
      </w:r>
      <w:r w:rsidRPr="00B35D92">
        <w:t xml:space="preserve"> </w:t>
      </w:r>
      <w:r w:rsidRPr="00700B72">
        <w:t>PV</w:t>
      </w:r>
      <w:r>
        <w:t xml:space="preserve"> systems are modular and can be </w:t>
      </w:r>
      <w:r w:rsidRPr="00B54318">
        <w:t>sited, for example, on</w:t>
      </w:r>
      <w:r>
        <w:t xml:space="preserve"> roofs, </w:t>
      </w:r>
      <w:r w:rsidRPr="00B54318">
        <w:t xml:space="preserve">parking garages, the ground, </w:t>
      </w:r>
      <w:r>
        <w:t xml:space="preserve">and </w:t>
      </w:r>
      <w:r w:rsidRPr="00B54318">
        <w:t>individual pieces of equipment, such as roadside lighting and signage. They can be used as distributed generation, avoiding electricity delivery costs through the transmission</w:t>
      </w:r>
      <w:r>
        <w:t xml:space="preserve"> and distribution systems. They also are relatively simple to install, compared with other forms of generation, and have no carbon emissions.</w:t>
      </w:r>
    </w:p>
    <w:p w:rsidR="00022504" w:rsidRDefault="00ED05F0" w:rsidP="00061340">
      <w:pPr>
        <w:spacing w:after="120"/>
      </w:pPr>
      <w:r>
        <w:t xml:space="preserve">Solar resource production is </w:t>
      </w:r>
      <w:r w:rsidRPr="00B54318">
        <w:t>variable during</w:t>
      </w:r>
      <w:r>
        <w:t xml:space="preserve"> the day and unavailable at </w:t>
      </w:r>
      <w:r w:rsidRPr="00D1252E">
        <w:t xml:space="preserve">night. </w:t>
      </w:r>
      <w:r>
        <w:t xml:space="preserve">It </w:t>
      </w:r>
      <w:r w:rsidRPr="00D1252E">
        <w:t>peaks at noon</w:t>
      </w:r>
      <w:r>
        <w:t xml:space="preserve"> (or 1:00 p.m. during daylight savings time) and </w:t>
      </w:r>
      <w:r w:rsidRPr="00D1252E">
        <w:t>overlap</w:t>
      </w:r>
      <w:r>
        <w:t>s somewhat</w:t>
      </w:r>
      <w:r w:rsidRPr="00D1252E">
        <w:t xml:space="preserve"> with the summer peak electric</w:t>
      </w:r>
      <w:r>
        <w:t>ity</w:t>
      </w:r>
      <w:r w:rsidRPr="00D1252E">
        <w:t xml:space="preserve"> load hours of 2</w:t>
      </w:r>
      <w:r>
        <w:t>:00 p.m.</w:t>
      </w:r>
      <w:r w:rsidRPr="00D1252E">
        <w:t xml:space="preserve"> to 4</w:t>
      </w:r>
      <w:r>
        <w:t>:00 p.</w:t>
      </w:r>
      <w:r w:rsidRPr="001F3B56">
        <w:t xml:space="preserve">m. </w:t>
      </w:r>
      <w:fldSimple w:instr=" REF _Ref262125553 \h  \* MERGEFORMAT ">
        <w:r w:rsidR="00E5699E" w:rsidRPr="001F3B56">
          <w:t xml:space="preserve">Figure </w:t>
        </w:r>
        <w:r w:rsidR="00E5699E">
          <w:rPr>
            <w:noProof/>
          </w:rPr>
          <w:t>9</w:t>
        </w:r>
        <w:r w:rsidR="00E5699E" w:rsidRPr="001F3B56">
          <w:rPr>
            <w:noProof/>
          </w:rPr>
          <w:noBreakHyphen/>
        </w:r>
        <w:r w:rsidR="00E5699E">
          <w:rPr>
            <w:noProof/>
          </w:rPr>
          <w:t>4</w:t>
        </w:r>
      </w:fldSimple>
      <w:r w:rsidR="003D5E5F" w:rsidRPr="001F3B56">
        <w:t xml:space="preserve"> </w:t>
      </w:r>
      <w:r w:rsidRPr="001F3B56">
        <w:t>shows</w:t>
      </w:r>
      <w:r>
        <w:t xml:space="preserve"> </w:t>
      </w:r>
      <w:r w:rsidR="005250B6">
        <w:t xml:space="preserve">representative </w:t>
      </w:r>
      <w:r>
        <w:t>monthly estimated outputs of a PV system for New England</w:t>
      </w:r>
      <w:r w:rsidR="00B73B4D">
        <w:t>,</w:t>
      </w:r>
      <w:r>
        <w:t xml:space="preserve"> based on a composite of solar data from Hartford and Boston</w:t>
      </w:r>
      <w:r w:rsidR="00E04D11">
        <w:t xml:space="preserve"> </w:t>
      </w:r>
      <w:r w:rsidR="00B73B4D">
        <w:t xml:space="preserve">and </w:t>
      </w:r>
      <w:r w:rsidR="00E04D11">
        <w:t>assuming a mix of various solar techno</w:t>
      </w:r>
      <w:r w:rsidR="00310F14">
        <w:t>l</w:t>
      </w:r>
      <w:r w:rsidR="00E04D11">
        <w:t>ogies</w:t>
      </w:r>
      <w:r>
        <w:t>.</w:t>
      </w:r>
      <w:r w:rsidRPr="00B35D92">
        <w:rPr>
          <w:rStyle w:val="FootnoteReference"/>
          <w:sz w:val="22"/>
        </w:rPr>
        <w:footnoteReference w:id="279"/>
      </w:r>
      <w:r w:rsidRPr="00B35D92">
        <w:t xml:space="preserve"> </w:t>
      </w:r>
      <w:r>
        <w:t xml:space="preserve">The </w:t>
      </w:r>
      <w:r w:rsidR="00E04D11">
        <w:t xml:space="preserve">profile is suitable for ISO economic studies and has an </w:t>
      </w:r>
      <w:r>
        <w:t xml:space="preserve">estimated annual capacity factor </w:t>
      </w:r>
      <w:r w:rsidR="00E04D11">
        <w:t xml:space="preserve">of </w:t>
      </w:r>
      <w:r w:rsidRPr="005E2978">
        <w:t>a</w:t>
      </w:r>
      <w:r w:rsidR="00FA113D">
        <w:t>bout</w:t>
      </w:r>
      <w:r>
        <w:t xml:space="preserve"> 15%. </w:t>
      </w:r>
    </w:p>
    <w:p w:rsidR="00A93898" w:rsidRDefault="00A93898" w:rsidP="00A93898">
      <w:pPr>
        <w:spacing w:after="0" w:line="240" w:lineRule="auto"/>
        <w:jc w:val="center"/>
      </w:pPr>
      <w:r w:rsidRPr="00A93898">
        <w:rPr>
          <w:noProof/>
        </w:rPr>
        <w:drawing>
          <wp:inline distT="0" distB="0" distL="0" distR="0">
            <wp:extent cx="5262245" cy="2719812"/>
            <wp:effectExtent l="19050" t="19050" r="14605" b="23388"/>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262147" cy="2719761"/>
                    </a:xfrm>
                    <a:prstGeom prst="rect">
                      <a:avLst/>
                    </a:prstGeom>
                    <a:noFill/>
                    <a:ln w="3175">
                      <a:solidFill>
                        <a:schemeClr val="tx1"/>
                      </a:solidFill>
                      <a:miter lim="800000"/>
                      <a:headEnd/>
                      <a:tailEnd/>
                    </a:ln>
                  </pic:spPr>
                </pic:pic>
              </a:graphicData>
            </a:graphic>
          </wp:inline>
        </w:drawing>
      </w:r>
    </w:p>
    <w:p w:rsidR="00022504" w:rsidRDefault="00BC552A" w:rsidP="00795FE0">
      <w:pPr>
        <w:pStyle w:val="Caption-Figure"/>
        <w:spacing w:before="60" w:after="40"/>
        <w:ind w:left="540" w:right="540"/>
      </w:pPr>
      <w:bookmarkStart w:id="761" w:name="_Ref262125553"/>
      <w:bookmarkStart w:id="762" w:name="_Toc271552392"/>
      <w:r w:rsidRPr="001F3B56">
        <w:t xml:space="preserve">Figure </w:t>
      </w:r>
      <w:fldSimple w:instr=" STYLEREF 1 \s ">
        <w:r w:rsidR="00E5699E">
          <w:rPr>
            <w:noProof/>
          </w:rPr>
          <w:t>9</w:t>
        </w:r>
      </w:fldSimple>
      <w:r w:rsidRPr="001F3B56">
        <w:noBreakHyphen/>
      </w:r>
      <w:fldSimple w:instr=" SEQ Figure \* ARABIC \s 1 ">
        <w:r w:rsidR="00E5699E">
          <w:rPr>
            <w:noProof/>
          </w:rPr>
          <w:t>4</w:t>
        </w:r>
      </w:fldSimple>
      <w:bookmarkEnd w:id="761"/>
      <w:r w:rsidRPr="001F3B56">
        <w:t>: Estimated monthly output of a PV system based on a composite of solar data for Boston and Hartford.</w:t>
      </w:r>
      <w:bookmarkEnd w:id="762"/>
    </w:p>
    <w:p w:rsidR="00441298" w:rsidRDefault="00ED05F0" w:rsidP="00795FE0">
      <w:pPr>
        <w:pStyle w:val="Caption"/>
        <w:spacing w:after="240"/>
        <w:ind w:left="540" w:right="540"/>
        <w:jc w:val="left"/>
        <w:rPr>
          <w:b w:val="0"/>
          <w:sz w:val="16"/>
          <w:szCs w:val="16"/>
        </w:rPr>
      </w:pPr>
      <w:r w:rsidRPr="003D1293">
        <w:rPr>
          <w:sz w:val="16"/>
          <w:szCs w:val="16"/>
        </w:rPr>
        <w:t xml:space="preserve">Source: </w:t>
      </w:r>
      <w:r w:rsidRPr="008E627A">
        <w:rPr>
          <w:b w:val="0"/>
          <w:i/>
          <w:sz w:val="16"/>
          <w:szCs w:val="16"/>
        </w:rPr>
        <w:t>New England Electricity Scenario Analysis Report</w:t>
      </w:r>
      <w:r w:rsidRPr="003D1293">
        <w:rPr>
          <w:b w:val="0"/>
          <w:sz w:val="16"/>
          <w:szCs w:val="16"/>
        </w:rPr>
        <w:t xml:space="preserve"> (August 2, 2007); http://www.iso-ne.com/committees/comm_wkgrps/othr/sas/mtrls/elec_report/scenario_analysis_final.pdf.</w:t>
      </w:r>
    </w:p>
    <w:p w:rsidR="00ED05F0" w:rsidRDefault="00ED05F0" w:rsidP="00073277">
      <w:r>
        <w:t>NERC</w:t>
      </w:r>
      <w:r w:rsidR="002E215B">
        <w:t>’s</w:t>
      </w:r>
      <w:r>
        <w:t xml:space="preserve"> report </w:t>
      </w:r>
      <w:r w:rsidR="002E215B">
        <w:t>on integrating variable</w:t>
      </w:r>
      <w:r w:rsidR="00120C7E">
        <w:t>-output</w:t>
      </w:r>
      <w:r w:rsidR="002E215B">
        <w:t xml:space="preserve"> resources (see Section </w:t>
      </w:r>
      <w:r w:rsidR="00832C7A">
        <w:fldChar w:fldCharType="begin"/>
      </w:r>
      <w:r w:rsidR="002E215B">
        <w:instrText xml:space="preserve"> REF _Ref270425955 \r \h </w:instrText>
      </w:r>
      <w:r w:rsidR="00832C7A">
        <w:fldChar w:fldCharType="separate"/>
      </w:r>
      <w:r w:rsidR="00E5699E">
        <w:t>9.3.1</w:t>
      </w:r>
      <w:r w:rsidR="00832C7A">
        <w:fldChar w:fldCharType="end"/>
      </w:r>
      <w:r w:rsidR="002E215B">
        <w:t xml:space="preserve">) </w:t>
      </w:r>
      <w:r>
        <w:t xml:space="preserve">notes that on partially cloudy days, </w:t>
      </w:r>
      <w:r w:rsidRPr="00871051">
        <w:t>operating PV systems ha</w:t>
      </w:r>
      <w:r w:rsidR="00494F63">
        <w:t>s</w:t>
      </w:r>
      <w:r w:rsidRPr="00871051">
        <w:t xml:space="preserve"> demonstrated the potential for </w:t>
      </w:r>
      <w:r w:rsidRPr="006F43A3">
        <w:t>substantial ramps in</w:t>
      </w:r>
      <w:r w:rsidRPr="00871051">
        <w:t xml:space="preserve"> </w:t>
      </w:r>
      <w:r w:rsidR="00987991" w:rsidRPr="00987991">
        <w:t>output of +/- 50% in a 30- to 90-second timeframe and +/- 70% in a five- to 10-minute timeframe. This suggests more variability with these systems than for wind turbines, which have less variation due to the inertia of their rotating mass.</w:t>
      </w:r>
      <w:r w:rsidR="00B17B0C" w:rsidRPr="00C4013E">
        <w:rPr>
          <w:rStyle w:val="FootnoteReference"/>
          <w:sz w:val="22"/>
        </w:rPr>
        <w:footnoteReference w:id="280"/>
      </w:r>
      <w:r>
        <w:t xml:space="preserve"> </w:t>
      </w:r>
    </w:p>
    <w:p w:rsidR="00441298" w:rsidRDefault="00ED05F0" w:rsidP="00235A65">
      <w:pPr>
        <w:pStyle w:val="Heading4"/>
      </w:pPr>
      <w:r>
        <w:t xml:space="preserve">Photovoltaic Development </w:t>
      </w:r>
    </w:p>
    <w:p w:rsidR="00ED05F0" w:rsidRDefault="00ED05F0" w:rsidP="00073277">
      <w:r w:rsidRPr="007C4E26">
        <w:t>In</w:t>
      </w:r>
      <w:r>
        <w:t xml:space="preserve"> 2008, solar installations in the United States grew from 335 MW to almost 800 MW. California had the largest amount of PV installations in the country, with over 500 MW by the end of 2008. In New England in 2008, Connecticut and Massachusetts installed the eighth- and tenth-most PV capacity in the country</w:t>
      </w:r>
      <w:r w:rsidRPr="00FB06FE">
        <w:t>, 9</w:t>
      </w:r>
      <w:r w:rsidR="00777A60">
        <w:t> </w:t>
      </w:r>
      <w:r w:rsidRPr="00FB06FE">
        <w:t xml:space="preserve">and 8 MW, respectively. The total cumulative capacity in the six New England states that year was </w:t>
      </w:r>
      <w:r w:rsidR="0099171C" w:rsidRPr="00FB06FE">
        <w:t>18</w:t>
      </w:r>
      <w:r w:rsidR="0099171C">
        <w:t> </w:t>
      </w:r>
      <w:r w:rsidRPr="00FB06FE">
        <w:t>MW.</w:t>
      </w:r>
      <w:r w:rsidRPr="00C4013E">
        <w:rPr>
          <w:rStyle w:val="FootnoteReference"/>
          <w:sz w:val="22"/>
        </w:rPr>
        <w:footnoteReference w:id="281"/>
      </w:r>
    </w:p>
    <w:p w:rsidR="00ED05F0" w:rsidRDefault="00ED05F0" w:rsidP="00073277">
      <w:r>
        <w:t>According to the Electric Power Research Institute (EPRI), o</w:t>
      </w:r>
      <w:r w:rsidRPr="00654F74">
        <w:t>ver 185,000 buildings in the U</w:t>
      </w:r>
      <w:r w:rsidR="00FE47DF">
        <w:t xml:space="preserve">nited </w:t>
      </w:r>
      <w:r w:rsidRPr="00654F74">
        <w:t>S</w:t>
      </w:r>
      <w:r w:rsidR="00FE47DF">
        <w:t xml:space="preserve">tates </w:t>
      </w:r>
      <w:r w:rsidRPr="00654F74">
        <w:t>have PV systems installed.</w:t>
      </w:r>
      <w:r w:rsidRPr="00C4013E">
        <w:rPr>
          <w:rStyle w:val="FootnoteReference"/>
          <w:sz w:val="22"/>
        </w:rPr>
        <w:footnoteReference w:id="282"/>
      </w:r>
      <w:r w:rsidRPr="00C4013E">
        <w:t xml:space="preserve"> </w:t>
      </w:r>
      <w:r w:rsidRPr="00654F74">
        <w:t xml:space="preserve">In Massachusetts, the </w:t>
      </w:r>
      <w:r w:rsidRPr="00654F74">
        <w:rPr>
          <w:i/>
        </w:rPr>
        <w:t>Green Communities Act</w:t>
      </w:r>
      <w:r w:rsidRPr="00654F74">
        <w:t xml:space="preserve"> allows electric utilities to own up to </w:t>
      </w:r>
      <w:r w:rsidR="007E54CD" w:rsidRPr="00654F74">
        <w:t>50</w:t>
      </w:r>
      <w:r w:rsidR="007E54CD">
        <w:t> </w:t>
      </w:r>
      <w:r w:rsidRPr="00654F74">
        <w:t>MW of solar installations.</w:t>
      </w:r>
      <w:r w:rsidRPr="00C4013E">
        <w:rPr>
          <w:rStyle w:val="FootnoteReference"/>
          <w:sz w:val="22"/>
        </w:rPr>
        <w:footnoteReference w:id="283"/>
      </w:r>
      <w:r w:rsidRPr="00C4013E">
        <w:t xml:space="preserve"> </w:t>
      </w:r>
      <w:r w:rsidRPr="00654F74">
        <w:t>NGRID, WMECO</w:t>
      </w:r>
      <w:r w:rsidR="0099171C">
        <w:t>,</w:t>
      </w:r>
      <w:r w:rsidRPr="00654F74">
        <w:t xml:space="preserve"> and NSTAR combined have solar </w:t>
      </w:r>
      <w:r w:rsidRPr="005B228A">
        <w:t xml:space="preserve">installations in </w:t>
      </w:r>
      <w:r w:rsidR="00C814EB" w:rsidRPr="005B228A">
        <w:t>their interconnection queues</w:t>
      </w:r>
      <w:r w:rsidRPr="005B228A">
        <w:t xml:space="preserve"> approaching a total of 100 MW.</w:t>
      </w:r>
    </w:p>
    <w:p w:rsidR="00F158B9" w:rsidRDefault="00ED05F0" w:rsidP="00235A65">
      <w:pPr>
        <w:pStyle w:val="Heading4"/>
      </w:pPr>
      <w:r w:rsidRPr="0068031A">
        <w:t>Costs of PV Systems</w:t>
      </w:r>
    </w:p>
    <w:p w:rsidR="00ED05F0" w:rsidRDefault="00ED05F0" w:rsidP="00073277">
      <w:r>
        <w:t xml:space="preserve">The Massachusetts DOER estimates </w:t>
      </w:r>
      <w:r w:rsidR="00D4331C" w:rsidRPr="00D4331C">
        <w:t>that historical installed costs of PV systems range from $6,000 to $8,000/kW in Ne</w:t>
      </w:r>
      <w:r>
        <w:t>w England.</w:t>
      </w:r>
      <w:r w:rsidRPr="00C4013E">
        <w:rPr>
          <w:rStyle w:val="FootnoteReference"/>
          <w:sz w:val="22"/>
        </w:rPr>
        <w:footnoteReference w:id="284"/>
      </w:r>
      <w:r w:rsidRPr="00C4013E">
        <w:t xml:space="preserve"> </w:t>
      </w:r>
      <w:r>
        <w:t>These costs are expected to decrease as the technology matures, but they are consistent with national estimates. The cost of electricity from PV can be influenced by a number of factors, such as the size of the installation and location. The costs can range from $0.20/kWh to $0.80/kWh, although selected samples in major American cities show a smaller range of costs, from $0.28/kWh to $0.46/kWh, before federal investment tax credits are applied, and between $0.20/kWh and $0.32/kWh afterward.</w:t>
      </w:r>
      <w:r w:rsidRPr="00C4013E">
        <w:rPr>
          <w:rStyle w:val="FootnoteReference"/>
          <w:sz w:val="22"/>
        </w:rPr>
        <w:footnoteReference w:id="285"/>
      </w:r>
      <w:r>
        <w:t xml:space="preserve"> </w:t>
      </w:r>
    </w:p>
    <w:p w:rsidR="00F158B9" w:rsidRDefault="00ED05F0" w:rsidP="00235A65">
      <w:pPr>
        <w:pStyle w:val="Heading4"/>
      </w:pPr>
      <w:r w:rsidRPr="0068031A">
        <w:t>Incentives</w:t>
      </w:r>
      <w:r w:rsidR="00FA64A4">
        <w:t xml:space="preserve"> </w:t>
      </w:r>
      <w:r w:rsidR="00700057">
        <w:t>for Solar Installations</w:t>
      </w:r>
    </w:p>
    <w:p w:rsidR="00ED05F0" w:rsidRDefault="00ED05F0" w:rsidP="00073277">
      <w:r>
        <w:t xml:space="preserve">All the New England states have incentives for solar installations. These incentives typically are in the form of rebates or grants covering part of the cost of PV installations. In addition, federal incentives of investment tax credits are in effect until 2016. Two </w:t>
      </w:r>
      <w:r w:rsidR="00E33BFD">
        <w:t xml:space="preserve">types of revenue </w:t>
      </w:r>
      <w:r>
        <w:t>programs for encouraging solar and renewable resources in general are long-term purchase contracts (10 to 20 years) and feed-in</w:t>
      </w:r>
      <w:r w:rsidR="00244101">
        <w:t xml:space="preserve"> </w:t>
      </w:r>
      <w:r>
        <w:t>tariffs (FIT</w:t>
      </w:r>
      <w:r w:rsidR="00244101">
        <w:t>s</w:t>
      </w:r>
      <w:r>
        <w:t>)</w:t>
      </w:r>
      <w:r w:rsidR="00597C24">
        <w:t xml:space="preserve">, which </w:t>
      </w:r>
      <w:r>
        <w:t>pay a stated price for the electricity produced.</w:t>
      </w:r>
    </w:p>
    <w:p w:rsidR="00F158B9" w:rsidRDefault="00ED05F0" w:rsidP="00235A65">
      <w:pPr>
        <w:pStyle w:val="Heading4"/>
      </w:pPr>
      <w:r w:rsidRPr="00AB5DAD">
        <w:t xml:space="preserve">State Goals </w:t>
      </w:r>
      <w:r>
        <w:t xml:space="preserve">and Solar </w:t>
      </w:r>
      <w:r w:rsidRPr="00AB5DAD">
        <w:t>Programs</w:t>
      </w:r>
    </w:p>
    <w:p w:rsidR="00022504" w:rsidRDefault="00ED05F0">
      <w:pPr>
        <w:spacing w:after="120"/>
      </w:pPr>
      <w:r>
        <w:t>The New England states have a number of aspects to their renewable and solar programs. These include goals, RPS requirements</w:t>
      </w:r>
      <w:r w:rsidR="003174D8" w:rsidRPr="003174D8">
        <w:t xml:space="preserve">, requests for </w:t>
      </w:r>
      <w:r w:rsidR="003174D8" w:rsidRPr="00B3785D">
        <w:t>proposals and</w:t>
      </w:r>
      <w:r w:rsidR="003174D8" w:rsidRPr="003174D8">
        <w:t xml:space="preserve"> FITs</w:t>
      </w:r>
      <w:r w:rsidRPr="00C06118">
        <w:t>. RFPs</w:t>
      </w:r>
      <w:r w:rsidRPr="00DA2C97">
        <w:t xml:space="preserve"> and</w:t>
      </w:r>
      <w:r>
        <w:t xml:space="preserve"> FITs generally apply to a variety of renewable projects. These aspects are summarized in </w:t>
      </w:r>
      <w:r w:rsidR="00832C7A">
        <w:fldChar w:fldCharType="begin"/>
      </w:r>
      <w:r w:rsidR="003D5E5F">
        <w:instrText xml:space="preserve"> REF _Ref262125644 \h </w:instrText>
      </w:r>
      <w:r w:rsidR="00832C7A">
        <w:fldChar w:fldCharType="separate"/>
      </w:r>
      <w:r w:rsidR="00E5699E">
        <w:t xml:space="preserve">Table </w:t>
      </w:r>
      <w:r w:rsidR="00E5699E">
        <w:rPr>
          <w:noProof/>
        </w:rPr>
        <w:t>9</w:t>
      </w:r>
      <w:r w:rsidR="00E5699E">
        <w:noBreakHyphen/>
      </w:r>
      <w:r w:rsidR="00E5699E">
        <w:rPr>
          <w:noProof/>
        </w:rPr>
        <w:t>1</w:t>
      </w:r>
      <w:r w:rsidR="00832C7A">
        <w:fldChar w:fldCharType="end"/>
      </w:r>
      <w:r>
        <w:t xml:space="preserve">. </w:t>
      </w:r>
      <w:r w:rsidRPr="00654F74">
        <w:t xml:space="preserve">PV goals and programs from New York and Ontario are also included for comparison. Refer to Section </w:t>
      </w:r>
      <w:r w:rsidR="00832C7A">
        <w:fldChar w:fldCharType="begin"/>
      </w:r>
      <w:r w:rsidR="00AE781D">
        <w:instrText xml:space="preserve"> REF _Ref266558378 \r \h </w:instrText>
      </w:r>
      <w:r w:rsidR="00832C7A">
        <w:fldChar w:fldCharType="separate"/>
      </w:r>
      <w:r w:rsidR="00E5699E">
        <w:t>8.5</w:t>
      </w:r>
      <w:r w:rsidR="00832C7A">
        <w:fldChar w:fldCharType="end"/>
      </w:r>
      <w:r w:rsidRPr="00654F74">
        <w:t xml:space="preserve"> for </w:t>
      </w:r>
      <w:r w:rsidR="00BD3762">
        <w:t xml:space="preserve">more information on </w:t>
      </w:r>
      <w:r w:rsidRPr="00654F74">
        <w:t xml:space="preserve">state </w:t>
      </w:r>
      <w:r w:rsidR="00BD3762">
        <w:t xml:space="preserve">solar energy </w:t>
      </w:r>
      <w:r w:rsidRPr="00654F74">
        <w:t>goals and RPS classes</w:t>
      </w:r>
      <w:r w:rsidR="00D4331C" w:rsidRPr="00D4331C">
        <w:t xml:space="preserve">. </w:t>
      </w:r>
    </w:p>
    <w:p w:rsidR="00022504" w:rsidRDefault="003D5E5F" w:rsidP="001204DD">
      <w:pPr>
        <w:pStyle w:val="Caption"/>
      </w:pPr>
      <w:bookmarkStart w:id="763" w:name="_Ref262125644"/>
      <w:bookmarkStart w:id="764" w:name="_Toc271552441"/>
      <w:r>
        <w:t xml:space="preserve">Table </w:t>
      </w:r>
      <w:r w:rsidR="00832C7A">
        <w:fldChar w:fldCharType="begin"/>
      </w:r>
      <w:r w:rsidR="00B2406F">
        <w:instrText xml:space="preserve"> STYLEREF 1 \s </w:instrText>
      </w:r>
      <w:r w:rsidR="00832C7A">
        <w:fldChar w:fldCharType="separate"/>
      </w:r>
      <w:r w:rsidR="00E5699E">
        <w:rPr>
          <w:noProof/>
        </w:rPr>
        <w:t>9</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763"/>
      <w:r w:rsidR="00ED05F0">
        <w:br/>
      </w:r>
      <w:r w:rsidR="00ED05F0" w:rsidRPr="002E114A">
        <w:t>Solar Policies</w:t>
      </w:r>
      <w:r w:rsidR="00ED05F0">
        <w:t xml:space="preserve"> in New England and Neighboring </w:t>
      </w:r>
      <w:r w:rsidR="00D4331C" w:rsidRPr="00D4331C">
        <w:t>Areas</w:t>
      </w:r>
      <w:r w:rsidR="00D4331C" w:rsidRPr="00D4331C">
        <w:rPr>
          <w:vertAlign w:val="superscript"/>
        </w:rPr>
        <w:t>(a)</w:t>
      </w:r>
      <w:bookmarkEnd w:id="764"/>
    </w:p>
    <w:tbl>
      <w:tblPr>
        <w:tblStyle w:val="LightShading-Accent11"/>
        <w:tblW w:w="1018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115" w:type="dxa"/>
          <w:right w:w="115" w:type="dxa"/>
        </w:tblCellMar>
        <w:tblLook w:val="04A0"/>
      </w:tblPr>
      <w:tblGrid>
        <w:gridCol w:w="1024"/>
        <w:gridCol w:w="1334"/>
        <w:gridCol w:w="2160"/>
        <w:gridCol w:w="2160"/>
        <w:gridCol w:w="1802"/>
        <w:gridCol w:w="1708"/>
      </w:tblGrid>
      <w:tr w:rsidR="000F2F2F" w:rsidRPr="007433DD" w:rsidTr="00191F0F">
        <w:trPr>
          <w:cnfStyle w:val="100000000000"/>
          <w:cantSplit/>
          <w:jc w:val="center"/>
        </w:trPr>
        <w:tc>
          <w:tcPr>
            <w:cnfStyle w:val="001000000000"/>
            <w:tcW w:w="1024"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274910" w:rsidRPr="00DA2A60" w:rsidRDefault="00CE620A" w:rsidP="00191F0F">
            <w:pPr>
              <w:keepNext/>
              <w:keepLines/>
              <w:spacing w:after="0" w:line="240" w:lineRule="auto"/>
              <w:jc w:val="center"/>
              <w:rPr>
                <w:rFonts w:ascii="Arial" w:hAnsi="Arial" w:cs="Arial"/>
                <w:bCs w:val="0"/>
                <w:color w:val="000000" w:themeColor="text1"/>
                <w:sz w:val="16"/>
                <w:szCs w:val="16"/>
              </w:rPr>
            </w:pPr>
            <w:r w:rsidRPr="00DA2A60">
              <w:rPr>
                <w:rFonts w:ascii="Arial" w:hAnsi="Arial" w:cs="Arial"/>
                <w:bCs w:val="0"/>
                <w:color w:val="000000" w:themeColor="text1"/>
                <w:sz w:val="16"/>
                <w:szCs w:val="16"/>
              </w:rPr>
              <w:t>State</w:t>
            </w:r>
          </w:p>
        </w:tc>
        <w:tc>
          <w:tcPr>
            <w:tcW w:w="1334"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274910" w:rsidRPr="00DA2A60" w:rsidRDefault="00CE620A" w:rsidP="00191F0F">
            <w:pPr>
              <w:keepNext/>
              <w:keepLines/>
              <w:spacing w:after="0" w:line="240" w:lineRule="auto"/>
              <w:jc w:val="center"/>
              <w:cnfStyle w:val="100000000000"/>
              <w:rPr>
                <w:rFonts w:ascii="Arial" w:hAnsi="Arial" w:cs="Arial"/>
                <w:bCs w:val="0"/>
                <w:color w:val="000000" w:themeColor="text1"/>
                <w:sz w:val="16"/>
                <w:szCs w:val="16"/>
              </w:rPr>
            </w:pPr>
            <w:r w:rsidRPr="00DA2A60">
              <w:rPr>
                <w:rFonts w:ascii="Arial" w:hAnsi="Arial" w:cs="Arial"/>
                <w:bCs w:val="0"/>
                <w:color w:val="000000" w:themeColor="text1"/>
                <w:sz w:val="16"/>
                <w:szCs w:val="16"/>
              </w:rPr>
              <w:t>Goal</w:t>
            </w:r>
          </w:p>
        </w:tc>
        <w:tc>
          <w:tcPr>
            <w:tcW w:w="2160"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274910" w:rsidRPr="00DA2A60" w:rsidRDefault="00CE620A" w:rsidP="00191F0F">
            <w:pPr>
              <w:keepNext/>
              <w:keepLines/>
              <w:spacing w:after="0" w:line="240" w:lineRule="auto"/>
              <w:jc w:val="center"/>
              <w:cnfStyle w:val="100000000000"/>
              <w:rPr>
                <w:rFonts w:ascii="Arial" w:hAnsi="Arial" w:cs="Arial"/>
                <w:bCs w:val="0"/>
                <w:color w:val="000000" w:themeColor="text1"/>
                <w:sz w:val="16"/>
                <w:szCs w:val="16"/>
              </w:rPr>
            </w:pPr>
            <w:r w:rsidRPr="00DA2A60">
              <w:rPr>
                <w:rFonts w:ascii="Arial" w:hAnsi="Arial" w:cs="Arial"/>
                <w:bCs w:val="0"/>
                <w:color w:val="000000" w:themeColor="text1"/>
                <w:sz w:val="16"/>
                <w:szCs w:val="16"/>
              </w:rPr>
              <w:t>Renewable Portfolio Standard</w:t>
            </w:r>
          </w:p>
        </w:tc>
        <w:tc>
          <w:tcPr>
            <w:tcW w:w="2160"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2878A4" w:rsidRPr="00DA2A60" w:rsidRDefault="00CE620A" w:rsidP="00191F0F">
            <w:pPr>
              <w:keepNext/>
              <w:keepLines/>
              <w:spacing w:after="0" w:line="240" w:lineRule="auto"/>
              <w:jc w:val="center"/>
              <w:cnfStyle w:val="100000000000"/>
              <w:rPr>
                <w:rFonts w:ascii="Arial" w:eastAsia="Times New Roman" w:hAnsi="Arial" w:cs="Arial"/>
                <w:bCs w:val="0"/>
                <w:iCs/>
                <w:color w:val="000000" w:themeColor="text1"/>
                <w:sz w:val="16"/>
                <w:szCs w:val="16"/>
              </w:rPr>
            </w:pPr>
            <w:r w:rsidRPr="00DA2A60">
              <w:rPr>
                <w:rFonts w:ascii="Arial" w:hAnsi="Arial" w:cs="Arial"/>
                <w:bCs w:val="0"/>
                <w:color w:val="000000" w:themeColor="text1"/>
                <w:sz w:val="16"/>
                <w:szCs w:val="16"/>
              </w:rPr>
              <w:t>Request for Proposal (RFP)/Feed-In Tariff (FIT)</w:t>
            </w:r>
          </w:p>
        </w:tc>
        <w:tc>
          <w:tcPr>
            <w:tcW w:w="1802"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E27C5C" w:rsidRPr="00DA2A60" w:rsidRDefault="00CE620A" w:rsidP="00191F0F">
            <w:pPr>
              <w:keepNext/>
              <w:keepLines/>
              <w:spacing w:after="0" w:line="240" w:lineRule="auto"/>
              <w:jc w:val="center"/>
              <w:cnfStyle w:val="100000000000"/>
              <w:rPr>
                <w:rFonts w:ascii="Arial" w:hAnsi="Arial" w:cs="Arial"/>
                <w:bCs w:val="0"/>
                <w:color w:val="000000" w:themeColor="text1"/>
                <w:sz w:val="16"/>
                <w:szCs w:val="16"/>
                <w:highlight w:val="yellow"/>
              </w:rPr>
            </w:pPr>
            <w:bookmarkStart w:id="765" w:name="_Toc271552565"/>
            <w:r w:rsidRPr="00DA2A60">
              <w:rPr>
                <w:rFonts w:ascii="Arial" w:hAnsi="Arial" w:cs="Arial"/>
                <w:bCs w:val="0"/>
                <w:color w:val="000000" w:themeColor="text1"/>
                <w:sz w:val="16"/>
                <w:szCs w:val="16"/>
              </w:rPr>
              <w:t>Net Metering</w:t>
            </w:r>
            <w:r w:rsidRPr="00DA2A60">
              <w:rPr>
                <w:rFonts w:ascii="Arial" w:hAnsi="Arial" w:cs="Arial"/>
                <w:bCs w:val="0"/>
                <w:color w:val="000000" w:themeColor="text1"/>
                <w:sz w:val="16"/>
                <w:szCs w:val="16"/>
              </w:rPr>
              <w:br/>
              <w:t>(Size Range)</w:t>
            </w:r>
            <w:r w:rsidRPr="00DA2A60">
              <w:rPr>
                <w:rFonts w:ascii="Arial" w:hAnsi="Arial" w:cs="Arial"/>
                <w:bCs w:val="0"/>
                <w:color w:val="000000" w:themeColor="text1"/>
                <w:sz w:val="16"/>
                <w:szCs w:val="16"/>
                <w:vertAlign w:val="superscript"/>
              </w:rPr>
              <w:t>(b)</w:t>
            </w:r>
            <w:bookmarkEnd w:id="765"/>
          </w:p>
        </w:tc>
        <w:tc>
          <w:tcPr>
            <w:tcW w:w="1708" w:type="dxa"/>
            <w:tcBorders>
              <w:top w:val="none" w:sz="0" w:space="0" w:color="auto"/>
              <w:left w:val="none" w:sz="0" w:space="0" w:color="auto"/>
              <w:bottom w:val="none" w:sz="0" w:space="0" w:color="auto"/>
              <w:right w:val="none" w:sz="0" w:space="0" w:color="auto"/>
            </w:tcBorders>
            <w:shd w:val="clear" w:color="auto" w:fill="FBCE76" w:themeFill="background2" w:themeFillTint="99"/>
            <w:tcMar>
              <w:top w:w="29" w:type="dxa"/>
              <w:left w:w="72" w:type="dxa"/>
              <w:bottom w:w="29" w:type="dxa"/>
              <w:right w:w="72" w:type="dxa"/>
            </w:tcMar>
            <w:vAlign w:val="center"/>
          </w:tcPr>
          <w:p w:rsidR="00274910" w:rsidRPr="00DA2A60" w:rsidRDefault="00CE620A" w:rsidP="00191F0F">
            <w:pPr>
              <w:keepNext/>
              <w:keepLines/>
              <w:spacing w:after="0" w:line="240" w:lineRule="auto"/>
              <w:jc w:val="center"/>
              <w:cnfStyle w:val="100000000000"/>
              <w:rPr>
                <w:rFonts w:ascii="Arial" w:hAnsi="Arial" w:cs="Arial"/>
                <w:bCs w:val="0"/>
                <w:color w:val="000000" w:themeColor="text1"/>
                <w:sz w:val="16"/>
                <w:szCs w:val="16"/>
              </w:rPr>
            </w:pPr>
            <w:r w:rsidRPr="00DA2A60">
              <w:rPr>
                <w:rFonts w:ascii="Arial" w:hAnsi="Arial" w:cs="Arial"/>
                <w:bCs w:val="0"/>
                <w:color w:val="000000" w:themeColor="text1"/>
                <w:sz w:val="16"/>
                <w:szCs w:val="16"/>
              </w:rPr>
              <w:t>Other</w:t>
            </w:r>
          </w:p>
        </w:tc>
      </w:tr>
      <w:tr w:rsidR="000F2F2F" w:rsidRPr="007433DD" w:rsidTr="00191F0F">
        <w:trPr>
          <w:cnfStyle w:val="000000100000"/>
          <w:cantSplit/>
          <w:jc w:val="center"/>
        </w:trPr>
        <w:tc>
          <w:tcPr>
            <w:cnfStyle w:val="001000000000"/>
            <w:tcW w:w="1024" w:type="dxa"/>
            <w:tcBorders>
              <w:left w:val="none" w:sz="0" w:space="0" w:color="auto"/>
              <w:right w:val="none" w:sz="0" w:space="0" w:color="auto"/>
            </w:tcBorders>
            <w:shd w:val="clear" w:color="auto" w:fill="FFFFFF" w:themeFill="background1"/>
            <w:tcMar>
              <w:top w:w="29" w:type="dxa"/>
              <w:bottom w:w="29" w:type="dxa"/>
            </w:tcMar>
            <w:vAlign w:val="center"/>
          </w:tcPr>
          <w:p w:rsidR="00274910"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CT</w:t>
            </w:r>
            <w:r w:rsidRPr="00DA2A60">
              <w:rPr>
                <w:rFonts w:ascii="Arial" w:hAnsi="Arial" w:cs="Arial"/>
                <w:bCs w:val="0"/>
                <w:color w:val="000000" w:themeColor="text1"/>
                <w:sz w:val="16"/>
                <w:szCs w:val="16"/>
                <w:vertAlign w:val="superscript"/>
              </w:rPr>
              <w:t>(c)</w:t>
            </w:r>
          </w:p>
        </w:tc>
        <w:tc>
          <w:tcPr>
            <w:tcW w:w="1334" w:type="dxa"/>
            <w:tcBorders>
              <w:left w:val="none" w:sz="0" w:space="0" w:color="auto"/>
              <w:right w:val="none" w:sz="0" w:space="0" w:color="auto"/>
            </w:tcBorders>
            <w:shd w:val="clear" w:color="auto" w:fill="FFFFFF" w:themeFill="background1"/>
            <w:tcMar>
              <w:top w:w="29" w:type="dxa"/>
              <w:bottom w:w="29" w:type="dxa"/>
            </w:tcMar>
            <w:vAlign w:val="center"/>
          </w:tcPr>
          <w:p w:rsidR="00274910" w:rsidRPr="007433DD" w:rsidRDefault="00274910" w:rsidP="00191F0F">
            <w:pPr>
              <w:keepNext/>
              <w:keepLines/>
              <w:spacing w:after="0" w:line="240" w:lineRule="auto"/>
              <w:jc w:val="center"/>
              <w:cnfStyle w:val="000000100000"/>
              <w:rPr>
                <w:rFonts w:ascii="Arial" w:hAnsi="Arial" w:cs="Arial"/>
                <w:color w:val="000000" w:themeColor="text1"/>
                <w:sz w:val="16"/>
                <w:szCs w:val="16"/>
              </w:rPr>
            </w:pPr>
          </w:p>
        </w:tc>
        <w:tc>
          <w:tcPr>
            <w:tcW w:w="2160" w:type="dxa"/>
            <w:tcBorders>
              <w:left w:val="none" w:sz="0" w:space="0" w:color="auto"/>
              <w:right w:val="none" w:sz="0" w:space="0" w:color="auto"/>
            </w:tcBorders>
            <w:shd w:val="clear" w:color="auto" w:fill="FFFFFF" w:themeFill="background1"/>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Class I</w:t>
            </w:r>
          </w:p>
        </w:tc>
        <w:tc>
          <w:tcPr>
            <w:tcW w:w="2160" w:type="dxa"/>
            <w:tcBorders>
              <w:left w:val="none" w:sz="0" w:space="0" w:color="auto"/>
              <w:right w:val="none" w:sz="0" w:space="0" w:color="auto"/>
            </w:tcBorders>
            <w:shd w:val="clear" w:color="auto" w:fill="FFFFFF" w:themeFill="background1"/>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DPUC RFP and considering FIT</w:t>
            </w:r>
          </w:p>
        </w:tc>
        <w:tc>
          <w:tcPr>
            <w:tcW w:w="1802" w:type="dxa"/>
            <w:tcBorders>
              <w:left w:val="none" w:sz="0" w:space="0" w:color="auto"/>
              <w:right w:val="none" w:sz="0" w:space="0" w:color="auto"/>
            </w:tcBorders>
            <w:shd w:val="clear" w:color="auto" w:fill="FFFFFF" w:themeFill="background1"/>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2 MW max</w:t>
            </w:r>
          </w:p>
        </w:tc>
        <w:tc>
          <w:tcPr>
            <w:tcW w:w="1708" w:type="dxa"/>
            <w:tcBorders>
              <w:left w:val="none" w:sz="0" w:space="0" w:color="auto"/>
              <w:right w:val="none" w:sz="0" w:space="0" w:color="auto"/>
            </w:tcBorders>
            <w:shd w:val="clear" w:color="auto" w:fill="FFFFFF" w:themeFill="background1"/>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CT Clean Energy Fund rebates and loans</w:t>
            </w:r>
          </w:p>
        </w:tc>
      </w:tr>
      <w:tr w:rsidR="000F2F2F" w:rsidRPr="007433DD" w:rsidTr="00191F0F">
        <w:trPr>
          <w:cantSplit/>
          <w:jc w:val="center"/>
        </w:trPr>
        <w:tc>
          <w:tcPr>
            <w:cnfStyle w:val="001000000000"/>
            <w:tcW w:w="1024" w:type="dxa"/>
            <w:shd w:val="clear" w:color="auto" w:fill="FDEED1" w:themeFill="background2" w:themeFillTint="33"/>
            <w:tcMar>
              <w:top w:w="29" w:type="dxa"/>
              <w:bottom w:w="29" w:type="dxa"/>
            </w:tcMar>
            <w:vAlign w:val="center"/>
          </w:tcPr>
          <w:p w:rsidR="001F4267"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MA</w:t>
            </w:r>
            <w:r w:rsidRPr="00DA2A60">
              <w:rPr>
                <w:rFonts w:ascii="Arial" w:hAnsi="Arial" w:cs="Arial"/>
                <w:bCs w:val="0"/>
                <w:color w:val="000000" w:themeColor="text1"/>
                <w:sz w:val="16"/>
                <w:szCs w:val="16"/>
                <w:vertAlign w:val="superscript"/>
              </w:rPr>
              <w:t>(d)</w:t>
            </w:r>
          </w:p>
        </w:tc>
        <w:tc>
          <w:tcPr>
            <w:tcW w:w="1334"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250 MW by 2017</w:t>
            </w:r>
          </w:p>
        </w:tc>
        <w:tc>
          <w:tcPr>
            <w:tcW w:w="2160"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 xml:space="preserve">Class I solar carve-out ends when 400 MW are installed. Solar auction Renewable Energy Certificates (RECs) </w:t>
            </w:r>
            <w:r w:rsidR="00B612B5">
              <w:rPr>
                <w:rFonts w:ascii="Arial" w:hAnsi="Arial" w:cs="Arial"/>
                <w:color w:val="000000" w:themeColor="text1"/>
                <w:sz w:val="16"/>
                <w:szCs w:val="16"/>
              </w:rPr>
              <w:t>=</w:t>
            </w:r>
            <w:r w:rsidRPr="00CE620A">
              <w:rPr>
                <w:rFonts w:ascii="Arial" w:hAnsi="Arial" w:cs="Arial"/>
                <w:color w:val="000000" w:themeColor="text1"/>
                <w:sz w:val="16"/>
                <w:szCs w:val="16"/>
              </w:rPr>
              <w:t xml:space="preserve"> $300/credit. Solar Alternative Compliance Payment is $600/MWh</w:t>
            </w:r>
            <w:r w:rsidR="00B612B5">
              <w:rPr>
                <w:rFonts w:ascii="Arial" w:hAnsi="Arial" w:cs="Arial"/>
                <w:color w:val="000000" w:themeColor="text1"/>
                <w:sz w:val="16"/>
                <w:szCs w:val="16"/>
              </w:rPr>
              <w:t>.</w:t>
            </w:r>
          </w:p>
        </w:tc>
        <w:tc>
          <w:tcPr>
            <w:tcW w:w="2160" w:type="dxa"/>
            <w:shd w:val="clear" w:color="auto" w:fill="FDEED1" w:themeFill="background2" w:themeFillTint="33"/>
            <w:tcMar>
              <w:top w:w="29" w:type="dxa"/>
              <w:bottom w:w="29" w:type="dxa"/>
            </w:tcMar>
            <w:vAlign w:val="center"/>
          </w:tcPr>
          <w:p w:rsidR="001F4267" w:rsidRPr="007433DD" w:rsidRDefault="001F4267" w:rsidP="00191F0F">
            <w:pPr>
              <w:keepNext/>
              <w:keepLines/>
              <w:spacing w:after="0" w:line="240" w:lineRule="auto"/>
              <w:jc w:val="center"/>
              <w:cnfStyle w:val="000000000000"/>
              <w:rPr>
                <w:rFonts w:ascii="Arial" w:eastAsia="Times New Roman" w:hAnsi="Arial" w:cs="Arial"/>
                <w:b/>
                <w:bCs/>
                <w:color w:val="000000" w:themeColor="text1"/>
                <w:sz w:val="16"/>
                <w:szCs w:val="16"/>
              </w:rPr>
            </w:pPr>
          </w:p>
        </w:tc>
        <w:tc>
          <w:tcPr>
            <w:tcW w:w="1802"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60 kW to 2 MW</w:t>
            </w:r>
          </w:p>
        </w:tc>
        <w:tc>
          <w:tcPr>
            <w:tcW w:w="1708"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23.5 MW awarded in rebates last 2 years</w:t>
            </w:r>
          </w:p>
        </w:tc>
      </w:tr>
      <w:tr w:rsidR="000F2F2F" w:rsidRPr="007433DD" w:rsidTr="00191F0F">
        <w:trPr>
          <w:cnfStyle w:val="000000100000"/>
          <w:cantSplit/>
          <w:jc w:val="center"/>
        </w:trPr>
        <w:tc>
          <w:tcPr>
            <w:cnfStyle w:val="001000000000"/>
            <w:tcW w:w="1024" w:type="dxa"/>
            <w:tcBorders>
              <w:left w:val="none" w:sz="0" w:space="0" w:color="auto"/>
              <w:right w:val="none" w:sz="0" w:space="0" w:color="auto"/>
            </w:tcBorders>
            <w:shd w:val="clear" w:color="auto" w:fill="auto"/>
            <w:tcMar>
              <w:top w:w="29" w:type="dxa"/>
              <w:bottom w:w="29" w:type="dxa"/>
            </w:tcMar>
            <w:vAlign w:val="center"/>
          </w:tcPr>
          <w:p w:rsidR="001F4267"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ME</w:t>
            </w:r>
            <w:r w:rsidRPr="00DA2A60">
              <w:rPr>
                <w:rFonts w:ascii="Arial" w:hAnsi="Arial" w:cs="Arial"/>
                <w:bCs w:val="0"/>
                <w:color w:val="000000" w:themeColor="text1"/>
                <w:sz w:val="16"/>
                <w:szCs w:val="16"/>
                <w:vertAlign w:val="superscript"/>
              </w:rPr>
              <w:t>(e)</w:t>
            </w:r>
          </w:p>
        </w:tc>
        <w:tc>
          <w:tcPr>
            <w:tcW w:w="1334" w:type="dxa"/>
            <w:tcBorders>
              <w:left w:val="none" w:sz="0" w:space="0" w:color="auto"/>
              <w:right w:val="none" w:sz="0" w:space="0" w:color="auto"/>
            </w:tcBorders>
            <w:shd w:val="clear" w:color="auto" w:fill="auto"/>
            <w:tcMar>
              <w:top w:w="29" w:type="dxa"/>
              <w:bottom w:w="29" w:type="dxa"/>
            </w:tcMar>
            <w:vAlign w:val="center"/>
          </w:tcPr>
          <w:p w:rsidR="001F4267" w:rsidRPr="007433DD" w:rsidRDefault="001F4267" w:rsidP="00191F0F">
            <w:pPr>
              <w:keepNext/>
              <w:keepLines/>
              <w:spacing w:after="0" w:line="240" w:lineRule="auto"/>
              <w:jc w:val="center"/>
              <w:cnfStyle w:val="000000100000"/>
              <w:rPr>
                <w:rFonts w:ascii="Arial" w:hAnsi="Arial" w:cs="Arial"/>
                <w:color w:val="000000" w:themeColor="text1"/>
                <w:sz w:val="16"/>
                <w:szCs w:val="16"/>
              </w:rPr>
            </w:pPr>
          </w:p>
        </w:tc>
        <w:tc>
          <w:tcPr>
            <w:tcW w:w="2160" w:type="dxa"/>
            <w:tcBorders>
              <w:left w:val="none" w:sz="0" w:space="0" w:color="auto"/>
              <w:right w:val="none" w:sz="0" w:space="0" w:color="auto"/>
            </w:tcBorders>
            <w:shd w:val="clear" w:color="auto" w:fill="auto"/>
            <w:tcMar>
              <w:top w:w="29" w:type="dxa"/>
              <w:bottom w:w="29" w:type="dxa"/>
            </w:tcMar>
            <w:vAlign w:val="center"/>
          </w:tcPr>
          <w:p w:rsidR="001F4267"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Class I</w:t>
            </w:r>
          </w:p>
        </w:tc>
        <w:tc>
          <w:tcPr>
            <w:tcW w:w="2160" w:type="dxa"/>
            <w:tcBorders>
              <w:left w:val="none" w:sz="0" w:space="0" w:color="auto"/>
              <w:right w:val="none" w:sz="0" w:space="0" w:color="auto"/>
            </w:tcBorders>
            <w:shd w:val="clear" w:color="auto" w:fill="auto"/>
            <w:tcMar>
              <w:top w:w="29" w:type="dxa"/>
              <w:bottom w:w="29" w:type="dxa"/>
            </w:tcMar>
            <w:vAlign w:val="center"/>
          </w:tcPr>
          <w:p w:rsidR="001F4267"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FIT and periodic RFP for 10 contracts</w:t>
            </w:r>
          </w:p>
        </w:tc>
        <w:tc>
          <w:tcPr>
            <w:tcW w:w="1802" w:type="dxa"/>
            <w:tcBorders>
              <w:left w:val="none" w:sz="0" w:space="0" w:color="auto"/>
              <w:right w:val="none" w:sz="0" w:space="0" w:color="auto"/>
            </w:tcBorders>
            <w:shd w:val="clear" w:color="auto" w:fill="auto"/>
            <w:tcMar>
              <w:top w:w="29" w:type="dxa"/>
              <w:bottom w:w="29" w:type="dxa"/>
            </w:tcMar>
            <w:vAlign w:val="center"/>
          </w:tcPr>
          <w:p w:rsidR="001F4267"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0.66 max</w:t>
            </w:r>
          </w:p>
        </w:tc>
        <w:tc>
          <w:tcPr>
            <w:tcW w:w="1708" w:type="dxa"/>
            <w:tcBorders>
              <w:left w:val="none" w:sz="0" w:space="0" w:color="auto"/>
              <w:right w:val="none" w:sz="0" w:space="0" w:color="auto"/>
            </w:tcBorders>
            <w:shd w:val="clear" w:color="auto" w:fill="auto"/>
            <w:tcMar>
              <w:top w:w="29" w:type="dxa"/>
              <w:bottom w:w="29" w:type="dxa"/>
            </w:tcMar>
            <w:vAlign w:val="center"/>
          </w:tcPr>
          <w:p w:rsidR="001F4267"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Bill LD 336</w:t>
            </w:r>
            <w:r w:rsidR="00B612B5">
              <w:rPr>
                <w:rFonts w:ascii="Arial" w:hAnsi="Arial" w:cs="Arial"/>
                <w:color w:val="000000" w:themeColor="text1"/>
                <w:sz w:val="16"/>
                <w:szCs w:val="16"/>
              </w:rPr>
              <w:t>,</w:t>
            </w:r>
            <w:r w:rsidRPr="00CE620A">
              <w:rPr>
                <w:rFonts w:ascii="Arial" w:hAnsi="Arial" w:cs="Arial"/>
                <w:color w:val="000000" w:themeColor="text1"/>
                <w:sz w:val="16"/>
                <w:szCs w:val="16"/>
              </w:rPr>
              <w:t xml:space="preserve"> passed in 2009</w:t>
            </w:r>
            <w:r w:rsidR="00B612B5">
              <w:rPr>
                <w:rFonts w:ascii="Arial" w:hAnsi="Arial" w:cs="Arial"/>
                <w:color w:val="000000" w:themeColor="text1"/>
                <w:sz w:val="16"/>
                <w:szCs w:val="16"/>
              </w:rPr>
              <w:t>,</w:t>
            </w:r>
            <w:r w:rsidRPr="00CE620A">
              <w:rPr>
                <w:rFonts w:ascii="Arial" w:hAnsi="Arial" w:cs="Arial"/>
                <w:color w:val="000000" w:themeColor="text1"/>
                <w:sz w:val="16"/>
                <w:szCs w:val="16"/>
              </w:rPr>
              <w:t xml:space="preserve"> amended FIT</w:t>
            </w:r>
            <w:r w:rsidR="00B612B5">
              <w:rPr>
                <w:rFonts w:ascii="Arial" w:hAnsi="Arial" w:cs="Arial"/>
                <w:color w:val="000000" w:themeColor="text1"/>
                <w:sz w:val="16"/>
                <w:szCs w:val="16"/>
              </w:rPr>
              <w:t>.</w:t>
            </w:r>
          </w:p>
        </w:tc>
      </w:tr>
      <w:tr w:rsidR="000F2F2F" w:rsidRPr="007433DD" w:rsidTr="00191F0F">
        <w:trPr>
          <w:cantSplit/>
          <w:jc w:val="center"/>
        </w:trPr>
        <w:tc>
          <w:tcPr>
            <w:cnfStyle w:val="001000000000"/>
            <w:tcW w:w="1024" w:type="dxa"/>
            <w:shd w:val="clear" w:color="auto" w:fill="FDEED1" w:themeFill="background2" w:themeFillTint="33"/>
            <w:tcMar>
              <w:top w:w="29" w:type="dxa"/>
              <w:bottom w:w="29" w:type="dxa"/>
            </w:tcMar>
            <w:vAlign w:val="center"/>
          </w:tcPr>
          <w:p w:rsidR="001F4267"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NH</w:t>
            </w:r>
          </w:p>
        </w:tc>
        <w:tc>
          <w:tcPr>
            <w:tcW w:w="1334" w:type="dxa"/>
            <w:shd w:val="clear" w:color="auto" w:fill="FDEED1" w:themeFill="background2" w:themeFillTint="33"/>
            <w:tcMar>
              <w:top w:w="29" w:type="dxa"/>
              <w:bottom w:w="29" w:type="dxa"/>
            </w:tcMar>
            <w:vAlign w:val="center"/>
          </w:tcPr>
          <w:p w:rsidR="001F4267" w:rsidRPr="007433DD" w:rsidRDefault="001F4267" w:rsidP="00191F0F">
            <w:pPr>
              <w:keepNext/>
              <w:keepLines/>
              <w:spacing w:after="0" w:line="240" w:lineRule="auto"/>
              <w:jc w:val="center"/>
              <w:cnfStyle w:val="000000000000"/>
              <w:rPr>
                <w:rFonts w:ascii="Arial" w:hAnsi="Arial" w:cs="Arial"/>
                <w:color w:val="000000" w:themeColor="text1"/>
                <w:sz w:val="16"/>
                <w:szCs w:val="16"/>
              </w:rPr>
            </w:pPr>
          </w:p>
        </w:tc>
        <w:tc>
          <w:tcPr>
            <w:tcW w:w="2160"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Class 3</w:t>
            </w:r>
            <w:r w:rsidRPr="00CE620A">
              <w:rPr>
                <w:rFonts w:ascii="Arial" w:hAnsi="Arial" w:cs="Arial"/>
                <w:color w:val="000000" w:themeColor="text1"/>
                <w:sz w:val="16"/>
                <w:szCs w:val="16"/>
              </w:rPr>
              <w:br/>
              <w:t>0.3% by 2014</w:t>
            </w:r>
          </w:p>
        </w:tc>
        <w:tc>
          <w:tcPr>
            <w:tcW w:w="2160" w:type="dxa"/>
            <w:shd w:val="clear" w:color="auto" w:fill="FDEED1" w:themeFill="background2" w:themeFillTint="33"/>
            <w:tcMar>
              <w:top w:w="29" w:type="dxa"/>
              <w:bottom w:w="29" w:type="dxa"/>
            </w:tcMar>
            <w:vAlign w:val="center"/>
          </w:tcPr>
          <w:p w:rsidR="001F4267" w:rsidRPr="007433DD" w:rsidRDefault="001F4267" w:rsidP="00191F0F">
            <w:pPr>
              <w:keepNext/>
              <w:keepLines/>
              <w:spacing w:after="0" w:line="240" w:lineRule="auto"/>
              <w:jc w:val="center"/>
              <w:cnfStyle w:val="000000000000"/>
              <w:rPr>
                <w:rFonts w:ascii="Arial" w:eastAsia="Times New Roman" w:hAnsi="Arial" w:cs="Arial"/>
                <w:b/>
                <w:bCs/>
                <w:color w:val="000000" w:themeColor="text1"/>
                <w:sz w:val="16"/>
                <w:szCs w:val="16"/>
              </w:rPr>
            </w:pPr>
          </w:p>
        </w:tc>
        <w:tc>
          <w:tcPr>
            <w:tcW w:w="1802"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1 MW max</w:t>
            </w:r>
          </w:p>
        </w:tc>
        <w:tc>
          <w:tcPr>
            <w:tcW w:w="1708" w:type="dxa"/>
            <w:shd w:val="clear" w:color="auto" w:fill="FDEED1" w:themeFill="background2" w:themeFillTint="33"/>
            <w:tcMar>
              <w:top w:w="29" w:type="dxa"/>
              <w:bottom w:w="29" w:type="dxa"/>
            </w:tcMar>
            <w:vAlign w:val="center"/>
          </w:tcPr>
          <w:p w:rsidR="001F4267"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Proposal in the legislature</w:t>
            </w:r>
          </w:p>
        </w:tc>
      </w:tr>
      <w:tr w:rsidR="000F2F2F" w:rsidRPr="007433DD" w:rsidTr="00191F0F">
        <w:trPr>
          <w:cnfStyle w:val="000000100000"/>
          <w:cantSplit/>
          <w:jc w:val="center"/>
        </w:trPr>
        <w:tc>
          <w:tcPr>
            <w:cnfStyle w:val="001000000000"/>
            <w:tcW w:w="1024" w:type="dxa"/>
            <w:tcBorders>
              <w:left w:val="none" w:sz="0" w:space="0" w:color="auto"/>
              <w:right w:val="none" w:sz="0" w:space="0" w:color="auto"/>
            </w:tcBorders>
            <w:shd w:val="clear" w:color="auto" w:fill="auto"/>
            <w:tcMar>
              <w:top w:w="29" w:type="dxa"/>
              <w:bottom w:w="29" w:type="dxa"/>
            </w:tcMar>
            <w:vAlign w:val="center"/>
          </w:tcPr>
          <w:p w:rsidR="00274910"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RI</w:t>
            </w:r>
          </w:p>
        </w:tc>
        <w:tc>
          <w:tcPr>
            <w:tcW w:w="1334" w:type="dxa"/>
            <w:tcBorders>
              <w:left w:val="none" w:sz="0" w:space="0" w:color="auto"/>
              <w:right w:val="none" w:sz="0" w:space="0" w:color="auto"/>
            </w:tcBorders>
            <w:shd w:val="clear" w:color="auto" w:fill="auto"/>
            <w:tcMar>
              <w:top w:w="29" w:type="dxa"/>
              <w:bottom w:w="29" w:type="dxa"/>
            </w:tcMar>
            <w:vAlign w:val="center"/>
          </w:tcPr>
          <w:p w:rsidR="00274910" w:rsidRPr="007433DD" w:rsidRDefault="00274910" w:rsidP="00191F0F">
            <w:pPr>
              <w:keepNext/>
              <w:keepLines/>
              <w:spacing w:after="0" w:line="240" w:lineRule="auto"/>
              <w:jc w:val="center"/>
              <w:cnfStyle w:val="000000100000"/>
              <w:rPr>
                <w:rFonts w:ascii="Arial" w:hAnsi="Arial" w:cs="Arial"/>
                <w:color w:val="000000" w:themeColor="text1"/>
                <w:sz w:val="16"/>
                <w:szCs w:val="16"/>
              </w:rPr>
            </w:pPr>
          </w:p>
        </w:tc>
        <w:tc>
          <w:tcPr>
            <w:tcW w:w="2160" w:type="dxa"/>
            <w:tcBorders>
              <w:left w:val="none" w:sz="0" w:space="0" w:color="auto"/>
              <w:right w:val="none" w:sz="0" w:space="0" w:color="auto"/>
            </w:tcBorders>
            <w:shd w:val="clear" w:color="auto" w:fill="auto"/>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Class 1</w:t>
            </w:r>
          </w:p>
        </w:tc>
        <w:tc>
          <w:tcPr>
            <w:tcW w:w="2160" w:type="dxa"/>
            <w:tcBorders>
              <w:left w:val="none" w:sz="0" w:space="0" w:color="auto"/>
              <w:right w:val="none" w:sz="0" w:space="0" w:color="auto"/>
            </w:tcBorders>
            <w:shd w:val="clear" w:color="auto" w:fill="auto"/>
            <w:tcMar>
              <w:top w:w="29" w:type="dxa"/>
              <w:bottom w:w="29" w:type="dxa"/>
            </w:tcMar>
            <w:vAlign w:val="center"/>
          </w:tcPr>
          <w:p w:rsidR="00274910" w:rsidRPr="007433DD" w:rsidRDefault="00CE620A" w:rsidP="00420DFD">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RFP for 15</w:t>
            </w:r>
            <w:r w:rsidR="00420DFD">
              <w:rPr>
                <w:rFonts w:ascii="Arial" w:hAnsi="Arial" w:cs="Arial"/>
                <w:color w:val="000000" w:themeColor="text1"/>
                <w:sz w:val="16"/>
                <w:szCs w:val="16"/>
              </w:rPr>
              <w:t>-</w:t>
            </w:r>
            <w:r w:rsidRPr="00CE620A">
              <w:rPr>
                <w:rFonts w:ascii="Arial" w:hAnsi="Arial" w:cs="Arial"/>
                <w:color w:val="000000" w:themeColor="text1"/>
                <w:sz w:val="16"/>
                <w:szCs w:val="16"/>
              </w:rPr>
              <w:t>y</w:t>
            </w:r>
            <w:r w:rsidR="00420DFD">
              <w:rPr>
                <w:rFonts w:ascii="Arial" w:hAnsi="Arial" w:cs="Arial"/>
                <w:color w:val="000000" w:themeColor="text1"/>
                <w:sz w:val="16"/>
                <w:szCs w:val="16"/>
              </w:rPr>
              <w:t>ea</w:t>
            </w:r>
            <w:r w:rsidRPr="00CE620A">
              <w:rPr>
                <w:rFonts w:ascii="Arial" w:hAnsi="Arial" w:cs="Arial"/>
                <w:color w:val="000000" w:themeColor="text1"/>
                <w:sz w:val="16"/>
                <w:szCs w:val="16"/>
              </w:rPr>
              <w:t xml:space="preserve">r contract. </w:t>
            </w:r>
            <w:r w:rsidR="00DA2A60" w:rsidRPr="00CE620A">
              <w:rPr>
                <w:rFonts w:ascii="Arial" w:hAnsi="Arial" w:cs="Arial"/>
                <w:color w:val="000000" w:themeColor="text1"/>
                <w:sz w:val="16"/>
                <w:szCs w:val="16"/>
              </w:rPr>
              <w:t>3</w:t>
            </w:r>
            <w:r w:rsidR="00DA2A60">
              <w:rPr>
                <w:rFonts w:ascii="Arial" w:hAnsi="Arial" w:cs="Arial"/>
                <w:color w:val="000000" w:themeColor="text1"/>
                <w:sz w:val="16"/>
                <w:szCs w:val="16"/>
              </w:rPr>
              <w:t> </w:t>
            </w:r>
            <w:r w:rsidRPr="00CE620A">
              <w:rPr>
                <w:rFonts w:ascii="Arial" w:hAnsi="Arial" w:cs="Arial"/>
                <w:color w:val="000000" w:themeColor="text1"/>
                <w:sz w:val="16"/>
                <w:szCs w:val="16"/>
              </w:rPr>
              <w:t>MW solar. FIT bill introduced in 2008</w:t>
            </w:r>
            <w:r w:rsidR="00B612B5">
              <w:rPr>
                <w:rFonts w:ascii="Arial" w:hAnsi="Arial" w:cs="Arial"/>
                <w:color w:val="000000" w:themeColor="text1"/>
                <w:sz w:val="16"/>
                <w:szCs w:val="16"/>
              </w:rPr>
              <w:t>.</w:t>
            </w:r>
          </w:p>
        </w:tc>
        <w:tc>
          <w:tcPr>
            <w:tcW w:w="1802" w:type="dxa"/>
            <w:tcBorders>
              <w:left w:val="none" w:sz="0" w:space="0" w:color="auto"/>
              <w:right w:val="none" w:sz="0" w:space="0" w:color="auto"/>
            </w:tcBorders>
            <w:shd w:val="clear" w:color="auto" w:fill="auto"/>
            <w:tcMar>
              <w:top w:w="29" w:type="dxa"/>
              <w:bottom w:w="29" w:type="dxa"/>
            </w:tcMar>
            <w:vAlign w:val="center"/>
          </w:tcPr>
          <w:p w:rsidR="00274910" w:rsidRPr="007433DD" w:rsidRDefault="00CE620A"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1.65 to 3.5 MW; varies with entity</w:t>
            </w:r>
          </w:p>
        </w:tc>
        <w:tc>
          <w:tcPr>
            <w:tcW w:w="1708" w:type="dxa"/>
            <w:tcBorders>
              <w:left w:val="none" w:sz="0" w:space="0" w:color="auto"/>
              <w:right w:val="none" w:sz="0" w:space="0" w:color="auto"/>
            </w:tcBorders>
            <w:shd w:val="clear" w:color="auto" w:fill="auto"/>
            <w:tcMar>
              <w:top w:w="29" w:type="dxa"/>
              <w:bottom w:w="29" w:type="dxa"/>
            </w:tcMar>
            <w:vAlign w:val="center"/>
          </w:tcPr>
          <w:p w:rsidR="00F77445" w:rsidRPr="007433DD" w:rsidRDefault="00F77445" w:rsidP="00191F0F">
            <w:pPr>
              <w:keepNext/>
              <w:keepLines/>
              <w:spacing w:after="0" w:line="240" w:lineRule="auto"/>
              <w:jc w:val="center"/>
              <w:cnfStyle w:val="000000100000"/>
              <w:rPr>
                <w:rFonts w:ascii="Arial" w:eastAsia="Times New Roman" w:hAnsi="Arial" w:cs="Arial"/>
                <w:b/>
                <w:bCs/>
                <w:color w:val="000000" w:themeColor="text1"/>
                <w:sz w:val="16"/>
                <w:szCs w:val="16"/>
              </w:rPr>
            </w:pPr>
          </w:p>
        </w:tc>
      </w:tr>
      <w:tr w:rsidR="00B612B5" w:rsidRPr="007433DD" w:rsidTr="00191F0F">
        <w:trPr>
          <w:cantSplit/>
          <w:jc w:val="center"/>
        </w:trPr>
        <w:tc>
          <w:tcPr>
            <w:cnfStyle w:val="001000000000"/>
            <w:tcW w:w="1024" w:type="dxa"/>
            <w:shd w:val="clear" w:color="auto" w:fill="FDEED1" w:themeFill="background2" w:themeFillTint="33"/>
            <w:tcMar>
              <w:top w:w="29" w:type="dxa"/>
              <w:bottom w:w="29" w:type="dxa"/>
            </w:tcMar>
            <w:vAlign w:val="center"/>
          </w:tcPr>
          <w:p w:rsidR="00B612B5" w:rsidRPr="00DA2A60" w:rsidRDefault="00B612B5"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VT</w:t>
            </w:r>
          </w:p>
        </w:tc>
        <w:tc>
          <w:tcPr>
            <w:tcW w:w="1334" w:type="dxa"/>
            <w:shd w:val="clear" w:color="auto" w:fill="FDEED1" w:themeFill="background2" w:themeFillTint="33"/>
            <w:tcMar>
              <w:top w:w="29" w:type="dxa"/>
              <w:bottom w:w="29" w:type="dxa"/>
            </w:tcMar>
            <w:vAlign w:val="center"/>
          </w:tcPr>
          <w:p w:rsidR="00B612B5" w:rsidRPr="007433DD" w:rsidRDefault="00B612B5"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50 MW cap</w:t>
            </w:r>
          </w:p>
        </w:tc>
        <w:tc>
          <w:tcPr>
            <w:tcW w:w="2160" w:type="dxa"/>
            <w:shd w:val="clear" w:color="auto" w:fill="FDEED1" w:themeFill="background2" w:themeFillTint="33"/>
            <w:tcMar>
              <w:top w:w="29" w:type="dxa"/>
              <w:bottom w:w="29" w:type="dxa"/>
            </w:tcMar>
            <w:vAlign w:val="center"/>
          </w:tcPr>
          <w:p w:rsidR="00B612B5" w:rsidRPr="007433DD" w:rsidRDefault="00B612B5" w:rsidP="00191F0F">
            <w:pPr>
              <w:keepNext/>
              <w:keepLines/>
              <w:spacing w:after="0" w:line="240" w:lineRule="auto"/>
              <w:jc w:val="center"/>
              <w:cnfStyle w:val="000000000000"/>
              <w:rPr>
                <w:rFonts w:ascii="Arial" w:eastAsia="Times New Roman" w:hAnsi="Arial" w:cs="Arial"/>
                <w:b/>
                <w:bCs/>
                <w:color w:val="000000" w:themeColor="text1"/>
                <w:sz w:val="16"/>
                <w:szCs w:val="16"/>
              </w:rPr>
            </w:pPr>
          </w:p>
        </w:tc>
        <w:tc>
          <w:tcPr>
            <w:tcW w:w="2160" w:type="dxa"/>
            <w:shd w:val="clear" w:color="auto" w:fill="FDEED1" w:themeFill="background2" w:themeFillTint="33"/>
            <w:tcMar>
              <w:top w:w="29" w:type="dxa"/>
              <w:bottom w:w="29" w:type="dxa"/>
            </w:tcMar>
            <w:vAlign w:val="center"/>
          </w:tcPr>
          <w:p w:rsidR="00B612B5" w:rsidRPr="007433DD" w:rsidRDefault="00B612B5"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175 MW of solar for RFP of 12.5 MW.</w:t>
            </w:r>
          </w:p>
          <w:p w:rsidR="00B612B5" w:rsidRPr="007433DD" w:rsidRDefault="00B612B5"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FIT= 30¢/kWh</w:t>
            </w:r>
            <w:r>
              <w:rPr>
                <w:rFonts w:ascii="Arial" w:hAnsi="Arial" w:cs="Arial"/>
                <w:color w:val="000000" w:themeColor="text1"/>
                <w:sz w:val="16"/>
                <w:szCs w:val="16"/>
              </w:rPr>
              <w:t>.</w:t>
            </w:r>
          </w:p>
        </w:tc>
        <w:tc>
          <w:tcPr>
            <w:tcW w:w="1802" w:type="dxa"/>
            <w:shd w:val="clear" w:color="auto" w:fill="FDEED1" w:themeFill="background2" w:themeFillTint="33"/>
            <w:tcMar>
              <w:top w:w="29" w:type="dxa"/>
              <w:bottom w:w="29" w:type="dxa"/>
            </w:tcMar>
            <w:vAlign w:val="center"/>
          </w:tcPr>
          <w:p w:rsidR="00B612B5" w:rsidRPr="007433DD" w:rsidRDefault="00B612B5"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2.2 MW max</w:t>
            </w:r>
          </w:p>
        </w:tc>
        <w:tc>
          <w:tcPr>
            <w:tcW w:w="1708" w:type="dxa"/>
            <w:shd w:val="clear" w:color="auto" w:fill="FDEED1" w:themeFill="background2" w:themeFillTint="33"/>
            <w:tcMar>
              <w:top w:w="29" w:type="dxa"/>
              <w:bottom w:w="29" w:type="dxa"/>
            </w:tcMar>
            <w:vAlign w:val="center"/>
          </w:tcPr>
          <w:p w:rsidR="00B612B5" w:rsidRPr="007433DD" w:rsidRDefault="00B612B5" w:rsidP="00191F0F">
            <w:pPr>
              <w:keepNext/>
              <w:keepLines/>
              <w:spacing w:after="0" w:line="240" w:lineRule="auto"/>
              <w:jc w:val="center"/>
              <w:cnfStyle w:val="000000000000"/>
              <w:rPr>
                <w:rFonts w:ascii="Arial" w:eastAsia="Times New Roman" w:hAnsi="Arial" w:cs="Arial"/>
                <w:b/>
                <w:bCs/>
                <w:color w:val="000000" w:themeColor="text1"/>
                <w:sz w:val="16"/>
                <w:szCs w:val="16"/>
              </w:rPr>
            </w:pPr>
          </w:p>
        </w:tc>
      </w:tr>
      <w:tr w:rsidR="00B612B5" w:rsidRPr="007433DD" w:rsidTr="00191F0F">
        <w:trPr>
          <w:cnfStyle w:val="000000100000"/>
          <w:cantSplit/>
          <w:jc w:val="center"/>
        </w:trPr>
        <w:tc>
          <w:tcPr>
            <w:cnfStyle w:val="001000000000"/>
            <w:tcW w:w="1024" w:type="dxa"/>
            <w:tcBorders>
              <w:left w:val="none" w:sz="0" w:space="0" w:color="auto"/>
              <w:right w:val="none" w:sz="0" w:space="0" w:color="auto"/>
            </w:tcBorders>
            <w:shd w:val="clear" w:color="auto" w:fill="FFFFFF" w:themeFill="background1"/>
            <w:tcMar>
              <w:top w:w="29" w:type="dxa"/>
              <w:bottom w:w="29" w:type="dxa"/>
            </w:tcMar>
            <w:vAlign w:val="center"/>
          </w:tcPr>
          <w:p w:rsidR="00B612B5" w:rsidRPr="00DA2A60" w:rsidRDefault="00B612B5"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NY</w:t>
            </w:r>
            <w:r w:rsidRPr="00DA2A60">
              <w:rPr>
                <w:rFonts w:ascii="Arial" w:hAnsi="Arial" w:cs="Arial"/>
                <w:bCs w:val="0"/>
                <w:color w:val="000000" w:themeColor="text1"/>
                <w:sz w:val="16"/>
                <w:szCs w:val="16"/>
                <w:vertAlign w:val="superscript"/>
              </w:rPr>
              <w:t>(f )</w:t>
            </w:r>
          </w:p>
        </w:tc>
        <w:tc>
          <w:tcPr>
            <w:tcW w:w="1334" w:type="dxa"/>
            <w:tcBorders>
              <w:left w:val="none" w:sz="0" w:space="0" w:color="auto"/>
              <w:right w:val="none" w:sz="0" w:space="0" w:color="auto"/>
            </w:tcBorders>
            <w:shd w:val="clear" w:color="auto" w:fill="FFFFFF" w:themeFill="background1"/>
            <w:tcMar>
              <w:top w:w="29" w:type="dxa"/>
              <w:bottom w:w="29" w:type="dxa"/>
            </w:tcMar>
            <w:vAlign w:val="center"/>
          </w:tcPr>
          <w:p w:rsidR="00B612B5" w:rsidRPr="007433DD" w:rsidRDefault="00B612B5"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2,000 MW by 2017</w:t>
            </w:r>
          </w:p>
        </w:tc>
        <w:tc>
          <w:tcPr>
            <w:tcW w:w="2160" w:type="dxa"/>
            <w:tcBorders>
              <w:left w:val="none" w:sz="0" w:space="0" w:color="auto"/>
              <w:right w:val="none" w:sz="0" w:space="0" w:color="auto"/>
            </w:tcBorders>
            <w:shd w:val="clear" w:color="auto" w:fill="FFFFFF" w:themeFill="background1"/>
            <w:tcMar>
              <w:top w:w="29" w:type="dxa"/>
              <w:bottom w:w="29" w:type="dxa"/>
            </w:tcMar>
            <w:vAlign w:val="center"/>
          </w:tcPr>
          <w:p w:rsidR="00B612B5" w:rsidRPr="007433DD" w:rsidRDefault="00B612B5"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NYSERDA RFP for RECs 10-y</w:t>
            </w:r>
            <w:r w:rsidR="00420DFD">
              <w:rPr>
                <w:rFonts w:ascii="Arial" w:hAnsi="Arial" w:cs="Arial"/>
                <w:color w:val="000000" w:themeColor="text1"/>
                <w:sz w:val="16"/>
                <w:szCs w:val="16"/>
              </w:rPr>
              <w:t>ea</w:t>
            </w:r>
            <w:r w:rsidRPr="00CE620A">
              <w:rPr>
                <w:rFonts w:ascii="Arial" w:hAnsi="Arial" w:cs="Arial"/>
                <w:color w:val="000000" w:themeColor="text1"/>
                <w:sz w:val="16"/>
                <w:szCs w:val="16"/>
              </w:rPr>
              <w:t>r fixed-price contracts</w:t>
            </w:r>
          </w:p>
        </w:tc>
        <w:tc>
          <w:tcPr>
            <w:tcW w:w="2160" w:type="dxa"/>
            <w:tcBorders>
              <w:left w:val="none" w:sz="0" w:space="0" w:color="auto"/>
              <w:right w:val="none" w:sz="0" w:space="0" w:color="auto"/>
            </w:tcBorders>
            <w:shd w:val="clear" w:color="auto" w:fill="FFFFFF" w:themeFill="background1"/>
            <w:tcMar>
              <w:top w:w="29" w:type="dxa"/>
              <w:bottom w:w="29" w:type="dxa"/>
            </w:tcMar>
            <w:vAlign w:val="center"/>
          </w:tcPr>
          <w:p w:rsidR="00B612B5" w:rsidRPr="007433DD" w:rsidRDefault="00B612B5" w:rsidP="00191F0F">
            <w:pPr>
              <w:keepNext/>
              <w:keepLines/>
              <w:spacing w:after="0" w:line="240" w:lineRule="auto"/>
              <w:jc w:val="center"/>
              <w:cnfStyle w:val="000000100000"/>
              <w:rPr>
                <w:rFonts w:ascii="Arial" w:hAnsi="Arial" w:cs="Arial"/>
                <w:color w:val="000000" w:themeColor="text1"/>
                <w:sz w:val="16"/>
                <w:szCs w:val="16"/>
              </w:rPr>
            </w:pPr>
            <w:r w:rsidRPr="00CE620A">
              <w:rPr>
                <w:rFonts w:ascii="Arial" w:hAnsi="Arial" w:cs="Arial"/>
                <w:color w:val="000000" w:themeColor="text1"/>
                <w:sz w:val="16"/>
                <w:szCs w:val="16"/>
              </w:rPr>
              <w:t>Considering</w:t>
            </w:r>
            <w:r w:rsidRPr="00CE620A">
              <w:rPr>
                <w:rFonts w:ascii="Arial" w:hAnsi="Arial" w:cs="Arial"/>
                <w:color w:val="000000" w:themeColor="text1"/>
                <w:sz w:val="16"/>
                <w:szCs w:val="16"/>
              </w:rPr>
              <w:br/>
              <w:t>FIT bill</w:t>
            </w:r>
          </w:p>
        </w:tc>
        <w:tc>
          <w:tcPr>
            <w:tcW w:w="1802" w:type="dxa"/>
            <w:tcBorders>
              <w:left w:val="none" w:sz="0" w:space="0" w:color="auto"/>
              <w:right w:val="none" w:sz="0" w:space="0" w:color="auto"/>
            </w:tcBorders>
            <w:shd w:val="clear" w:color="auto" w:fill="FFFFFF" w:themeFill="background1"/>
            <w:tcMar>
              <w:top w:w="29" w:type="dxa"/>
              <w:bottom w:w="29" w:type="dxa"/>
            </w:tcMar>
            <w:vAlign w:val="center"/>
          </w:tcPr>
          <w:p w:rsidR="00B612B5" w:rsidRPr="007433DD" w:rsidRDefault="00B612B5" w:rsidP="00191F0F">
            <w:pPr>
              <w:keepNext/>
              <w:keepLines/>
              <w:spacing w:after="0" w:line="240" w:lineRule="auto"/>
              <w:jc w:val="center"/>
              <w:cnfStyle w:val="000000100000"/>
              <w:rPr>
                <w:rFonts w:ascii="Arial" w:hAnsi="Arial" w:cs="Arial"/>
                <w:color w:val="000000" w:themeColor="text1"/>
                <w:sz w:val="16"/>
                <w:szCs w:val="16"/>
                <w:highlight w:val="yellow"/>
              </w:rPr>
            </w:pPr>
            <w:r w:rsidRPr="00CE620A">
              <w:rPr>
                <w:rFonts w:ascii="Arial" w:hAnsi="Arial" w:cs="Arial"/>
                <w:color w:val="000000" w:themeColor="text1"/>
                <w:sz w:val="16"/>
                <w:szCs w:val="16"/>
              </w:rPr>
              <w:t>25 kW max residential; 2 MW max nonresidential</w:t>
            </w:r>
          </w:p>
        </w:tc>
        <w:tc>
          <w:tcPr>
            <w:tcW w:w="1708" w:type="dxa"/>
            <w:tcBorders>
              <w:left w:val="none" w:sz="0" w:space="0" w:color="auto"/>
              <w:right w:val="none" w:sz="0" w:space="0" w:color="auto"/>
            </w:tcBorders>
            <w:shd w:val="clear" w:color="auto" w:fill="FFFFFF" w:themeFill="background1"/>
            <w:tcMar>
              <w:top w:w="29" w:type="dxa"/>
              <w:bottom w:w="29" w:type="dxa"/>
            </w:tcMar>
            <w:vAlign w:val="center"/>
          </w:tcPr>
          <w:p w:rsidR="00B612B5" w:rsidRPr="007433DD" w:rsidRDefault="00B612B5" w:rsidP="00191F0F">
            <w:pPr>
              <w:keepNext/>
              <w:keepLines/>
              <w:spacing w:after="0" w:line="240" w:lineRule="auto"/>
              <w:jc w:val="center"/>
              <w:cnfStyle w:val="000000100000"/>
              <w:rPr>
                <w:rFonts w:ascii="Arial" w:eastAsia="Times New Roman" w:hAnsi="Arial" w:cs="Arial"/>
                <w:b/>
                <w:bCs/>
                <w:color w:val="000000" w:themeColor="text1"/>
                <w:sz w:val="16"/>
                <w:szCs w:val="16"/>
              </w:rPr>
            </w:pPr>
          </w:p>
        </w:tc>
      </w:tr>
      <w:tr w:rsidR="00527C48" w:rsidRPr="007433DD" w:rsidTr="00191F0F">
        <w:trPr>
          <w:cantSplit/>
          <w:jc w:val="center"/>
        </w:trPr>
        <w:tc>
          <w:tcPr>
            <w:cnfStyle w:val="001000000000"/>
            <w:tcW w:w="1024" w:type="dxa"/>
            <w:shd w:val="clear" w:color="auto" w:fill="FDEED1" w:themeFill="background2" w:themeFillTint="33"/>
            <w:tcMar>
              <w:top w:w="29" w:type="dxa"/>
              <w:bottom w:w="29" w:type="dxa"/>
            </w:tcMar>
            <w:vAlign w:val="center"/>
          </w:tcPr>
          <w:p w:rsidR="00274910" w:rsidRPr="00DA2A60" w:rsidRDefault="00CE620A" w:rsidP="00191F0F">
            <w:pPr>
              <w:keepNext/>
              <w:keepLines/>
              <w:spacing w:after="0" w:line="240" w:lineRule="auto"/>
              <w:rPr>
                <w:rFonts w:ascii="Arial" w:hAnsi="Arial" w:cs="Arial"/>
                <w:bCs w:val="0"/>
                <w:color w:val="000000" w:themeColor="text1"/>
                <w:sz w:val="16"/>
                <w:szCs w:val="16"/>
              </w:rPr>
            </w:pPr>
            <w:r w:rsidRPr="00DA2A60">
              <w:rPr>
                <w:rFonts w:ascii="Arial" w:hAnsi="Arial" w:cs="Arial"/>
                <w:bCs w:val="0"/>
                <w:color w:val="000000" w:themeColor="text1"/>
                <w:sz w:val="16"/>
                <w:szCs w:val="16"/>
              </w:rPr>
              <w:t>Ontario</w:t>
            </w:r>
            <w:r w:rsidRPr="00DA2A60">
              <w:rPr>
                <w:rFonts w:ascii="Arial" w:hAnsi="Arial" w:cs="Arial"/>
                <w:bCs w:val="0"/>
                <w:color w:val="000000" w:themeColor="text1"/>
                <w:sz w:val="16"/>
                <w:szCs w:val="16"/>
                <w:vertAlign w:val="superscript"/>
              </w:rPr>
              <w:t>(g)</w:t>
            </w:r>
          </w:p>
        </w:tc>
        <w:tc>
          <w:tcPr>
            <w:tcW w:w="1334" w:type="dxa"/>
            <w:shd w:val="clear" w:color="auto" w:fill="FDEED1" w:themeFill="background2" w:themeFillTint="33"/>
            <w:tcMar>
              <w:top w:w="29" w:type="dxa"/>
              <w:bottom w:w="29" w:type="dxa"/>
            </w:tcMar>
            <w:vAlign w:val="center"/>
          </w:tcPr>
          <w:p w:rsidR="00274910" w:rsidRPr="007433DD" w:rsidRDefault="00274910" w:rsidP="00191F0F">
            <w:pPr>
              <w:keepNext/>
              <w:keepLines/>
              <w:spacing w:after="0" w:line="240" w:lineRule="auto"/>
              <w:jc w:val="center"/>
              <w:cnfStyle w:val="000000000000"/>
              <w:rPr>
                <w:rFonts w:ascii="Arial" w:hAnsi="Arial" w:cs="Arial"/>
                <w:color w:val="000000" w:themeColor="text1"/>
                <w:sz w:val="16"/>
                <w:szCs w:val="16"/>
              </w:rPr>
            </w:pPr>
          </w:p>
        </w:tc>
        <w:tc>
          <w:tcPr>
            <w:tcW w:w="2160" w:type="dxa"/>
            <w:shd w:val="clear" w:color="auto" w:fill="FDEED1" w:themeFill="background2" w:themeFillTint="33"/>
            <w:tcMar>
              <w:top w:w="29" w:type="dxa"/>
              <w:bottom w:w="29" w:type="dxa"/>
            </w:tcMar>
            <w:vAlign w:val="center"/>
          </w:tcPr>
          <w:p w:rsidR="00274910" w:rsidRPr="007433DD" w:rsidRDefault="00274910" w:rsidP="00191F0F">
            <w:pPr>
              <w:keepNext/>
              <w:keepLines/>
              <w:spacing w:after="0" w:line="240" w:lineRule="auto"/>
              <w:jc w:val="center"/>
              <w:cnfStyle w:val="000000000000"/>
              <w:rPr>
                <w:rFonts w:ascii="Arial" w:hAnsi="Arial" w:cs="Arial"/>
                <w:color w:val="000000" w:themeColor="text1"/>
                <w:sz w:val="16"/>
                <w:szCs w:val="16"/>
              </w:rPr>
            </w:pPr>
          </w:p>
        </w:tc>
        <w:tc>
          <w:tcPr>
            <w:tcW w:w="2160" w:type="dxa"/>
            <w:shd w:val="clear" w:color="auto" w:fill="FDEED1" w:themeFill="background2" w:themeFillTint="33"/>
            <w:tcMar>
              <w:top w:w="29" w:type="dxa"/>
              <w:bottom w:w="29" w:type="dxa"/>
            </w:tcMar>
            <w:vAlign w:val="center"/>
          </w:tcPr>
          <w:p w:rsidR="00274910"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FIT (2009)</w:t>
            </w:r>
          </w:p>
        </w:tc>
        <w:tc>
          <w:tcPr>
            <w:tcW w:w="1802" w:type="dxa"/>
            <w:shd w:val="clear" w:color="auto" w:fill="FDEED1" w:themeFill="background2" w:themeFillTint="33"/>
            <w:tcMar>
              <w:top w:w="29" w:type="dxa"/>
              <w:bottom w:w="29" w:type="dxa"/>
            </w:tcMar>
            <w:vAlign w:val="center"/>
          </w:tcPr>
          <w:p w:rsidR="00F158B9" w:rsidRPr="007433DD" w:rsidRDefault="00CE620A" w:rsidP="00191F0F">
            <w:pPr>
              <w:keepNext/>
              <w:keepLines/>
              <w:spacing w:after="0" w:line="240" w:lineRule="auto"/>
              <w:jc w:val="center"/>
              <w:cnfStyle w:val="000000000000"/>
              <w:rPr>
                <w:rFonts w:ascii="Arial" w:hAnsi="Arial" w:cs="Arial"/>
                <w:color w:val="000000" w:themeColor="text1"/>
                <w:sz w:val="16"/>
                <w:szCs w:val="16"/>
                <w:highlight w:val="yellow"/>
              </w:rPr>
            </w:pPr>
            <w:r w:rsidRPr="00CE620A">
              <w:rPr>
                <w:rFonts w:ascii="Arial" w:hAnsi="Arial" w:cs="Arial"/>
                <w:color w:val="000000" w:themeColor="text1"/>
                <w:sz w:val="16"/>
                <w:szCs w:val="16"/>
              </w:rPr>
              <w:t>500 kW max</w:t>
            </w:r>
          </w:p>
        </w:tc>
        <w:tc>
          <w:tcPr>
            <w:tcW w:w="1708" w:type="dxa"/>
            <w:shd w:val="clear" w:color="auto" w:fill="FDEED1" w:themeFill="background2" w:themeFillTint="33"/>
            <w:tcMar>
              <w:top w:w="29" w:type="dxa"/>
              <w:bottom w:w="29" w:type="dxa"/>
            </w:tcMar>
            <w:vAlign w:val="center"/>
          </w:tcPr>
          <w:p w:rsidR="00274910" w:rsidRPr="007433DD" w:rsidRDefault="00CE620A" w:rsidP="00191F0F">
            <w:pPr>
              <w:keepNext/>
              <w:keepLines/>
              <w:spacing w:after="0" w:line="240" w:lineRule="auto"/>
              <w:jc w:val="center"/>
              <w:cnfStyle w:val="000000000000"/>
              <w:rPr>
                <w:rFonts w:ascii="Arial" w:hAnsi="Arial" w:cs="Arial"/>
                <w:color w:val="000000" w:themeColor="text1"/>
                <w:sz w:val="16"/>
                <w:szCs w:val="16"/>
              </w:rPr>
            </w:pPr>
            <w:r w:rsidRPr="00CE620A">
              <w:rPr>
                <w:rFonts w:ascii="Arial" w:hAnsi="Arial" w:cs="Arial"/>
                <w:color w:val="000000" w:themeColor="text1"/>
                <w:sz w:val="16"/>
                <w:szCs w:val="16"/>
              </w:rPr>
              <w:t>Small projects</w:t>
            </w:r>
            <w:r w:rsidRPr="00CE620A">
              <w:rPr>
                <w:rFonts w:ascii="Arial" w:hAnsi="Arial" w:cs="Arial"/>
                <w:color w:val="000000" w:themeColor="text1"/>
                <w:sz w:val="16"/>
                <w:szCs w:val="16"/>
              </w:rPr>
              <w:br/>
              <w:t>(&lt;10 kW) receive 80.2¢/kWh or lower; larger projects</w:t>
            </w:r>
            <w:r w:rsidRPr="00CE620A">
              <w:rPr>
                <w:rFonts w:ascii="Arial" w:hAnsi="Arial" w:cs="Arial"/>
                <w:color w:val="000000" w:themeColor="text1"/>
                <w:sz w:val="16"/>
                <w:szCs w:val="16"/>
              </w:rPr>
              <w:br/>
              <w:t>(&gt;10 kW) receive</w:t>
            </w:r>
            <w:r w:rsidRPr="00CE620A">
              <w:rPr>
                <w:rFonts w:ascii="Arial" w:hAnsi="Arial" w:cs="Arial"/>
                <w:color w:val="000000" w:themeColor="text1"/>
                <w:sz w:val="16"/>
                <w:szCs w:val="16"/>
              </w:rPr>
              <w:br/>
              <w:t>44¢/kWh</w:t>
            </w:r>
            <w:r w:rsidR="00B612B5">
              <w:rPr>
                <w:rFonts w:ascii="Arial" w:hAnsi="Arial" w:cs="Arial"/>
                <w:color w:val="000000" w:themeColor="text1"/>
                <w:sz w:val="16"/>
                <w:szCs w:val="16"/>
              </w:rPr>
              <w:t>.</w:t>
            </w:r>
          </w:p>
        </w:tc>
      </w:tr>
    </w:tbl>
    <w:p w:rsidR="00441298" w:rsidRDefault="00D4331C" w:rsidP="001204DD">
      <w:pPr>
        <w:keepNext/>
        <w:keepLines/>
        <w:spacing w:before="120" w:after="80" w:line="240" w:lineRule="auto"/>
        <w:ind w:left="-187" w:right="-446" w:hanging="259"/>
        <w:rPr>
          <w:rFonts w:ascii="Arial" w:hAnsi="Arial" w:cs="Arial"/>
          <w:color w:val="000000" w:themeColor="text1"/>
          <w:sz w:val="16"/>
          <w:szCs w:val="16"/>
        </w:rPr>
      </w:pPr>
      <w:r w:rsidRPr="00FD0BE7">
        <w:rPr>
          <w:rFonts w:ascii="Arial" w:hAnsi="Arial" w:cs="Arial"/>
          <w:color w:val="000000" w:themeColor="text1"/>
          <w:sz w:val="16"/>
          <w:szCs w:val="16"/>
        </w:rPr>
        <w:t xml:space="preserve">(a) </w:t>
      </w:r>
      <w:r w:rsidR="00191F0F">
        <w:rPr>
          <w:rFonts w:ascii="Arial" w:hAnsi="Arial" w:cs="Arial"/>
          <w:color w:val="000000" w:themeColor="text1"/>
          <w:sz w:val="16"/>
          <w:szCs w:val="16"/>
        </w:rPr>
        <w:tab/>
      </w:r>
      <w:r w:rsidRPr="00FD0BE7">
        <w:rPr>
          <w:rFonts w:ascii="Arial" w:hAnsi="Arial" w:cs="Arial"/>
          <w:color w:val="000000" w:themeColor="text1"/>
          <w:sz w:val="16"/>
          <w:szCs w:val="16"/>
        </w:rPr>
        <w:t xml:space="preserve">Sources: </w:t>
      </w:r>
      <w:r w:rsidR="005B0673">
        <w:rPr>
          <w:rFonts w:ascii="Arial" w:hAnsi="Arial" w:cs="Arial"/>
          <w:color w:val="000000" w:themeColor="text1"/>
          <w:sz w:val="16"/>
          <w:szCs w:val="16"/>
        </w:rPr>
        <w:t xml:space="preserve">North Carolina State University, </w:t>
      </w:r>
      <w:r w:rsidRPr="00FD0BE7">
        <w:rPr>
          <w:rFonts w:ascii="Arial" w:hAnsi="Arial" w:cs="Arial"/>
          <w:color w:val="000000" w:themeColor="text1"/>
          <w:sz w:val="16"/>
          <w:szCs w:val="16"/>
        </w:rPr>
        <w:t>“Database of State Incentives for Renewables and Efficiency” (DSIRE) (DOE, NREL</w:t>
      </w:r>
      <w:r w:rsidR="0019624C">
        <w:rPr>
          <w:rFonts w:ascii="Arial" w:hAnsi="Arial" w:cs="Arial"/>
          <w:color w:val="000000" w:themeColor="text1"/>
          <w:sz w:val="16"/>
          <w:szCs w:val="16"/>
        </w:rPr>
        <w:t xml:space="preserve"> contract</w:t>
      </w:r>
      <w:r w:rsidRPr="00FD0BE7">
        <w:rPr>
          <w:rFonts w:ascii="Arial" w:hAnsi="Arial" w:cs="Arial"/>
          <w:color w:val="000000" w:themeColor="text1"/>
          <w:sz w:val="16"/>
          <w:szCs w:val="16"/>
        </w:rPr>
        <w:t xml:space="preserve">); </w:t>
      </w:r>
      <w:hyperlink r:id="rId68" w:history="1">
        <w:r w:rsidRPr="00FD0BE7">
          <w:rPr>
            <w:rStyle w:val="Hyperlink"/>
            <w:rFonts w:ascii="Arial" w:hAnsi="Arial" w:cs="Arial"/>
            <w:color w:val="000000" w:themeColor="text1"/>
            <w:sz w:val="16"/>
            <w:szCs w:val="16"/>
            <w:u w:val="none"/>
          </w:rPr>
          <w:t>http://www.dsireusa.org/</w:t>
        </w:r>
      </w:hyperlink>
      <w:r w:rsidRPr="00FD0BE7">
        <w:rPr>
          <w:rFonts w:ascii="Arial" w:hAnsi="Arial" w:cs="Arial"/>
          <w:color w:val="000000" w:themeColor="text1"/>
          <w:sz w:val="16"/>
          <w:szCs w:val="16"/>
        </w:rPr>
        <w:t>. Also, Robert C. Grace, “Long-Term Contracting Policies for Renewable Energy in the Northeast,” and Wilson RIckerson, “Feed-In Tariffs in the Northeast” presentations at the Northeast Energy and Commerce Association’s Renewable Energy Conference</w:t>
      </w:r>
      <w:r w:rsidR="001F6FAE">
        <w:rPr>
          <w:rFonts w:ascii="Arial" w:hAnsi="Arial" w:cs="Arial"/>
          <w:color w:val="000000" w:themeColor="text1"/>
          <w:sz w:val="16"/>
          <w:szCs w:val="16"/>
        </w:rPr>
        <w:t>, Boston</w:t>
      </w:r>
      <w:r w:rsidRPr="00FD0BE7">
        <w:rPr>
          <w:rFonts w:ascii="Arial" w:hAnsi="Arial" w:cs="Arial"/>
          <w:color w:val="000000" w:themeColor="text1"/>
          <w:sz w:val="16"/>
          <w:szCs w:val="16"/>
        </w:rPr>
        <w:t xml:space="preserve"> (March 3, 2010); </w:t>
      </w:r>
      <w:hyperlink r:id="rId69" w:history="1">
        <w:r w:rsidRPr="00FD0BE7">
          <w:rPr>
            <w:rStyle w:val="Hyperlink"/>
            <w:rFonts w:ascii="Arial" w:hAnsi="Arial" w:cs="Arial"/>
            <w:color w:val="000000" w:themeColor="text1"/>
            <w:sz w:val="16"/>
            <w:szCs w:val="16"/>
            <w:u w:val="none"/>
          </w:rPr>
          <w:t>http://www.necanews.org/dev/documents/100303_grace_bob_1.pdf</w:t>
        </w:r>
      </w:hyperlink>
      <w:r w:rsidRPr="00FD0BE7">
        <w:rPr>
          <w:rFonts w:ascii="Arial" w:hAnsi="Arial" w:cs="Arial"/>
          <w:color w:val="000000" w:themeColor="text1"/>
          <w:sz w:val="16"/>
          <w:szCs w:val="16"/>
        </w:rPr>
        <w:t xml:space="preserve"> and http://www.necanews.org/dev/documents/100303_rickerson_wilson_1.pdf.</w:t>
      </w:r>
    </w:p>
    <w:p w:rsidR="00C73E33" w:rsidRPr="00FD0BE7" w:rsidRDefault="003174D8" w:rsidP="00191F0F">
      <w:pPr>
        <w:keepNext/>
        <w:keepLines/>
        <w:spacing w:before="120" w:after="80" w:line="240" w:lineRule="auto"/>
        <w:ind w:left="-180" w:right="-446" w:hanging="266"/>
        <w:rPr>
          <w:rFonts w:ascii="Arial" w:hAnsi="Arial" w:cs="Arial"/>
          <w:color w:val="000000" w:themeColor="text1"/>
          <w:sz w:val="16"/>
          <w:szCs w:val="16"/>
        </w:rPr>
      </w:pPr>
      <w:r w:rsidRPr="00FD0BE7">
        <w:rPr>
          <w:rFonts w:ascii="Arial" w:hAnsi="Arial" w:cs="Arial"/>
          <w:color w:val="000000" w:themeColor="text1"/>
          <w:sz w:val="16"/>
          <w:szCs w:val="16"/>
        </w:rPr>
        <w:t xml:space="preserve"> </w:t>
      </w:r>
      <w:r w:rsidR="00ED05F0" w:rsidRPr="00FD0BE7">
        <w:rPr>
          <w:rFonts w:ascii="Arial" w:hAnsi="Arial" w:cs="Arial"/>
          <w:color w:val="000000" w:themeColor="text1"/>
          <w:sz w:val="16"/>
          <w:szCs w:val="16"/>
        </w:rPr>
        <w:t>(</w:t>
      </w:r>
      <w:r w:rsidR="00D86C0B" w:rsidRPr="00FD0BE7">
        <w:rPr>
          <w:rFonts w:ascii="Arial" w:hAnsi="Arial" w:cs="Arial"/>
          <w:color w:val="000000" w:themeColor="text1"/>
          <w:sz w:val="16"/>
          <w:szCs w:val="16"/>
        </w:rPr>
        <w:t>b</w:t>
      </w:r>
      <w:r w:rsidR="00ED05F0" w:rsidRPr="00FD0BE7">
        <w:rPr>
          <w:rFonts w:ascii="Arial" w:hAnsi="Arial" w:cs="Arial"/>
          <w:color w:val="000000" w:themeColor="text1"/>
          <w:sz w:val="16"/>
          <w:szCs w:val="16"/>
        </w:rPr>
        <w:t xml:space="preserve">) </w:t>
      </w:r>
      <w:r w:rsidR="00ED05F0" w:rsidRPr="00FD0BE7">
        <w:rPr>
          <w:rFonts w:ascii="Arial" w:hAnsi="Arial" w:cs="Arial"/>
          <w:i/>
          <w:color w:val="000000" w:themeColor="text1"/>
          <w:sz w:val="16"/>
          <w:szCs w:val="16"/>
        </w:rPr>
        <w:t>Net metering</w:t>
      </w:r>
      <w:r w:rsidR="00ED05F0" w:rsidRPr="00FD0BE7">
        <w:rPr>
          <w:rFonts w:ascii="Arial" w:hAnsi="Arial" w:cs="Arial"/>
          <w:color w:val="000000" w:themeColor="text1"/>
          <w:sz w:val="16"/>
          <w:szCs w:val="16"/>
        </w:rPr>
        <w:t xml:space="preserve"> is when a renewable resource generator, such as solar PV, generates more energy than is needed and sells the excess energy back to the electric power grid a</w:t>
      </w:r>
      <w:r w:rsidR="008D759A" w:rsidRPr="00FD0BE7">
        <w:rPr>
          <w:rFonts w:ascii="Arial" w:hAnsi="Arial" w:cs="Arial"/>
          <w:color w:val="000000" w:themeColor="text1"/>
          <w:sz w:val="16"/>
          <w:szCs w:val="16"/>
        </w:rPr>
        <w:t>t</w:t>
      </w:r>
      <w:r w:rsidR="00ED05F0" w:rsidRPr="00FD0BE7">
        <w:rPr>
          <w:rFonts w:ascii="Arial" w:hAnsi="Arial" w:cs="Arial"/>
          <w:color w:val="000000" w:themeColor="text1"/>
          <w:sz w:val="16"/>
          <w:szCs w:val="16"/>
        </w:rPr>
        <w:t xml:space="preserve"> some agreed to price.</w:t>
      </w:r>
    </w:p>
    <w:p w:rsidR="00D86C0B" w:rsidRDefault="00D4331C" w:rsidP="00191F0F">
      <w:pPr>
        <w:keepNext/>
        <w:keepLines/>
        <w:spacing w:after="80" w:line="240" w:lineRule="auto"/>
        <w:ind w:left="-180" w:right="-446" w:hanging="266"/>
        <w:rPr>
          <w:rFonts w:ascii="Arial" w:hAnsi="Arial" w:cs="Arial"/>
          <w:color w:val="000000" w:themeColor="text1"/>
          <w:sz w:val="16"/>
          <w:szCs w:val="16"/>
        </w:rPr>
      </w:pPr>
      <w:r w:rsidRPr="00FD0BE7">
        <w:rPr>
          <w:rFonts w:ascii="Arial" w:hAnsi="Arial" w:cs="Arial"/>
          <w:color w:val="000000" w:themeColor="text1"/>
          <w:sz w:val="16"/>
          <w:szCs w:val="16"/>
        </w:rPr>
        <w:t xml:space="preserve">(c) </w:t>
      </w:r>
      <w:r w:rsidR="001F6FAE">
        <w:rPr>
          <w:rFonts w:ascii="Arial" w:hAnsi="Arial" w:cs="Arial"/>
          <w:color w:val="000000" w:themeColor="text1"/>
          <w:sz w:val="16"/>
          <w:szCs w:val="16"/>
        </w:rPr>
        <w:tab/>
      </w:r>
      <w:r w:rsidR="001F6FAE" w:rsidRPr="00FD0BE7">
        <w:rPr>
          <w:rFonts w:ascii="Arial" w:hAnsi="Arial" w:cs="Arial"/>
          <w:color w:val="000000" w:themeColor="text1"/>
          <w:sz w:val="16"/>
          <w:szCs w:val="16"/>
        </w:rPr>
        <w:t>Connecticut Energy Information Line, Connecticut Energy Efficiency Fund</w:t>
      </w:r>
      <w:r w:rsidR="001F6FAE">
        <w:rPr>
          <w:rFonts w:ascii="Arial" w:hAnsi="Arial" w:cs="Arial"/>
          <w:color w:val="000000" w:themeColor="text1"/>
          <w:sz w:val="16"/>
          <w:szCs w:val="16"/>
        </w:rPr>
        <w:t>,</w:t>
      </w:r>
      <w:r w:rsidR="001F6FAE" w:rsidRPr="00FD0BE7">
        <w:rPr>
          <w:rFonts w:ascii="Arial" w:hAnsi="Arial" w:cs="Arial"/>
          <w:color w:val="000000" w:themeColor="text1"/>
          <w:sz w:val="16"/>
          <w:szCs w:val="16"/>
        </w:rPr>
        <w:t xml:space="preserve"> </w:t>
      </w:r>
      <w:r w:rsidRPr="00FD0BE7">
        <w:rPr>
          <w:rFonts w:ascii="Arial" w:hAnsi="Arial" w:cs="Arial"/>
          <w:color w:val="000000" w:themeColor="text1"/>
          <w:sz w:val="16"/>
          <w:szCs w:val="16"/>
        </w:rPr>
        <w:t xml:space="preserve">“Net Metering—Class I Renewable Energy” Web site (2010); </w:t>
      </w:r>
      <w:hyperlink r:id="rId70" w:history="1">
        <w:r w:rsidRPr="00FD0BE7">
          <w:rPr>
            <w:rStyle w:val="Hyperlink"/>
            <w:rFonts w:ascii="Arial" w:hAnsi="Arial" w:cs="Arial"/>
            <w:color w:val="000000" w:themeColor="text1"/>
            <w:sz w:val="16"/>
            <w:szCs w:val="16"/>
            <w:u w:val="none"/>
          </w:rPr>
          <w:t>http://www.ctenergyinfo.com/dpuc_net_metering.htm</w:t>
        </w:r>
      </w:hyperlink>
      <w:r w:rsidRPr="00FD0BE7">
        <w:rPr>
          <w:rFonts w:ascii="Arial" w:hAnsi="Arial" w:cs="Arial"/>
          <w:color w:val="000000" w:themeColor="text1"/>
          <w:sz w:val="16"/>
          <w:szCs w:val="16"/>
        </w:rPr>
        <w:t xml:space="preserve">. Also, </w:t>
      </w:r>
      <w:r w:rsidR="001F6FAE" w:rsidRPr="00FD0BE7">
        <w:rPr>
          <w:rFonts w:ascii="Arial" w:hAnsi="Arial" w:cs="Arial"/>
          <w:color w:val="000000" w:themeColor="text1"/>
          <w:sz w:val="16"/>
          <w:szCs w:val="16"/>
        </w:rPr>
        <w:t xml:space="preserve">Connecticut Clean Energy Fund, </w:t>
      </w:r>
      <w:r w:rsidRPr="00FD0BE7">
        <w:rPr>
          <w:rFonts w:ascii="Arial" w:hAnsi="Arial" w:cs="Arial"/>
          <w:color w:val="000000" w:themeColor="text1"/>
          <w:sz w:val="16"/>
          <w:szCs w:val="16"/>
        </w:rPr>
        <w:t xml:space="preserve">“Clean Energy Incentives” Web site (n.d.); </w:t>
      </w:r>
      <w:hyperlink r:id="rId71" w:history="1">
        <w:r w:rsidRPr="00FD0BE7">
          <w:rPr>
            <w:rStyle w:val="Hyperlink"/>
            <w:rFonts w:ascii="Arial" w:hAnsi="Arial" w:cs="Arial"/>
            <w:color w:val="000000" w:themeColor="text1"/>
            <w:sz w:val="16"/>
            <w:szCs w:val="16"/>
            <w:u w:val="none"/>
          </w:rPr>
          <w:t>http://www.ctcleanenergy.com/CleanEnergyIncentives/tabid/57/Default.aspx</w:t>
        </w:r>
      </w:hyperlink>
      <w:r w:rsidRPr="00FD0BE7">
        <w:rPr>
          <w:rFonts w:ascii="Arial" w:hAnsi="Arial" w:cs="Arial"/>
          <w:color w:val="000000" w:themeColor="text1"/>
          <w:sz w:val="16"/>
          <w:szCs w:val="16"/>
        </w:rPr>
        <w:t>.</w:t>
      </w:r>
    </w:p>
    <w:p w:rsidR="001F4267" w:rsidRDefault="001F4267" w:rsidP="00191F0F">
      <w:pPr>
        <w:keepNext/>
        <w:keepLines/>
        <w:spacing w:after="80" w:line="240" w:lineRule="auto"/>
        <w:ind w:left="-180" w:right="-446" w:hanging="266"/>
        <w:rPr>
          <w:rFonts w:ascii="Arial" w:hAnsi="Arial" w:cs="Arial"/>
          <w:sz w:val="16"/>
          <w:szCs w:val="16"/>
        </w:rPr>
      </w:pPr>
      <w:r w:rsidRPr="00FD0BE7">
        <w:rPr>
          <w:rFonts w:ascii="Arial" w:hAnsi="Arial" w:cs="Arial"/>
          <w:sz w:val="16"/>
          <w:szCs w:val="16"/>
        </w:rPr>
        <w:t>(</w:t>
      </w:r>
      <w:r>
        <w:rPr>
          <w:rFonts w:ascii="Arial" w:hAnsi="Arial" w:cs="Arial"/>
          <w:sz w:val="16"/>
          <w:szCs w:val="16"/>
        </w:rPr>
        <w:t>d</w:t>
      </w:r>
      <w:r w:rsidRPr="00FD0BE7">
        <w:rPr>
          <w:rFonts w:ascii="Arial" w:hAnsi="Arial" w:cs="Arial"/>
          <w:sz w:val="16"/>
          <w:szCs w:val="16"/>
        </w:rPr>
        <w:t xml:space="preserve">) </w:t>
      </w:r>
      <w:r w:rsidR="00191F0F">
        <w:rPr>
          <w:rFonts w:ascii="Arial" w:hAnsi="Arial" w:cs="Arial"/>
          <w:sz w:val="16"/>
          <w:szCs w:val="16"/>
        </w:rPr>
        <w:tab/>
      </w:r>
      <w:r w:rsidRPr="00FD0BE7">
        <w:rPr>
          <w:rFonts w:ascii="Arial" w:hAnsi="Arial" w:cs="Arial"/>
          <w:sz w:val="16"/>
          <w:szCs w:val="16"/>
        </w:rPr>
        <w:t xml:space="preserve">Refer to Section </w:t>
      </w:r>
      <w:fldSimple w:instr=" REF _Ref266558378 \r \h  \* MERGEFORMAT ">
        <w:r w:rsidR="00E5699E" w:rsidRPr="00E5699E">
          <w:rPr>
            <w:rFonts w:ascii="Arial" w:hAnsi="Arial" w:cs="Arial"/>
            <w:sz w:val="16"/>
            <w:szCs w:val="16"/>
          </w:rPr>
          <w:t>8.5</w:t>
        </w:r>
      </w:fldSimple>
      <w:r w:rsidR="00335F95" w:rsidRPr="00335F95">
        <w:rPr>
          <w:rFonts w:ascii="Arial" w:hAnsi="Arial" w:cs="Arial"/>
          <w:sz w:val="16"/>
          <w:szCs w:val="16"/>
        </w:rPr>
        <w:t xml:space="preserve"> for more information on Massachusetts</w:t>
      </w:r>
      <w:r w:rsidRPr="00335F95">
        <w:rPr>
          <w:rFonts w:ascii="Arial" w:hAnsi="Arial" w:cs="Arial"/>
          <w:sz w:val="16"/>
          <w:szCs w:val="16"/>
        </w:rPr>
        <w:t>.</w:t>
      </w:r>
      <w:r w:rsidRPr="00FD0BE7">
        <w:rPr>
          <w:rFonts w:ascii="Arial" w:hAnsi="Arial" w:cs="Arial"/>
          <w:sz w:val="16"/>
          <w:szCs w:val="16"/>
        </w:rPr>
        <w:t xml:space="preserve"> </w:t>
      </w:r>
    </w:p>
    <w:p w:rsidR="001F12AE" w:rsidRPr="00FD0BE7" w:rsidRDefault="00D4331C" w:rsidP="00191F0F">
      <w:pPr>
        <w:keepNext/>
        <w:keepLines/>
        <w:spacing w:after="80" w:line="240" w:lineRule="auto"/>
        <w:ind w:left="-180" w:right="-446" w:hanging="266"/>
        <w:rPr>
          <w:rFonts w:ascii="Arial" w:hAnsi="Arial" w:cs="Arial"/>
          <w:sz w:val="16"/>
          <w:szCs w:val="16"/>
        </w:rPr>
      </w:pPr>
      <w:r w:rsidRPr="00FD0BE7">
        <w:rPr>
          <w:rFonts w:ascii="Arial" w:hAnsi="Arial" w:cs="Arial"/>
          <w:sz w:val="16"/>
          <w:szCs w:val="16"/>
        </w:rPr>
        <w:t>(</w:t>
      </w:r>
      <w:r w:rsidR="001F4267">
        <w:rPr>
          <w:rFonts w:ascii="Arial" w:hAnsi="Arial" w:cs="Arial"/>
          <w:sz w:val="16"/>
          <w:szCs w:val="16"/>
        </w:rPr>
        <w:t>e</w:t>
      </w:r>
      <w:r w:rsidRPr="00FD0BE7">
        <w:rPr>
          <w:rFonts w:ascii="Arial" w:hAnsi="Arial" w:cs="Arial"/>
          <w:sz w:val="16"/>
          <w:szCs w:val="16"/>
        </w:rPr>
        <w:t xml:space="preserve">) </w:t>
      </w:r>
      <w:r w:rsidR="00191F0F">
        <w:rPr>
          <w:rFonts w:ascii="Arial" w:hAnsi="Arial" w:cs="Arial"/>
          <w:sz w:val="16"/>
          <w:szCs w:val="16"/>
        </w:rPr>
        <w:tab/>
      </w:r>
      <w:r w:rsidRPr="00FD0BE7">
        <w:rPr>
          <w:rFonts w:ascii="Arial" w:hAnsi="Arial" w:cs="Arial"/>
          <w:i/>
          <w:sz w:val="16"/>
          <w:szCs w:val="16"/>
        </w:rPr>
        <w:t>Resolve, Regarding Legislative Review of Chapter 313: Net Energy Billing Rule to Allow Shared Ownership, a Major Substantive Rule of the Public Utilities Commission</w:t>
      </w:r>
      <w:r w:rsidR="001F6FAE">
        <w:rPr>
          <w:rFonts w:ascii="Arial" w:hAnsi="Arial" w:cs="Arial"/>
          <w:i/>
          <w:sz w:val="16"/>
          <w:szCs w:val="16"/>
        </w:rPr>
        <w:t>,</w:t>
      </w:r>
      <w:r w:rsidRPr="00FD0BE7">
        <w:rPr>
          <w:rFonts w:ascii="Arial" w:hAnsi="Arial" w:cs="Arial"/>
          <w:sz w:val="16"/>
          <w:szCs w:val="16"/>
        </w:rPr>
        <w:t xml:space="preserve"> Maine </w:t>
      </w:r>
      <w:r w:rsidR="001F12AE" w:rsidRPr="00FD0BE7">
        <w:rPr>
          <w:rFonts w:ascii="Arial" w:hAnsi="Arial" w:cs="Arial"/>
          <w:sz w:val="16"/>
          <w:szCs w:val="16"/>
        </w:rPr>
        <w:t xml:space="preserve">State Legislature. </w:t>
      </w:r>
      <w:r w:rsidRPr="00FD0BE7">
        <w:rPr>
          <w:rFonts w:ascii="Arial" w:hAnsi="Arial" w:cs="Arial"/>
          <w:sz w:val="16"/>
          <w:szCs w:val="16"/>
        </w:rPr>
        <w:t>LD 336</w:t>
      </w:r>
      <w:r w:rsidR="001F12AE" w:rsidRPr="00FD0BE7">
        <w:rPr>
          <w:rFonts w:ascii="Arial" w:hAnsi="Arial" w:cs="Arial"/>
          <w:sz w:val="16"/>
          <w:szCs w:val="16"/>
        </w:rPr>
        <w:t xml:space="preserve"> (September 30, 2009)</w:t>
      </w:r>
      <w:r w:rsidRPr="00FD0BE7">
        <w:rPr>
          <w:rFonts w:ascii="Arial" w:hAnsi="Arial" w:cs="Arial"/>
          <w:sz w:val="16"/>
          <w:szCs w:val="16"/>
        </w:rPr>
        <w:t xml:space="preserve">; </w:t>
      </w:r>
      <w:hyperlink r:id="rId72" w:history="1">
        <w:r w:rsidRPr="00724971">
          <w:rPr>
            <w:rStyle w:val="Hyperlink"/>
            <w:rFonts w:ascii="Arial" w:hAnsi="Arial" w:cs="Arial"/>
            <w:color w:val="000000" w:themeColor="text1"/>
            <w:sz w:val="16"/>
            <w:szCs w:val="16"/>
            <w:u w:val="none"/>
          </w:rPr>
          <w:t>http://www.mainelegislature.org/legis/bills/bills_124th/chappdfs/RESOLVE20.pdf</w:t>
        </w:r>
      </w:hyperlink>
      <w:r w:rsidRPr="00724971">
        <w:rPr>
          <w:rFonts w:ascii="Arial" w:hAnsi="Arial" w:cs="Arial"/>
          <w:color w:val="000000" w:themeColor="text1"/>
          <w:sz w:val="16"/>
          <w:szCs w:val="16"/>
        </w:rPr>
        <w:t>.</w:t>
      </w:r>
    </w:p>
    <w:p w:rsidR="00F158B9" w:rsidRPr="00FD0BE7" w:rsidRDefault="001F4267" w:rsidP="00191F0F">
      <w:pPr>
        <w:keepNext/>
        <w:keepLines/>
        <w:spacing w:after="80" w:line="240" w:lineRule="auto"/>
        <w:ind w:left="-180" w:right="-446" w:hanging="266"/>
        <w:rPr>
          <w:rFonts w:ascii="Arial" w:hAnsi="Arial" w:cs="Arial"/>
          <w:sz w:val="16"/>
          <w:szCs w:val="16"/>
        </w:rPr>
      </w:pPr>
      <w:r w:rsidRPr="00FD0BE7" w:rsidDel="001F4267">
        <w:rPr>
          <w:rFonts w:ascii="Arial" w:hAnsi="Arial" w:cs="Arial"/>
          <w:sz w:val="16"/>
          <w:szCs w:val="16"/>
        </w:rPr>
        <w:t xml:space="preserve"> </w:t>
      </w:r>
      <w:r w:rsidR="00724971">
        <w:rPr>
          <w:rFonts w:ascii="Arial" w:hAnsi="Arial" w:cs="Arial"/>
          <w:sz w:val="16"/>
          <w:szCs w:val="16"/>
        </w:rPr>
        <w:t>(f)</w:t>
      </w:r>
      <w:r w:rsidR="00C112B6">
        <w:rPr>
          <w:rFonts w:ascii="Arial" w:hAnsi="Arial" w:cs="Arial"/>
          <w:sz w:val="16"/>
          <w:szCs w:val="16"/>
        </w:rPr>
        <w:t xml:space="preserve"> </w:t>
      </w:r>
      <w:r w:rsidR="00191F0F">
        <w:rPr>
          <w:rFonts w:ascii="Arial" w:hAnsi="Arial" w:cs="Arial"/>
          <w:sz w:val="16"/>
          <w:szCs w:val="16"/>
        </w:rPr>
        <w:tab/>
      </w:r>
      <w:r w:rsidR="001F6FAE">
        <w:rPr>
          <w:rFonts w:ascii="Arial" w:hAnsi="Arial" w:cs="Arial"/>
          <w:sz w:val="16"/>
          <w:szCs w:val="16"/>
        </w:rPr>
        <w:t xml:space="preserve">Solar Initiative of New York, </w:t>
      </w:r>
      <w:r w:rsidR="00C112B6">
        <w:rPr>
          <w:rFonts w:ascii="Arial" w:hAnsi="Arial" w:cs="Arial"/>
          <w:i/>
          <w:sz w:val="16"/>
          <w:szCs w:val="16"/>
        </w:rPr>
        <w:t xml:space="preserve">New York’s Solar Roadmap </w:t>
      </w:r>
      <w:r w:rsidR="00C112B6">
        <w:rPr>
          <w:rFonts w:ascii="Arial" w:hAnsi="Arial" w:cs="Arial"/>
          <w:sz w:val="16"/>
          <w:szCs w:val="16"/>
        </w:rPr>
        <w:t xml:space="preserve">(May 2007); </w:t>
      </w:r>
      <w:hyperlink r:id="rId73" w:history="1">
        <w:r w:rsidRPr="000F2F2F">
          <w:rPr>
            <w:rStyle w:val="Hyperlink"/>
            <w:rFonts w:ascii="Arial" w:hAnsi="Arial" w:cs="Arial"/>
            <w:color w:val="000000" w:themeColor="text1"/>
            <w:sz w:val="16"/>
            <w:szCs w:val="16"/>
            <w:u w:val="none"/>
          </w:rPr>
          <w:t>http://www.neny.org/download.cfm/NENY_Membership_Application.pdf?AssetID=225</w:t>
        </w:r>
      </w:hyperlink>
      <w:r w:rsidR="00C112B6" w:rsidRPr="000F2F2F">
        <w:rPr>
          <w:rFonts w:ascii="Arial" w:hAnsi="Arial" w:cs="Arial"/>
          <w:color w:val="000000" w:themeColor="text1"/>
          <w:sz w:val="16"/>
          <w:szCs w:val="16"/>
        </w:rPr>
        <w:t>.</w:t>
      </w:r>
      <w:r w:rsidRPr="000F2F2F">
        <w:rPr>
          <w:rFonts w:ascii="Arial" w:hAnsi="Arial" w:cs="Arial"/>
          <w:color w:val="000000" w:themeColor="text1"/>
          <w:sz w:val="16"/>
          <w:szCs w:val="16"/>
        </w:rPr>
        <w:t xml:space="preserve"> </w:t>
      </w:r>
      <w:r w:rsidR="00D4331C" w:rsidRPr="00FD0BE7">
        <w:rPr>
          <w:rFonts w:ascii="Arial" w:hAnsi="Arial" w:cs="Arial"/>
          <w:sz w:val="16"/>
          <w:szCs w:val="16"/>
        </w:rPr>
        <w:t>NYSERDA stands for the New York State Energy Research Development Authority.</w:t>
      </w:r>
    </w:p>
    <w:p w:rsidR="00DA2A60" w:rsidRDefault="00D4331C" w:rsidP="001204DD">
      <w:pPr>
        <w:spacing w:after="360" w:line="240" w:lineRule="auto"/>
        <w:ind w:left="-187" w:right="-446" w:hanging="259"/>
        <w:rPr>
          <w:rFonts w:ascii="Arial" w:hAnsi="Arial" w:cs="Arial"/>
          <w:color w:val="000000" w:themeColor="text1"/>
          <w:sz w:val="16"/>
          <w:szCs w:val="16"/>
        </w:rPr>
      </w:pPr>
      <w:r w:rsidRPr="00C112B6">
        <w:rPr>
          <w:rFonts w:ascii="Arial" w:hAnsi="Arial" w:cs="Arial"/>
          <w:color w:val="000000" w:themeColor="text1"/>
          <w:sz w:val="16"/>
          <w:szCs w:val="16"/>
        </w:rPr>
        <w:t xml:space="preserve"> (</w:t>
      </w:r>
      <w:r w:rsidR="000F2F2F">
        <w:rPr>
          <w:rFonts w:ascii="Arial" w:hAnsi="Arial" w:cs="Arial"/>
          <w:color w:val="000000" w:themeColor="text1"/>
          <w:sz w:val="16"/>
          <w:szCs w:val="16"/>
        </w:rPr>
        <w:t>g</w:t>
      </w:r>
      <w:r w:rsidRPr="00C112B6">
        <w:rPr>
          <w:rFonts w:ascii="Arial" w:hAnsi="Arial" w:cs="Arial"/>
          <w:color w:val="000000" w:themeColor="text1"/>
          <w:sz w:val="16"/>
          <w:szCs w:val="16"/>
        </w:rPr>
        <w:t xml:space="preserve">) </w:t>
      </w:r>
      <w:r w:rsidR="001F6FAE" w:rsidRPr="00C112B6">
        <w:rPr>
          <w:rFonts w:ascii="Arial" w:hAnsi="Arial" w:cs="Arial"/>
          <w:color w:val="000000" w:themeColor="text1"/>
          <w:sz w:val="16"/>
          <w:szCs w:val="16"/>
        </w:rPr>
        <w:t>Ontario Power Authority</w:t>
      </w:r>
      <w:r w:rsidR="001F6FAE">
        <w:rPr>
          <w:rFonts w:ascii="Arial" w:hAnsi="Arial" w:cs="Arial"/>
          <w:color w:val="000000" w:themeColor="text1"/>
          <w:sz w:val="16"/>
          <w:szCs w:val="16"/>
        </w:rPr>
        <w:t xml:space="preserve"> (OPA),</w:t>
      </w:r>
      <w:r w:rsidR="001F6FAE" w:rsidRPr="00C112B6">
        <w:rPr>
          <w:rFonts w:ascii="Arial" w:hAnsi="Arial" w:cs="Arial"/>
          <w:color w:val="000000" w:themeColor="text1"/>
          <w:sz w:val="16"/>
          <w:szCs w:val="16"/>
        </w:rPr>
        <w:t xml:space="preserve"> </w:t>
      </w:r>
      <w:r w:rsidRPr="00C112B6">
        <w:rPr>
          <w:rFonts w:ascii="Arial" w:hAnsi="Arial" w:cs="Arial"/>
          <w:i/>
          <w:color w:val="000000" w:themeColor="text1"/>
          <w:sz w:val="16"/>
          <w:szCs w:val="16"/>
        </w:rPr>
        <w:t>Feed-in Tariff Program: Program Overview</w:t>
      </w:r>
      <w:r w:rsidRPr="00C112B6">
        <w:rPr>
          <w:rFonts w:ascii="Arial" w:hAnsi="Arial" w:cs="Arial"/>
          <w:color w:val="000000" w:themeColor="text1"/>
          <w:sz w:val="16"/>
          <w:szCs w:val="16"/>
        </w:rPr>
        <w:t xml:space="preserve"> (July 2010); </w:t>
      </w:r>
      <w:hyperlink r:id="rId74" w:history="1">
        <w:r w:rsidRPr="00C112B6">
          <w:rPr>
            <w:rStyle w:val="Hyperlink"/>
            <w:rFonts w:ascii="Arial" w:hAnsi="Arial" w:cs="Arial"/>
            <w:color w:val="000000" w:themeColor="text1"/>
            <w:sz w:val="16"/>
            <w:szCs w:val="16"/>
            <w:u w:val="none"/>
          </w:rPr>
          <w:t>http://fit.powerauthority.on.ca/Storage/101/11057_FIT_Program_Overview_July_6_10_version_1.3.1_final_for_posting.pdf</w:t>
        </w:r>
      </w:hyperlink>
      <w:r w:rsidRPr="00C112B6">
        <w:rPr>
          <w:rFonts w:ascii="Arial" w:hAnsi="Arial" w:cs="Arial"/>
          <w:color w:val="000000" w:themeColor="text1"/>
          <w:sz w:val="16"/>
          <w:szCs w:val="16"/>
        </w:rPr>
        <w:t>.</w:t>
      </w:r>
      <w:r w:rsidR="00864149" w:rsidRPr="00C112B6">
        <w:rPr>
          <w:rFonts w:ascii="Arial" w:hAnsi="Arial" w:cs="Arial"/>
          <w:color w:val="000000" w:themeColor="text1"/>
          <w:sz w:val="16"/>
          <w:szCs w:val="16"/>
        </w:rPr>
        <w:t xml:space="preserve"> Also, </w:t>
      </w:r>
      <w:r w:rsidR="001F6FAE" w:rsidRPr="00C112B6">
        <w:rPr>
          <w:rFonts w:ascii="Arial" w:hAnsi="Arial" w:cs="Arial"/>
          <w:color w:val="000000" w:themeColor="text1"/>
          <w:sz w:val="16"/>
          <w:szCs w:val="16"/>
        </w:rPr>
        <w:t>Ontario Ministry of Energy and Energy Safety Authority,</w:t>
      </w:r>
      <w:r w:rsidR="001F6FAE">
        <w:rPr>
          <w:rFonts w:ascii="Arial" w:hAnsi="Arial" w:cs="Arial"/>
          <w:color w:val="000000" w:themeColor="text1"/>
          <w:sz w:val="16"/>
          <w:szCs w:val="16"/>
        </w:rPr>
        <w:t xml:space="preserve"> </w:t>
      </w:r>
      <w:r w:rsidR="00864149" w:rsidRPr="00C112B6">
        <w:rPr>
          <w:rFonts w:ascii="Arial" w:hAnsi="Arial" w:cs="Arial"/>
          <w:i/>
          <w:color w:val="000000" w:themeColor="text1"/>
          <w:sz w:val="16"/>
          <w:szCs w:val="16"/>
        </w:rPr>
        <w:t xml:space="preserve">Net Metering in </w:t>
      </w:r>
      <w:r w:rsidRPr="00C112B6">
        <w:rPr>
          <w:rFonts w:ascii="Arial" w:hAnsi="Arial" w:cs="Arial"/>
          <w:color w:val="000000" w:themeColor="text1"/>
          <w:sz w:val="16"/>
          <w:szCs w:val="16"/>
        </w:rPr>
        <w:t>Ontario</w:t>
      </w:r>
      <w:r w:rsidR="00864149" w:rsidRPr="00C112B6">
        <w:rPr>
          <w:rFonts w:ascii="Arial" w:hAnsi="Arial" w:cs="Arial"/>
          <w:color w:val="000000" w:themeColor="text1"/>
          <w:sz w:val="16"/>
          <w:szCs w:val="16"/>
        </w:rPr>
        <w:t xml:space="preserve"> (n.d.); </w:t>
      </w:r>
      <w:r w:rsidRPr="00C112B6">
        <w:rPr>
          <w:rFonts w:ascii="Arial" w:hAnsi="Arial" w:cs="Arial"/>
          <w:color w:val="000000" w:themeColor="text1"/>
          <w:sz w:val="16"/>
          <w:szCs w:val="16"/>
        </w:rPr>
        <w:t>http</w:t>
      </w:r>
      <w:r w:rsidR="00864149" w:rsidRPr="00C112B6">
        <w:rPr>
          <w:rFonts w:ascii="Arial" w:hAnsi="Arial" w:cs="Arial"/>
          <w:color w:val="000000" w:themeColor="text1"/>
          <w:sz w:val="16"/>
          <w:szCs w:val="16"/>
        </w:rPr>
        <w:t>://www.mei.gov.on.ca/en/pdf/renewable/NetMeteringBrochure.pdf.</w:t>
      </w:r>
    </w:p>
    <w:p w:rsidR="00DA2A60" w:rsidRDefault="00ED05F0">
      <w:r w:rsidRPr="00DA2C97">
        <w:t>The New York State Energy Research Development Authority (NYSERDA)</w:t>
      </w:r>
      <w:r>
        <w:t xml:space="preserve"> provides financial incentives to grid-connected PV systems on a first-come, first-served basis. To fund this program, on October 28, 2008, the New York Public Service Commission allocated $20.6 million to the customer-cited tier of the state’s RPS. The program has requirements for interconnection and net metering and the use of eligible installers only. The program provides 40 to 45% of the PV system costs.</w:t>
      </w:r>
    </w:p>
    <w:p w:rsidR="00ED05F0" w:rsidRPr="00335F95" w:rsidRDefault="00ED05F0" w:rsidP="00073277">
      <w:r>
        <w:t>In Ontario, the Ontario Power Authority has the responsibility for what they consider to be North America’s first comprehensive FIT.</w:t>
      </w:r>
      <w:r w:rsidR="00BC552A" w:rsidRPr="00BC552A">
        <w:rPr>
          <w:rStyle w:val="FootnoteReference"/>
          <w:sz w:val="22"/>
        </w:rPr>
        <w:footnoteReference w:id="286"/>
      </w:r>
      <w:r>
        <w:t xml:space="preserve"> Recently</w:t>
      </w:r>
      <w:r w:rsidR="00753E91">
        <w:t>,</w:t>
      </w:r>
      <w:r>
        <w:t xml:space="preserve"> OPA awarded 184 renewable projects, 76 of which are ground-mounted PV under its FIT program</w:t>
      </w:r>
      <w:r w:rsidRPr="00335F95">
        <w:t>.</w:t>
      </w:r>
      <w:r w:rsidRPr="00335F95">
        <w:rPr>
          <w:rStyle w:val="FootnoteReference"/>
          <w:sz w:val="22"/>
        </w:rPr>
        <w:footnoteReference w:id="287"/>
      </w:r>
    </w:p>
    <w:p w:rsidR="001B3090" w:rsidRDefault="00ED05F0">
      <w:pPr>
        <w:pStyle w:val="Heading2"/>
      </w:pPr>
      <w:bookmarkStart w:id="766" w:name="_Toc239157132"/>
      <w:bookmarkStart w:id="767" w:name="_Toc271632312"/>
      <w:r w:rsidRPr="006779DE">
        <w:t>Summary</w:t>
      </w:r>
      <w:bookmarkEnd w:id="766"/>
      <w:bookmarkEnd w:id="767"/>
    </w:p>
    <w:p w:rsidR="00ED05F0" w:rsidRDefault="00ED05F0" w:rsidP="00073277">
      <w:r>
        <w:t>The ISO actively is implementing several smart grid projects, and several smart grid technologies have successfully been integrated into the transmission system. Additional research and development efforts are necessary to develop technical standards and business practices to fully use smart grid technologies on the distribution system and at consumer locations. Developing standards of smart grid technologies is a major area of focus at the national level, which the ISO is following. The potential for use of phasor measurement systems is one smart grid technology of particular interest to the ISO. DOE has granted funding for a project that will install over 30 additional phasor measurement units in the region. Phasor measurement units can provide vital information that would improve the overall efficiency and security of power system operations.</w:t>
      </w:r>
    </w:p>
    <w:p w:rsidR="00EE2603" w:rsidRDefault="00ED05F0" w:rsidP="00EE2603">
      <w:r>
        <w:t>The ISO has made progress on several projects</w:t>
      </w:r>
      <w:r w:rsidR="00335F95">
        <w:t xml:space="preserve"> that</w:t>
      </w:r>
      <w:r>
        <w:t xml:space="preserve"> will improve the integration of new technologies. Large amounts of active demand resources are being successfully integrated into the New England system through improvements to the </w:t>
      </w:r>
      <w:r>
        <w:rPr>
          <w:lang w:val="en-GB"/>
        </w:rPr>
        <w:t xml:space="preserve">ISO’s markets, </w:t>
      </w:r>
      <w:r w:rsidRPr="00D3086E">
        <w:rPr>
          <w:lang w:val="en-GB"/>
        </w:rPr>
        <w:t>system planning</w:t>
      </w:r>
      <w:r>
        <w:rPr>
          <w:lang w:val="en-GB"/>
        </w:rPr>
        <w:t>, and</w:t>
      </w:r>
      <w:r w:rsidRPr="00D3086E">
        <w:rPr>
          <w:lang w:val="en-GB"/>
        </w:rPr>
        <w:t xml:space="preserve"> system </w:t>
      </w:r>
      <w:r>
        <w:rPr>
          <w:lang w:val="en-GB"/>
        </w:rPr>
        <w:t>operations</w:t>
      </w:r>
      <w:r>
        <w:t xml:space="preserve">. Dynamic line rating and the use of FACTS hold promise for more reliable and economic operation of the power system. </w:t>
      </w:r>
    </w:p>
    <w:p w:rsidR="00ED05F0" w:rsidRDefault="00EE2603" w:rsidP="00EE2603">
      <w:pPr>
        <w:sectPr w:rsidR="00ED05F0" w:rsidSect="00015282">
          <w:footerReference w:type="default" r:id="rId75"/>
          <w:pgSz w:w="12240" w:h="15840"/>
          <w:pgMar w:top="1350" w:right="1440" w:bottom="1440" w:left="1440" w:header="720" w:footer="720" w:gutter="0"/>
          <w:cols w:space="720"/>
          <w:docGrid w:linePitch="360"/>
        </w:sectPr>
      </w:pPr>
      <w:r>
        <w:t>Two industry studies, one by NERC and one by the IRC, have helped explore issues with integrating variable-output</w:t>
      </w:r>
      <w:r w:rsidR="002E3111">
        <w:t>,</w:t>
      </w:r>
      <w:r>
        <w:t xml:space="preserve"> </w:t>
      </w:r>
      <w:r w:rsidR="002E3111">
        <w:t xml:space="preserve">renewable </w:t>
      </w:r>
      <w:r>
        <w:t xml:space="preserve">generation resources. New England currently has 200 MW of wind operating on the system, and the ISO queue has 3,100 MW of wind projects in the planning stage, two-thirds of which are onshore projects and one-third, offshore. </w:t>
      </w:r>
      <w:r w:rsidR="002E3111">
        <w:t>The</w:t>
      </w:r>
      <w:r>
        <w:t xml:space="preserve"> ISO is conducting a large</w:t>
      </w:r>
      <w:r w:rsidR="002E3111">
        <w:t>-</w:t>
      </w:r>
      <w:r>
        <w:t xml:space="preserve">scale detailed wind integration study that will help indicate any changes </w:t>
      </w:r>
      <w:r w:rsidR="002E3111">
        <w:t xml:space="preserve">that would be </w:t>
      </w:r>
      <w:r>
        <w:t>needed in operating procedures, manuals</w:t>
      </w:r>
      <w:r w:rsidR="002E3111">
        <w:t xml:space="preserve">, </w:t>
      </w:r>
      <w:r>
        <w:t xml:space="preserve">and the </w:t>
      </w:r>
      <w:r w:rsidR="002E3111">
        <w:t>t</w:t>
      </w:r>
      <w:r>
        <w:t xml:space="preserve">ariff </w:t>
      </w:r>
      <w:r w:rsidR="002E3111">
        <w:t xml:space="preserve">to accommodate the integration of </w:t>
      </w:r>
      <w:r>
        <w:t>larger amounts of wind to the system.</w:t>
      </w:r>
      <w:r w:rsidR="002E3111">
        <w:t xml:space="preserve"> </w:t>
      </w:r>
      <w:r>
        <w:t xml:space="preserve">New England has around 20 MW of solar PV installations. Some states </w:t>
      </w:r>
      <w:r w:rsidR="002E3111">
        <w:t xml:space="preserve">in the region </w:t>
      </w:r>
      <w:r>
        <w:t>have goals for solar installations</w:t>
      </w:r>
      <w:r w:rsidR="002E3111">
        <w:t>,</w:t>
      </w:r>
      <w:r>
        <w:t xml:space="preserve"> and all states have some </w:t>
      </w:r>
      <w:r w:rsidR="00335F95">
        <w:t xml:space="preserve">solar </w:t>
      </w:r>
      <w:r>
        <w:t>incentives</w:t>
      </w:r>
      <w:r w:rsidR="002E3111">
        <w:t>,</w:t>
      </w:r>
      <w:r>
        <w:t xml:space="preserve"> such as rebates</w:t>
      </w:r>
      <w:r w:rsidR="002E3111">
        <w:t>,</w:t>
      </w:r>
      <w:r>
        <w:t xml:space="preserve"> grants</w:t>
      </w:r>
      <w:r w:rsidR="002E3111">
        <w:t>,</w:t>
      </w:r>
      <w:r>
        <w:t xml:space="preserve"> and feed-in-tariffs.</w:t>
      </w:r>
    </w:p>
    <w:p w:rsidR="00B83739" w:rsidRPr="00936972" w:rsidRDefault="00B83739" w:rsidP="00DF39BB">
      <w:pPr>
        <w:pStyle w:val="Heading1"/>
      </w:pPr>
      <w:bookmarkStart w:id="768" w:name="_Toc86207208"/>
      <w:bookmarkStart w:id="769" w:name="_Toc201669989"/>
      <w:bookmarkStart w:id="770" w:name="_Ref202010016"/>
      <w:bookmarkStart w:id="771" w:name="_Ref202177642"/>
      <w:bookmarkStart w:id="772" w:name="_Ref202421766"/>
      <w:bookmarkStart w:id="773" w:name="_Ref203897352"/>
      <w:bookmarkStart w:id="774" w:name="_Toc207531887"/>
      <w:r w:rsidRPr="00936972">
        <w:br/>
      </w:r>
      <w:bookmarkStart w:id="775" w:name="_Ref234901949"/>
      <w:bookmarkStart w:id="776" w:name="_Toc239157133"/>
      <w:bookmarkStart w:id="777" w:name="_Toc271632313"/>
      <w:bookmarkStart w:id="778" w:name="_Ref230942538"/>
      <w:r w:rsidRPr="00936972">
        <w:t>System Performance and Production Cost Studies</w:t>
      </w:r>
      <w:bookmarkEnd w:id="768"/>
      <w:bookmarkEnd w:id="769"/>
      <w:bookmarkEnd w:id="770"/>
      <w:bookmarkEnd w:id="771"/>
      <w:bookmarkEnd w:id="772"/>
      <w:bookmarkEnd w:id="773"/>
      <w:bookmarkEnd w:id="774"/>
      <w:bookmarkEnd w:id="775"/>
      <w:bookmarkEnd w:id="776"/>
      <w:bookmarkEnd w:id="777"/>
      <w:r w:rsidRPr="00936972">
        <w:t xml:space="preserve"> </w:t>
      </w:r>
      <w:bookmarkEnd w:id="778"/>
    </w:p>
    <w:p w:rsidR="00B83739" w:rsidRDefault="00832C7A" w:rsidP="00073277">
      <w:r>
        <w:rPr>
          <w:noProof/>
        </w:rPr>
        <w:pict>
          <v:shape id="_x0000_s1035" type="#_x0000_t202" style="position:absolute;margin-left:6918.85pt;margin-top:63.6pt;width:200.9pt;height:223.8pt;z-index:251717632;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5" inset="8.64pt,8.64pt,8.64pt,8.64pt">
              <w:txbxContent>
                <w:p w:rsidR="003C78A4" w:rsidRDefault="003C78A4">
                  <w:pPr>
                    <w:pStyle w:val="BodyText1"/>
                  </w:pPr>
                  <w:r>
                    <w:t xml:space="preserve">“The ISO shall, among other things . . . (iv) provide sufficient information to allow Market Participants to access the quantity, general locations, operating characteristics and required availability criteria of the type of incremental supply and demand-side resources, or merchant transmission projects, that would satisfy the identified needs or that may serve to modify, offset or defer proposed regulated transmission upgrades.” </w:t>
                  </w:r>
                  <w:r w:rsidRPr="008D163C">
                    <w:t>(Attachment K, §</w:t>
                  </w:r>
                  <w:r>
                    <w:t xml:space="preserve"> 3</w:t>
                  </w:r>
                  <w:r w:rsidRPr="008D163C">
                    <w:t>.1)</w:t>
                  </w:r>
                </w:p>
                <w:p w:rsidR="003C78A4" w:rsidRPr="008D163C" w:rsidRDefault="003C78A4">
                  <w:pPr>
                    <w:pStyle w:val="BodyText1"/>
                  </w:pPr>
                  <w:r w:rsidRPr="008D163C">
                    <w:t>“The ISO’s stakeholders may request the ISO to initiate a Needs Assessment to evaluate potential regulated transmission solutions or market responses or investments that could result in (i) a net reduction in total production cost to supply system load based on the factors specified in Attachment N of this OATT, (ii) reduced congestion, or (iii) the integration of new resources and/or loads on an aggregate or regional basis (an “Economic Study”)</w:t>
                  </w:r>
                  <w:r>
                    <w:t>.</w:t>
                  </w:r>
                  <w:r w:rsidRPr="008D163C">
                    <w:t>” (Attachment K, §</w:t>
                  </w:r>
                  <w:r>
                    <w:t xml:space="preserve"> </w:t>
                  </w:r>
                  <w:r w:rsidRPr="008D163C">
                    <w:t>4.1)</w:t>
                  </w:r>
                </w:p>
              </w:txbxContent>
            </v:textbox>
            <w10:wrap type="square" anchorx="margin" anchory="margin"/>
          </v:shape>
        </w:pict>
      </w:r>
      <w:r w:rsidR="00B83739" w:rsidRPr="00927E4D">
        <w:t xml:space="preserve">ISO New England </w:t>
      </w:r>
      <w:r w:rsidR="00B83739" w:rsidRPr="00AE72A2">
        <w:t>conducts</w:t>
      </w:r>
      <w:r w:rsidR="00AE72A2">
        <w:t xml:space="preserve"> </w:t>
      </w:r>
      <w:r w:rsidR="00B83739" w:rsidRPr="00AE72A2">
        <w:t>economic planning studies each year, as specified</w:t>
      </w:r>
      <w:r w:rsidR="00B83739" w:rsidRPr="002839FF">
        <w:t xml:space="preserve"> in </w:t>
      </w:r>
      <w:r w:rsidR="00205075" w:rsidRPr="00F4189F">
        <w:t>Attachment K of the OATT</w:t>
      </w:r>
      <w:r w:rsidR="00B83739" w:rsidRPr="00F4189F">
        <w:t>. The economic</w:t>
      </w:r>
      <w:r w:rsidR="00B83739">
        <w:t xml:space="preserve"> studies provide</w:t>
      </w:r>
      <w:r w:rsidR="00B83739" w:rsidRPr="008632FF">
        <w:t xml:space="preserve"> </w:t>
      </w:r>
      <w:r w:rsidR="00B83739">
        <w:t>i</w:t>
      </w:r>
      <w:r w:rsidR="00B83739" w:rsidRPr="008632FF">
        <w:t>nformation</w:t>
      </w:r>
      <w:r w:rsidR="00B83739" w:rsidRPr="002069D8">
        <w:t xml:space="preserve"> on system performance, such as estimated production costs, load-serving</w:t>
      </w:r>
      <w:r w:rsidR="00B83739">
        <w:t>-</w:t>
      </w:r>
      <w:r w:rsidR="00B83739" w:rsidRPr="002069D8">
        <w:t xml:space="preserve">entity energy expenses, </w:t>
      </w:r>
      <w:r w:rsidR="00B83739">
        <w:t xml:space="preserve">estimates of transmission congestion, </w:t>
      </w:r>
      <w:r w:rsidR="00B83739" w:rsidRPr="002069D8">
        <w:t>and environmental metrics</w:t>
      </w:r>
      <w:r w:rsidR="00B83739">
        <w:t xml:space="preserve">. This </w:t>
      </w:r>
      <w:r w:rsidR="00B83739" w:rsidRPr="002069D8">
        <w:t xml:space="preserve">information </w:t>
      </w:r>
      <w:r w:rsidR="00B83739" w:rsidRPr="008632FF">
        <w:t>can assist market participants and other stakeholders in evaluating various resource and transmission options for participating in New England’s wholesale electricity markets</w:t>
      </w:r>
      <w:r w:rsidR="00B83739">
        <w:t>. The studies may also assist policymakers who formulate strategic visions of the future power system</w:t>
      </w:r>
      <w:r w:rsidR="00B83739" w:rsidRPr="008632FF">
        <w:t>.</w:t>
      </w:r>
      <w:r w:rsidR="00B83739">
        <w:t xml:space="preserve"> </w:t>
      </w:r>
    </w:p>
    <w:p w:rsidR="00B83739" w:rsidRDefault="00B83739" w:rsidP="00073277">
      <w:r>
        <w:t xml:space="preserve">The economic study process is consistent with ISO’s open stakeholder planning process. </w:t>
      </w:r>
      <w:r w:rsidRPr="00927E4D">
        <w:t xml:space="preserve">Stakeholders submit economic study requests to </w:t>
      </w:r>
      <w:r>
        <w:t xml:space="preserve">the </w:t>
      </w:r>
      <w:r w:rsidRPr="00927E4D">
        <w:t>ISO by April 1 of each year</w:t>
      </w:r>
      <w:r w:rsidRPr="002839FF">
        <w:t>.</w:t>
      </w:r>
      <w:r w:rsidR="00703F7C" w:rsidRPr="00F171AB">
        <w:rPr>
          <w:rStyle w:val="FootnoteReference"/>
          <w:sz w:val="22"/>
        </w:rPr>
        <w:footnoteReference w:id="288"/>
      </w:r>
      <w:r w:rsidRPr="002839FF">
        <w:t xml:space="preserve"> The requests may be to study scenarios of general locations and resource types for resource expansion,</w:t>
      </w:r>
      <w:r w:rsidRPr="00927E4D">
        <w:t xml:space="preserve"> </w:t>
      </w:r>
      <w:r>
        <w:t xml:space="preserve">resource </w:t>
      </w:r>
      <w:r w:rsidRPr="00927E4D">
        <w:t>retirement</w:t>
      </w:r>
      <w:r>
        <w:t xml:space="preserve">s, and </w:t>
      </w:r>
      <w:r w:rsidRPr="00927E4D">
        <w:t xml:space="preserve">possible changes to transmission interface limits. </w:t>
      </w:r>
      <w:r>
        <w:t>By May 1 of each year, t</w:t>
      </w:r>
      <w:r w:rsidRPr="00927E4D">
        <w:t xml:space="preserve">he proponents of these studies are provided an opportunity to present </w:t>
      </w:r>
      <w:r>
        <w:t xml:space="preserve">the </w:t>
      </w:r>
      <w:r w:rsidRPr="00927E4D">
        <w:t xml:space="preserve">PAC with the reasons for the suggested study. </w:t>
      </w:r>
      <w:r>
        <w:t xml:space="preserve">The </w:t>
      </w:r>
      <w:r w:rsidRPr="00927E4D">
        <w:t xml:space="preserve">ISO discusses a draft scope </w:t>
      </w:r>
      <w:r w:rsidRPr="00725E50">
        <w:t xml:space="preserve">of work with the PAC by June 1 and reviews the study assumptions with the PAC at later meetings. The ISO then </w:t>
      </w:r>
      <w:r w:rsidR="003174D8" w:rsidRPr="00725E50">
        <w:t>performs up to three economic studies</w:t>
      </w:r>
      <w:r w:rsidRPr="00725E50">
        <w:t xml:space="preserve"> and</w:t>
      </w:r>
      <w:r w:rsidRPr="00927E4D">
        <w:t xml:space="preserve"> reviews all draft results with the </w:t>
      </w:r>
      <w:r w:rsidRPr="00B01F20">
        <w:t>PAC.</w:t>
      </w:r>
    </w:p>
    <w:p w:rsidR="00B83739" w:rsidRDefault="00B83739" w:rsidP="00073277">
      <w:r w:rsidRPr="002069D8">
        <w:t xml:space="preserve">The </w:t>
      </w:r>
      <w:r>
        <w:t>economic studies use</w:t>
      </w:r>
      <w:r w:rsidRPr="002069D8">
        <w:t xml:space="preserve"> assumptions for factors </w:t>
      </w:r>
      <w:r>
        <w:t xml:space="preserve">such </w:t>
      </w:r>
      <w:r w:rsidRPr="002069D8">
        <w:t>as fuel prices, unit availability, and load growth, all of which could affect system performance</w:t>
      </w:r>
      <w:r>
        <w:t xml:space="preserve"> metrics</w:t>
      </w:r>
      <w:r w:rsidRPr="002069D8">
        <w:t xml:space="preserve">. Because all the assumptions </w:t>
      </w:r>
      <w:r>
        <w:t xml:space="preserve">are </w:t>
      </w:r>
      <w:r w:rsidRPr="002069D8">
        <w:t xml:space="preserve">uncertain, the modeling results indicate relative values and trends and </w:t>
      </w:r>
      <w:r>
        <w:t xml:space="preserve">are </w:t>
      </w:r>
      <w:r w:rsidRPr="002069D8">
        <w:t xml:space="preserve">not </w:t>
      </w:r>
      <w:r>
        <w:t>intended to be accurate</w:t>
      </w:r>
      <w:r w:rsidRPr="002069D8">
        <w:t xml:space="preserve"> projections of future </w:t>
      </w:r>
      <w:r>
        <w:t>congestion, ultimate project economics, and environmental impacts</w:t>
      </w:r>
      <w:r w:rsidRPr="002069D8">
        <w:t>.</w:t>
      </w:r>
    </w:p>
    <w:p w:rsidR="00B83739" w:rsidRDefault="00B83739" w:rsidP="00073277">
      <w:r w:rsidRPr="004D7AEA">
        <w:t xml:space="preserve">This section provides an overview of the </w:t>
      </w:r>
      <w:r>
        <w:t xml:space="preserve">status of </w:t>
      </w:r>
      <w:r w:rsidRPr="004D7AEA">
        <w:t xml:space="preserve">economic </w:t>
      </w:r>
      <w:r>
        <w:t>studies conducted in response to stakeholder requests received in 2009</w:t>
      </w:r>
      <w:r w:rsidRPr="004D7AEA">
        <w:t>.</w:t>
      </w:r>
      <w:r>
        <w:t xml:space="preserve"> Additional details and discussion of the simulation assumptions and results are documented in supplemental presentations </w:t>
      </w:r>
      <w:r w:rsidR="00022504">
        <w:t xml:space="preserve">made to </w:t>
      </w:r>
      <w:r>
        <w:t xml:space="preserve">the PAC and other </w:t>
      </w:r>
      <w:r w:rsidRPr="00A13D3E">
        <w:t>report</w:t>
      </w:r>
      <w:r>
        <w:t>s</w:t>
      </w:r>
      <w:r w:rsidRPr="00A13D3E">
        <w:t>.</w:t>
      </w:r>
      <w:r w:rsidRPr="007C099B">
        <w:rPr>
          <w:rStyle w:val="FootnoteReference"/>
          <w:sz w:val="22"/>
        </w:rPr>
        <w:footnoteReference w:id="289"/>
      </w:r>
      <w:r>
        <w:t xml:space="preserve"> This section also discusses economic study requests received in 2010.</w:t>
      </w:r>
      <w:r w:rsidRPr="00F171AB">
        <w:rPr>
          <w:rStyle w:val="FootnoteReference"/>
          <w:sz w:val="22"/>
        </w:rPr>
        <w:footnoteReference w:id="290"/>
      </w:r>
      <w:r>
        <w:t xml:space="preserve"> </w:t>
      </w:r>
    </w:p>
    <w:p w:rsidR="001B3090" w:rsidRDefault="00B83739">
      <w:pPr>
        <w:pStyle w:val="Heading2"/>
      </w:pPr>
      <w:bookmarkStart w:id="779" w:name="_Ref266631752"/>
      <w:bookmarkStart w:id="780" w:name="_Toc271632314"/>
      <w:r>
        <w:t>2030 Power System Study for New England Governors</w:t>
      </w:r>
      <w:bookmarkEnd w:id="779"/>
      <w:bookmarkEnd w:id="780"/>
      <w:r>
        <w:t xml:space="preserve"> </w:t>
      </w:r>
    </w:p>
    <w:p w:rsidR="00B83739" w:rsidRDefault="00B83739" w:rsidP="00073277">
      <w:r w:rsidRPr="008310D8">
        <w:t xml:space="preserve">As part of the economic study request by the New England governors in 2009, the ISO provided technical support for developing a </w:t>
      </w:r>
      <w:r w:rsidR="00BA6D10">
        <w:t>“</w:t>
      </w:r>
      <w:r w:rsidRPr="008310D8">
        <w:t>blueprint</w:t>
      </w:r>
      <w:r w:rsidR="00BA6D10">
        <w:t>”</w:t>
      </w:r>
      <w:r w:rsidRPr="008310D8">
        <w:t xml:space="preserve"> for integrating large-scale renewable energy resources into the region’s electric power grid</w:t>
      </w:r>
      <w:r>
        <w:t xml:space="preserve">. The resources in this study </w:t>
      </w:r>
      <w:r w:rsidRPr="008310D8">
        <w:t xml:space="preserve">primarily </w:t>
      </w:r>
      <w:r>
        <w:t xml:space="preserve">were </w:t>
      </w:r>
      <w:r w:rsidRPr="008310D8">
        <w:t>wind resources</w:t>
      </w:r>
      <w:r>
        <w:t xml:space="preserve"> within New England</w:t>
      </w:r>
      <w:r w:rsidRPr="00FC58A9">
        <w:t xml:space="preserve"> </w:t>
      </w:r>
      <w:r w:rsidRPr="00C45B15">
        <w:t>and imports of wind and hydro</w:t>
      </w:r>
      <w:r>
        <w:t>electric</w:t>
      </w:r>
      <w:r w:rsidRPr="00C45B15">
        <w:t xml:space="preserve"> power from </w:t>
      </w:r>
      <w:r w:rsidR="00AE72A2">
        <w:t>e</w:t>
      </w:r>
      <w:r w:rsidRPr="00C45B15">
        <w:t>astern Canada. Additionally, for comparison purposes, the study assesse</w:t>
      </w:r>
      <w:r>
        <w:t>d</w:t>
      </w:r>
      <w:r w:rsidRPr="00C45B15">
        <w:t xml:space="preserve"> the regional impacts of large-scale wind development in the Midwest for long-dist</w:t>
      </w:r>
      <w:r>
        <w:t>ance delivery to the Northeast.</w:t>
      </w:r>
      <w:r w:rsidR="00AE72A2">
        <w:t xml:space="preserve"> </w:t>
      </w:r>
      <w:r w:rsidRPr="008310D8">
        <w:t xml:space="preserve">The targeted level of wind integration, up to 12,000 MW of nameplate capacity, is consistent with the ISO’s wind integration </w:t>
      </w:r>
      <w:r w:rsidRPr="00AE72A2">
        <w:t>study (see Section </w:t>
      </w:r>
      <w:r w:rsidR="00832C7A">
        <w:fldChar w:fldCharType="begin"/>
      </w:r>
      <w:r w:rsidR="00AE72A2">
        <w:instrText xml:space="preserve"> REF _Ref266559811 \r \h </w:instrText>
      </w:r>
      <w:r w:rsidR="00832C7A">
        <w:fldChar w:fldCharType="separate"/>
      </w:r>
      <w:r w:rsidR="00E5699E">
        <w:t>9.3.2.2</w:t>
      </w:r>
      <w:r w:rsidR="00832C7A">
        <w:fldChar w:fldCharType="end"/>
      </w:r>
      <w:r w:rsidRPr="00AE72A2">
        <w:t>).</w:t>
      </w:r>
      <w:r w:rsidRPr="00831239">
        <w:t xml:space="preserve"> </w:t>
      </w:r>
    </w:p>
    <w:p w:rsidR="00B83739" w:rsidRPr="00FC58A9" w:rsidRDefault="00B83739" w:rsidP="00073277">
      <w:r w:rsidRPr="00C45B15">
        <w:t>A scenario analysis</w:t>
      </w:r>
      <w:r w:rsidR="00032B2F">
        <w:t>,</w:t>
      </w:r>
      <w:r w:rsidRPr="00C45B15">
        <w:t xml:space="preserve"> or “what</w:t>
      </w:r>
      <w:r w:rsidR="002427AA">
        <w:t>-</w:t>
      </w:r>
      <w:r w:rsidRPr="00C45B15">
        <w:t>if” approach</w:t>
      </w:r>
      <w:r w:rsidR="00032B2F">
        <w:t>,</w:t>
      </w:r>
      <w:r w:rsidRPr="00C45B15">
        <w:t xml:space="preserve"> was used to evaluate several resource scenarios and assumptions for a single year in the 2030 timeframe. A 20-year view was selected to allow for the consideration of </w:t>
      </w:r>
      <w:r>
        <w:t>large-scale development of wind and other</w:t>
      </w:r>
      <w:r w:rsidRPr="00C45B15">
        <w:t xml:space="preserve"> emerging technologies. </w:t>
      </w:r>
      <w:r w:rsidRPr="008310D8">
        <w:rPr>
          <w:rFonts w:cs="Times New Roman"/>
        </w:rPr>
        <w:t>The study approach evaluate</w:t>
      </w:r>
      <w:r>
        <w:rPr>
          <w:rFonts w:cs="Times New Roman"/>
        </w:rPr>
        <w:t>d</w:t>
      </w:r>
      <w:r w:rsidRPr="008310D8">
        <w:rPr>
          <w:rFonts w:cs="Times New Roman"/>
        </w:rPr>
        <w:t xml:space="preserve"> specific economic and environmental characteristics of a range of future resource scenarios; it </w:t>
      </w:r>
      <w:r>
        <w:rPr>
          <w:rFonts w:cs="Times New Roman"/>
        </w:rPr>
        <w:t xml:space="preserve">did </w:t>
      </w:r>
      <w:r w:rsidRPr="008310D8">
        <w:rPr>
          <w:rFonts w:cs="Times New Roman"/>
        </w:rPr>
        <w:t>not add resources to meet projections of future demand for electricity</w:t>
      </w:r>
      <w:r w:rsidR="00410FF8">
        <w:rPr>
          <w:rFonts w:cs="Times New Roman"/>
        </w:rPr>
        <w:t xml:space="preserve">, and it did not </w:t>
      </w:r>
      <w:r w:rsidRPr="008310D8">
        <w:rPr>
          <w:rFonts w:cs="Times New Roman"/>
        </w:rPr>
        <w:t xml:space="preserve">add specific types of resources to meet any particular state or federal policy objectives. </w:t>
      </w:r>
    </w:p>
    <w:p w:rsidR="00AE72A2" w:rsidRDefault="00B83739" w:rsidP="00073277">
      <w:r w:rsidRPr="008310D8">
        <w:t xml:space="preserve">The states developed the study assumptions with technical support from the ISO. </w:t>
      </w:r>
      <w:r w:rsidR="00AE72A2">
        <w:t>A</w:t>
      </w:r>
      <w:r w:rsidRPr="008310D8">
        <w:t>ssumptions</w:t>
      </w:r>
      <w:r w:rsidR="00AE72A2">
        <w:t xml:space="preserve"> were developed for the following factors:</w:t>
      </w:r>
    </w:p>
    <w:p w:rsidR="006A7038" w:rsidRDefault="00AE72A2" w:rsidP="00BB34F0">
      <w:pPr>
        <w:numPr>
          <w:ilvl w:val="0"/>
          <w:numId w:val="53"/>
        </w:numPr>
        <w:spacing w:after="80"/>
      </w:pPr>
      <w:r>
        <w:t>D</w:t>
      </w:r>
      <w:r w:rsidR="00B83739" w:rsidRPr="008310D8">
        <w:t>emand and supply levels for New England</w:t>
      </w:r>
    </w:p>
    <w:p w:rsidR="006A7038" w:rsidRDefault="00AE72A2" w:rsidP="00BB34F0">
      <w:pPr>
        <w:numPr>
          <w:ilvl w:val="0"/>
          <w:numId w:val="53"/>
        </w:numPr>
        <w:spacing w:after="80"/>
      </w:pPr>
      <w:r>
        <w:t>R</w:t>
      </w:r>
      <w:r w:rsidR="00B83739" w:rsidRPr="008310D8">
        <w:t>epresentative future Installed Capacity Requirements</w:t>
      </w:r>
      <w:r w:rsidR="00B83739">
        <w:t xml:space="preserve"> (</w:t>
      </w:r>
      <w:r w:rsidR="00B83739" w:rsidRPr="002839FF">
        <w:t xml:space="preserve">see Section </w:t>
      </w:r>
      <w:r w:rsidR="00832C7A">
        <w:fldChar w:fldCharType="begin"/>
      </w:r>
      <w:r>
        <w:instrText xml:space="preserve"> REF _Ref266559888 \r \h </w:instrText>
      </w:r>
      <w:r w:rsidR="00832C7A">
        <w:fldChar w:fldCharType="separate"/>
      </w:r>
      <w:r w:rsidR="00E5699E">
        <w:t>4.1.1</w:t>
      </w:r>
      <w:r w:rsidR="00832C7A">
        <w:fldChar w:fldCharType="end"/>
      </w:r>
      <w:r w:rsidR="00B83739" w:rsidRPr="002839FF">
        <w:t>)</w:t>
      </w:r>
    </w:p>
    <w:p w:rsidR="006A7038" w:rsidRDefault="00AE72A2" w:rsidP="00BB34F0">
      <w:pPr>
        <w:numPr>
          <w:ilvl w:val="0"/>
          <w:numId w:val="53"/>
        </w:numPr>
        <w:spacing w:after="80"/>
      </w:pPr>
      <w:r>
        <w:t>D</w:t>
      </w:r>
      <w:r w:rsidR="00B83739" w:rsidRPr="002839FF">
        <w:t>emand-resource amounts</w:t>
      </w:r>
    </w:p>
    <w:p w:rsidR="006A7038" w:rsidRDefault="00153DDC" w:rsidP="00BB34F0">
      <w:pPr>
        <w:numPr>
          <w:ilvl w:val="0"/>
          <w:numId w:val="53"/>
        </w:numPr>
        <w:spacing w:after="80"/>
      </w:pPr>
      <w:r>
        <w:t>P</w:t>
      </w:r>
      <w:r w:rsidR="00B83739" w:rsidRPr="008310D8">
        <w:t>enetration and charging characteristics</w:t>
      </w:r>
      <w:r w:rsidRPr="00153DDC">
        <w:t xml:space="preserve"> </w:t>
      </w:r>
      <w:r>
        <w:t>of p</w:t>
      </w:r>
      <w:r w:rsidRPr="002839FF">
        <w:t>lug</w:t>
      </w:r>
      <w:r w:rsidRPr="008310D8">
        <w:t>-in electric vehicle</w:t>
      </w:r>
      <w:r>
        <w:t>s</w:t>
      </w:r>
    </w:p>
    <w:p w:rsidR="006A7038" w:rsidRDefault="00AE72A2" w:rsidP="00BB34F0">
      <w:pPr>
        <w:numPr>
          <w:ilvl w:val="0"/>
          <w:numId w:val="53"/>
        </w:numPr>
        <w:spacing w:after="80"/>
      </w:pPr>
      <w:r>
        <w:t>A</w:t>
      </w:r>
      <w:r w:rsidR="00B83739" w:rsidRPr="008310D8">
        <w:t xml:space="preserve"> Maine proposal for converting homes from oil to electric heat</w:t>
      </w:r>
    </w:p>
    <w:p w:rsidR="006A7038" w:rsidRDefault="00AE72A2" w:rsidP="00BB34F0">
      <w:pPr>
        <w:numPr>
          <w:ilvl w:val="0"/>
          <w:numId w:val="53"/>
        </w:numPr>
        <w:spacing w:after="80"/>
      </w:pPr>
      <w:r>
        <w:t>T</w:t>
      </w:r>
      <w:r w:rsidR="00B83739" w:rsidRPr="008310D8">
        <w:t>he level of existing resources (generation, demand resources, and imports)</w:t>
      </w:r>
    </w:p>
    <w:p w:rsidR="006A7038" w:rsidRDefault="00AE72A2" w:rsidP="00BB34F0">
      <w:pPr>
        <w:numPr>
          <w:ilvl w:val="0"/>
          <w:numId w:val="53"/>
        </w:numPr>
        <w:spacing w:after="80"/>
      </w:pPr>
      <w:r>
        <w:t>M</w:t>
      </w:r>
      <w:r w:rsidR="00B83739" w:rsidRPr="008310D8">
        <w:t>ultiple wind integration cases</w:t>
      </w:r>
    </w:p>
    <w:p w:rsidR="006A7038" w:rsidRDefault="00AE72A2" w:rsidP="00BB34F0">
      <w:pPr>
        <w:numPr>
          <w:ilvl w:val="0"/>
          <w:numId w:val="53"/>
        </w:numPr>
        <w:spacing w:after="80"/>
      </w:pPr>
      <w:r>
        <w:t>E</w:t>
      </w:r>
      <w:r w:rsidR="00B83739" w:rsidRPr="008310D8">
        <w:t>lectric energy storage</w:t>
      </w:r>
    </w:p>
    <w:p w:rsidR="006A7038" w:rsidRDefault="00AE72A2" w:rsidP="00BB34F0">
      <w:pPr>
        <w:numPr>
          <w:ilvl w:val="0"/>
          <w:numId w:val="53"/>
        </w:numPr>
        <w:spacing w:after="80"/>
      </w:pPr>
      <w:r>
        <w:t>T</w:t>
      </w:r>
      <w:r w:rsidR="00B83739" w:rsidRPr="008310D8">
        <w:t>he retirement of older oil- and coal-fired generators</w:t>
      </w:r>
    </w:p>
    <w:p w:rsidR="006A7038" w:rsidRDefault="00AE72A2" w:rsidP="00BB34F0">
      <w:pPr>
        <w:numPr>
          <w:ilvl w:val="0"/>
          <w:numId w:val="53"/>
        </w:numPr>
      </w:pPr>
      <w:r>
        <w:t>T</w:t>
      </w:r>
      <w:r w:rsidR="00B83739" w:rsidRPr="008310D8">
        <w:t>he expansion of interconnections with neighboring regions</w:t>
      </w:r>
    </w:p>
    <w:p w:rsidR="00B83739" w:rsidRDefault="00B83739" w:rsidP="00073277">
      <w:r w:rsidRPr="008310D8">
        <w:t>The study evaluated a range for most assumptions (i.e., low, medium, and high).</w:t>
      </w:r>
    </w:p>
    <w:p w:rsidR="00B83739" w:rsidRPr="002839FF" w:rsidRDefault="00B83739" w:rsidP="00073277">
      <w:r w:rsidRPr="00FC58A9">
        <w:t>The study’s primary findings indicate that New England has significant onshore and offshore wind</w:t>
      </w:r>
      <w:r w:rsidRPr="00C45B15">
        <w:t xml:space="preserve"> resources that could be developed and added to the </w:t>
      </w:r>
      <w:r>
        <w:t>electric power system</w:t>
      </w:r>
      <w:r w:rsidRPr="00C45B15">
        <w:t xml:space="preserve"> with appropriate transmission expansion. Analysis of the conceptual transmission required to support the integration of New England wind resources indicates that connecting certain offshore wind </w:t>
      </w:r>
      <w:r w:rsidR="003C0AB2">
        <w:t xml:space="preserve">resources </w:t>
      </w:r>
      <w:r w:rsidRPr="00C45B15">
        <w:t xml:space="preserve">results in the most cost-effective use of new and existing transmission—because it also allows for the integration of </w:t>
      </w:r>
      <w:r w:rsidRPr="00725E50">
        <w:t xml:space="preserve">some </w:t>
      </w:r>
      <w:r w:rsidR="00821C68" w:rsidRPr="00725E50">
        <w:t xml:space="preserve">near-shore </w:t>
      </w:r>
      <w:r w:rsidR="00725E50" w:rsidRPr="00725E50">
        <w:t xml:space="preserve">and </w:t>
      </w:r>
      <w:r w:rsidR="00821C68" w:rsidRPr="00725E50">
        <w:t>onshore wind</w:t>
      </w:r>
      <w:r w:rsidR="00725E50" w:rsidRPr="00725E50">
        <w:t xml:space="preserve"> generation</w:t>
      </w:r>
      <w:r w:rsidRPr="00725E50">
        <w:t xml:space="preserve">. Renewable and low-carbon resources located nearby in </w:t>
      </w:r>
      <w:r w:rsidR="00D45D71" w:rsidRPr="00725E50">
        <w:t>e</w:t>
      </w:r>
      <w:r w:rsidRPr="00725E50">
        <w:t>astern</w:t>
      </w:r>
      <w:r w:rsidRPr="00C45B15">
        <w:t xml:space="preserve"> Canada </w:t>
      </w:r>
      <w:r w:rsidRPr="002839FF">
        <w:t>could be available to Ne</w:t>
      </w:r>
      <w:r w:rsidRPr="00DF433B">
        <w:t xml:space="preserve">w England with </w:t>
      </w:r>
      <w:r w:rsidR="00916387" w:rsidRPr="00DF433B">
        <w:t>t</w:t>
      </w:r>
      <w:r w:rsidRPr="00DF433B">
        <w:t xml:space="preserve">ransmission expansions to the Québec and New Brunswick power </w:t>
      </w:r>
      <w:r w:rsidR="00916387" w:rsidRPr="00DF433B">
        <w:t xml:space="preserve">systems, which are relatively modest </w:t>
      </w:r>
      <w:r w:rsidR="00BA6D10" w:rsidRPr="00DF433B">
        <w:t xml:space="preserve">expansion scenarios </w:t>
      </w:r>
      <w:r w:rsidR="00916387" w:rsidRPr="00DF433B">
        <w:t>compared with th</w:t>
      </w:r>
      <w:r w:rsidR="00BA6D10" w:rsidRPr="00DF433B">
        <w:t>e other conceptual transmission-</w:t>
      </w:r>
      <w:r w:rsidR="00916387" w:rsidRPr="00DF433B">
        <w:t xml:space="preserve">expansion </w:t>
      </w:r>
      <w:r w:rsidR="00BA6D10" w:rsidRPr="00DF433B">
        <w:t xml:space="preserve">scenarios </w:t>
      </w:r>
      <w:r w:rsidR="00916387" w:rsidRPr="00DF433B">
        <w:t>between New England and the Midwest.</w:t>
      </w:r>
      <w:r w:rsidR="00916387" w:rsidRPr="00153DDC">
        <w:rPr>
          <w:rStyle w:val="FootnoteReference"/>
          <w:sz w:val="22"/>
        </w:rPr>
        <w:footnoteReference w:id="291"/>
      </w:r>
    </w:p>
    <w:p w:rsidR="00B83739" w:rsidRPr="002839FF" w:rsidRDefault="00B83739" w:rsidP="00073277">
      <w:r w:rsidRPr="002839FF">
        <w:t>The 2009 study was issued in September 2009 to coincide with the governors’ “blueprint” (see Section </w:t>
      </w:r>
      <w:r w:rsidR="00832C7A">
        <w:fldChar w:fldCharType="begin"/>
      </w:r>
      <w:r w:rsidR="00D45D71">
        <w:instrText xml:space="preserve"> REF _Ref266560251 \r \h </w:instrText>
      </w:r>
      <w:r w:rsidR="00832C7A">
        <w:fldChar w:fldCharType="separate"/>
      </w:r>
      <w:r w:rsidR="00E5699E">
        <w:t>12.2.2</w:t>
      </w:r>
      <w:r w:rsidR="00832C7A">
        <w:fldChar w:fldCharType="end"/>
      </w:r>
      <w:r w:rsidRPr="002839FF">
        <w:t>) and was subsequently posted as a final report in February 2010.</w:t>
      </w:r>
      <w:r w:rsidRPr="002839FF">
        <w:rPr>
          <w:rStyle w:val="FootnoteReference"/>
          <w:color w:val="000000" w:themeColor="text1"/>
          <w:sz w:val="22"/>
        </w:rPr>
        <w:footnoteReference w:id="292"/>
      </w:r>
    </w:p>
    <w:p w:rsidR="001B3090" w:rsidRDefault="00B83739">
      <w:pPr>
        <w:pStyle w:val="Heading2"/>
      </w:pPr>
      <w:bookmarkStart w:id="781" w:name="_Toc271632315"/>
      <w:r w:rsidRPr="001E5580">
        <w:t>New York ISO</w:t>
      </w:r>
      <w:r w:rsidRPr="002839FF">
        <w:t>/ISO New England Economic Study</w:t>
      </w:r>
      <w:bookmarkEnd w:id="781"/>
      <w:r w:rsidRPr="002839FF">
        <w:t xml:space="preserve"> </w:t>
      </w:r>
    </w:p>
    <w:p w:rsidR="009F0CB1" w:rsidRDefault="00474AE1" w:rsidP="00073277">
      <w:r>
        <w:t xml:space="preserve">Another economic study request in 2009 was from </w:t>
      </w:r>
      <w:r w:rsidR="00ED4EC0">
        <w:t xml:space="preserve">the PAC and </w:t>
      </w:r>
      <w:r w:rsidR="009F0CB1">
        <w:t xml:space="preserve">interregional </w:t>
      </w:r>
      <w:r w:rsidR="00890D42" w:rsidRPr="00890D42">
        <w:t>stakeholders from the Inter-Area Planning Stakeholder Advisory Committee (IPSAC) to coordinate production cost</w:t>
      </w:r>
      <w:r w:rsidR="00ED4EC0">
        <w:t xml:space="preserve"> models with neighboring systems and examine the overall interregional system </w:t>
      </w:r>
      <w:r w:rsidR="00ED4EC0" w:rsidRPr="00577A74">
        <w:t>performance.</w:t>
      </w:r>
      <w:r w:rsidR="00916387" w:rsidRPr="009F0CB1">
        <w:rPr>
          <w:rStyle w:val="FootnoteReference"/>
          <w:sz w:val="22"/>
        </w:rPr>
        <w:footnoteReference w:id="293"/>
      </w:r>
      <w:r w:rsidR="00916387" w:rsidRPr="009F0CB1">
        <w:t xml:space="preserve"> </w:t>
      </w:r>
      <w:r w:rsidR="00916387" w:rsidRPr="00916387">
        <w:t>Similar</w:t>
      </w:r>
      <w:r w:rsidR="00B83739" w:rsidRPr="001E5580">
        <w:t xml:space="preserve"> to </w:t>
      </w:r>
      <w:r w:rsidR="009F0CB1">
        <w:t xml:space="preserve">the planning process requirements of </w:t>
      </w:r>
      <w:r w:rsidR="00B83739" w:rsidRPr="001E5580">
        <w:t>ISO New England</w:t>
      </w:r>
      <w:r w:rsidR="0003564D">
        <w:t>’s</w:t>
      </w:r>
      <w:r w:rsidR="00B83739" w:rsidRPr="001E5580">
        <w:t xml:space="preserve"> OATT</w:t>
      </w:r>
      <w:r w:rsidR="0003564D" w:rsidRPr="0003564D">
        <w:t xml:space="preserve"> </w:t>
      </w:r>
      <w:r w:rsidR="0003564D" w:rsidRPr="001E5580">
        <w:t>Attachment K</w:t>
      </w:r>
      <w:r w:rsidR="00B83739" w:rsidRPr="001E5580">
        <w:t xml:space="preserve">, the planning processes </w:t>
      </w:r>
      <w:r w:rsidR="00B83739" w:rsidRPr="00386744">
        <w:t xml:space="preserve">of </w:t>
      </w:r>
      <w:r w:rsidR="003174D8" w:rsidRPr="003174D8">
        <w:t xml:space="preserve">NYISO </w:t>
      </w:r>
      <w:r w:rsidR="00C814EB" w:rsidRPr="00E01E28">
        <w:t xml:space="preserve">and </w:t>
      </w:r>
      <w:r w:rsidR="003174D8" w:rsidRPr="003174D8">
        <w:t>PJM</w:t>
      </w:r>
      <w:r w:rsidR="00B83739" w:rsidRPr="00E01E28">
        <w:t xml:space="preserve"> (</w:t>
      </w:r>
      <w:r w:rsidR="00815B26">
        <w:t>each a NERC-registered p</w:t>
      </w:r>
      <w:r w:rsidR="00B83739" w:rsidRPr="00E01E28">
        <w:t xml:space="preserve">lanning </w:t>
      </w:r>
      <w:r w:rsidR="00815B26">
        <w:t>a</w:t>
      </w:r>
      <w:r w:rsidR="00B83739" w:rsidRPr="00E01E28">
        <w:t>uthority) require a forum for stakeholder review o</w:t>
      </w:r>
      <w:r w:rsidR="00B83739" w:rsidRPr="001E5580">
        <w:t xml:space="preserve">f economic studies. The studies provide information on system performance, such as estimated production costs, load-serving-entity energy expenses, estimates of transmission congestion, and other metrics. </w:t>
      </w:r>
    </w:p>
    <w:p w:rsidR="00B83739" w:rsidRDefault="00B83739" w:rsidP="00073277">
      <w:r w:rsidRPr="001E5580">
        <w:t xml:space="preserve">The NYISO/ISO New England economic </w:t>
      </w:r>
      <w:r w:rsidR="00916387" w:rsidRPr="00916387">
        <w:t>study will analyze a</w:t>
      </w:r>
      <w:r w:rsidRPr="001E5580">
        <w:t xml:space="preserve"> series of scenarios for 2013 to </w:t>
      </w:r>
      <w:r>
        <w:t xml:space="preserve">account for </w:t>
      </w:r>
      <w:r w:rsidR="00916387" w:rsidRPr="00916387">
        <w:t>planned load, resource</w:t>
      </w:r>
      <w:r>
        <w:t xml:space="preserve"> expansion and retirements</w:t>
      </w:r>
      <w:r w:rsidRPr="001E5580">
        <w:t xml:space="preserve">, and transmission </w:t>
      </w:r>
      <w:r w:rsidR="00916387" w:rsidRPr="00916387">
        <w:t>configurations that could affect both regions an</w:t>
      </w:r>
      <w:r w:rsidR="005D5E89">
        <w:t>d</w:t>
      </w:r>
      <w:r w:rsidR="00916387" w:rsidRPr="00916387">
        <w:t xml:space="preserve"> PJM. </w:t>
      </w:r>
      <w:r>
        <w:t>Th</w:t>
      </w:r>
      <w:r w:rsidR="009F0CB1">
        <w:t xml:space="preserve">e </w:t>
      </w:r>
      <w:r>
        <w:t>study will conduct joint production cost analyses with both NYISO and PJM</w:t>
      </w:r>
      <w:r w:rsidR="009F0CB1">
        <w:t xml:space="preserve"> and </w:t>
      </w:r>
      <w:r>
        <w:t xml:space="preserve">will </w:t>
      </w:r>
      <w:r w:rsidR="009F0CB1">
        <w:t xml:space="preserve">assess </w:t>
      </w:r>
      <w:r>
        <w:t>effects of relaxing various combinations of constrained transmission interfaces in increments of 500 to 1</w:t>
      </w:r>
      <w:r w:rsidR="00E01E28">
        <w:t>,</w:t>
      </w:r>
      <w:r>
        <w:t>000 MW. The goal of this analysis is to identify where major interfaces are constraining interregional transfers by modeling NYISO, ISO New England, and the eastern portion of PJM with approximate representations for their neighboring areas. This economic study is one of the many ongoing efforts that are improving interregional coordination (</w:t>
      </w:r>
      <w:r w:rsidR="00E01E28">
        <w:t>s</w:t>
      </w:r>
      <w:r>
        <w:t xml:space="preserve">ee </w:t>
      </w:r>
      <w:r w:rsidR="00832C7A">
        <w:fldChar w:fldCharType="begin"/>
      </w:r>
      <w:r w:rsidR="00E01E28">
        <w:instrText xml:space="preserve"> REF _Ref266560742 \r \h </w:instrText>
      </w:r>
      <w:r w:rsidR="00832C7A">
        <w:fldChar w:fldCharType="separate"/>
      </w:r>
      <w:r w:rsidR="00E5699E">
        <w:t>Section 11</w:t>
      </w:r>
      <w:r w:rsidR="00832C7A">
        <w:fldChar w:fldCharType="end"/>
      </w:r>
      <w:r>
        <w:t>)</w:t>
      </w:r>
      <w:r w:rsidR="00E01E28">
        <w:t>.</w:t>
      </w:r>
    </w:p>
    <w:p w:rsidR="00B83739" w:rsidRDefault="00B83739" w:rsidP="00073277">
      <w:pPr>
        <w:sectPr w:rsidR="00B83739" w:rsidSect="00015282">
          <w:pgSz w:w="12240" w:h="15840"/>
          <w:pgMar w:top="1340" w:right="1440" w:bottom="1440" w:left="1440" w:header="720" w:footer="720" w:gutter="0"/>
          <w:cols w:space="720"/>
          <w:docGrid w:linePitch="360"/>
        </w:sectPr>
      </w:pPr>
      <w:r>
        <w:t xml:space="preserve">The NYISO/ISO New England study </w:t>
      </w:r>
      <w:r w:rsidR="00090648">
        <w:t xml:space="preserve">initially </w:t>
      </w:r>
      <w:r w:rsidR="0003564D">
        <w:t xml:space="preserve">will </w:t>
      </w:r>
      <w:r w:rsidR="00090648">
        <w:t xml:space="preserve">use the </w:t>
      </w:r>
      <w:r w:rsidR="00A3583D" w:rsidRPr="00A3583D">
        <w:rPr>
          <w:rFonts w:eastAsia="Calibri" w:cs="Times New Roman"/>
          <w:color w:val="000000"/>
        </w:rPr>
        <w:t>Interregional Electric Market Model</w:t>
      </w:r>
      <w:r w:rsidR="00A3583D">
        <w:t xml:space="preserve"> (</w:t>
      </w:r>
      <w:r w:rsidR="00090648">
        <w:t>IREMM</w:t>
      </w:r>
      <w:r w:rsidR="00A3583D">
        <w:t>)</w:t>
      </w:r>
      <w:r w:rsidR="00090648">
        <w:t xml:space="preserve"> production cost program</w:t>
      </w:r>
      <w:r w:rsidR="0043188C">
        <w:t>, a simplified interregional model.</w:t>
      </w:r>
      <w:r w:rsidR="0055385D" w:rsidRPr="0003564D">
        <w:rPr>
          <w:rStyle w:val="FootnoteReference"/>
          <w:sz w:val="22"/>
        </w:rPr>
        <w:footnoteReference w:id="294"/>
      </w:r>
      <w:r w:rsidR="00090648">
        <w:t xml:space="preserve"> The analysis will </w:t>
      </w:r>
      <w:r>
        <w:t xml:space="preserve">produce various metrics, including production cost, load-serving-entity energy expenses, environmental emissions, </w:t>
      </w:r>
      <w:r w:rsidRPr="00612AB2">
        <w:t>and locational marginal prices of “load bubble” areas</w:t>
      </w:r>
      <w:r w:rsidRPr="001E5580">
        <w:t xml:space="preserve">, which </w:t>
      </w:r>
      <w:r>
        <w:t xml:space="preserve">represent the </w:t>
      </w:r>
      <w:r w:rsidRPr="001E5580">
        <w:t xml:space="preserve">RSP subareas </w:t>
      </w:r>
      <w:r>
        <w:t xml:space="preserve">(see </w:t>
      </w:r>
      <w:r w:rsidR="00E97376">
        <w:t xml:space="preserve">Section </w:t>
      </w:r>
      <w:fldSimple w:instr=" REF _Ref262125935 \r \h  \* MERGEFORMAT ">
        <w:r w:rsidR="00E5699E">
          <w:t>2.4</w:t>
        </w:r>
      </w:fldSimple>
      <w:r>
        <w:t xml:space="preserve">), </w:t>
      </w:r>
      <w:r w:rsidRPr="001E5580">
        <w:t xml:space="preserve">NYISO, PJM, and </w:t>
      </w:r>
      <w:r>
        <w:t xml:space="preserve">the </w:t>
      </w:r>
      <w:r w:rsidRPr="001E5580">
        <w:t>interconnected system</w:t>
      </w:r>
      <w:r>
        <w:t xml:space="preserve"> (see</w:t>
      </w:r>
      <w:r w:rsidR="00E4341E">
        <w:t xml:space="preserve"> </w:t>
      </w:r>
      <w:r w:rsidR="00832C7A">
        <w:fldChar w:fldCharType="begin"/>
      </w:r>
      <w:r w:rsidR="00950272">
        <w:instrText xml:space="preserve"> REF _Ref273529734 \h </w:instrText>
      </w:r>
      <w:r w:rsidR="00832C7A">
        <w:fldChar w:fldCharType="separate"/>
      </w:r>
      <w:r w:rsidR="00E5699E">
        <w:t xml:space="preserve">Figure </w:t>
      </w:r>
      <w:r w:rsidR="00E5699E">
        <w:rPr>
          <w:noProof/>
        </w:rPr>
        <w:t>10</w:t>
      </w:r>
      <w:r w:rsidR="00E5699E">
        <w:noBreakHyphen/>
      </w:r>
      <w:r w:rsidR="00E5699E">
        <w:rPr>
          <w:noProof/>
        </w:rPr>
        <w:t>1</w:t>
      </w:r>
      <w:r w:rsidR="00832C7A">
        <w:fldChar w:fldCharType="end"/>
      </w:r>
      <w:r w:rsidR="00916387" w:rsidRPr="00916387">
        <w:t>).</w:t>
      </w:r>
      <w:r w:rsidR="003542D8" w:rsidRPr="0043188C">
        <w:rPr>
          <w:rStyle w:val="FootnoteReference"/>
          <w:sz w:val="22"/>
        </w:rPr>
        <w:footnoteReference w:id="295"/>
      </w:r>
      <w:r w:rsidR="00916387" w:rsidRPr="00916387">
        <w:t xml:space="preserve"> </w:t>
      </w:r>
      <w:r w:rsidR="00F17D2E">
        <w:t>F</w:t>
      </w:r>
      <w:r w:rsidR="00090648">
        <w:t>ollow-up analysis will use a more detailed representation of the interregional network.</w:t>
      </w:r>
      <w:r w:rsidR="008F3312">
        <w:rPr>
          <w:rStyle w:val="FootnoteReference"/>
        </w:rPr>
        <w:footnoteReference w:id="296"/>
      </w:r>
      <w:r w:rsidR="00090648">
        <w:t xml:space="preserve"> </w:t>
      </w:r>
    </w:p>
    <w:p w:rsidR="00950272" w:rsidRDefault="00950272" w:rsidP="00950272">
      <w:pPr>
        <w:spacing w:after="0" w:line="240" w:lineRule="auto"/>
        <w:jc w:val="center"/>
      </w:pPr>
      <w:bookmarkStart w:id="782" w:name="_Ref262125888"/>
      <w:bookmarkStart w:id="783" w:name="_Toc271552393"/>
      <w:r w:rsidRPr="00950272">
        <w:rPr>
          <w:noProof/>
        </w:rPr>
        <w:drawing>
          <wp:inline distT="0" distB="0" distL="0" distR="0">
            <wp:extent cx="7480508" cy="4591050"/>
            <wp:effectExtent l="19050" t="19050" r="25192" b="1905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7467993" cy="4583369"/>
                    </a:xfrm>
                    <a:prstGeom prst="rect">
                      <a:avLst/>
                    </a:prstGeom>
                    <a:noFill/>
                    <a:ln w="3175">
                      <a:solidFill>
                        <a:schemeClr val="tx1"/>
                      </a:solidFill>
                      <a:miter lim="800000"/>
                      <a:headEnd/>
                      <a:tailEnd/>
                    </a:ln>
                  </pic:spPr>
                </pic:pic>
              </a:graphicData>
            </a:graphic>
          </wp:inline>
        </w:drawing>
      </w:r>
    </w:p>
    <w:p w:rsidR="0031359B" w:rsidRDefault="005D13FA" w:rsidP="00DF2CC9">
      <w:pPr>
        <w:pStyle w:val="Caption"/>
        <w:spacing w:before="120" w:after="80"/>
        <w:ind w:left="630" w:right="630"/>
        <w:jc w:val="left"/>
      </w:pPr>
      <w:bookmarkStart w:id="784" w:name="_Ref273529734"/>
      <w:r>
        <w:t xml:space="preserve">Figure </w:t>
      </w:r>
      <w:r w:rsidR="00832C7A">
        <w:fldChar w:fldCharType="begin"/>
      </w:r>
      <w:r w:rsidR="00807C8D">
        <w:instrText xml:space="preserve"> STYLEREF 1 \s </w:instrText>
      </w:r>
      <w:r w:rsidR="00832C7A">
        <w:fldChar w:fldCharType="separate"/>
      </w:r>
      <w:r w:rsidR="00E5699E">
        <w:rPr>
          <w:noProof/>
        </w:rPr>
        <w:t>10</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1</w:t>
      </w:r>
      <w:r w:rsidR="00832C7A">
        <w:fldChar w:fldCharType="end"/>
      </w:r>
      <w:bookmarkEnd w:id="782"/>
      <w:bookmarkEnd w:id="784"/>
      <w:r w:rsidR="00B83739" w:rsidRPr="006D12A5">
        <w:t>: Transmission interfaces and RSP areas</w:t>
      </w:r>
      <w:r w:rsidR="00B83739">
        <w:t>.</w:t>
      </w:r>
      <w:bookmarkEnd w:id="783"/>
    </w:p>
    <w:p w:rsidR="00B83739" w:rsidRPr="003D5E5F" w:rsidRDefault="00B83739" w:rsidP="00DF2CC9">
      <w:pPr>
        <w:spacing w:after="0" w:line="240" w:lineRule="auto"/>
        <w:ind w:left="630" w:right="630"/>
        <w:rPr>
          <w:rFonts w:ascii="Arial" w:hAnsi="Arial" w:cs="Arial"/>
          <w:sz w:val="16"/>
          <w:szCs w:val="16"/>
        </w:rPr>
      </w:pPr>
      <w:r w:rsidRPr="00631176">
        <w:rPr>
          <w:rFonts w:ascii="Arial" w:hAnsi="Arial" w:cs="Arial"/>
          <w:b/>
          <w:sz w:val="16"/>
          <w:szCs w:val="16"/>
        </w:rPr>
        <w:t>Note:</w:t>
      </w:r>
      <w:r w:rsidRPr="00631176">
        <w:rPr>
          <w:rFonts w:ascii="Arial" w:hAnsi="Arial" w:cs="Arial"/>
          <w:sz w:val="16"/>
          <w:szCs w:val="16"/>
        </w:rPr>
        <w:t xml:space="preserve"> </w:t>
      </w:r>
      <w:r w:rsidRPr="003D5E5F">
        <w:rPr>
          <w:rFonts w:ascii="Arial" w:hAnsi="Arial" w:cs="Arial"/>
          <w:sz w:val="16"/>
          <w:szCs w:val="16"/>
        </w:rPr>
        <w:t xml:space="preserve">The light yellow bubbles represent the New England RSP bubbles, and the orange bubbles show areas in New England with energy efficiency, demand response, and emergency </w:t>
      </w:r>
      <w:r w:rsidR="00A73FE0" w:rsidRPr="00A73FE0">
        <w:rPr>
          <w:rFonts w:ascii="Arial" w:hAnsi="Arial" w:cs="Arial"/>
          <w:sz w:val="16"/>
          <w:szCs w:val="16"/>
        </w:rPr>
        <w:t>generators (RTEGs). The</w:t>
      </w:r>
      <w:r w:rsidRPr="003D5E5F">
        <w:rPr>
          <w:rFonts w:ascii="Arial" w:hAnsi="Arial" w:cs="Arial"/>
          <w:sz w:val="16"/>
          <w:szCs w:val="16"/>
        </w:rPr>
        <w:t xml:space="preserve"> names in the bubbles for New England are consistent with RSP subarea names</w:t>
      </w:r>
      <w:r w:rsidR="0026768C">
        <w:rPr>
          <w:rFonts w:ascii="Arial" w:hAnsi="Arial" w:cs="Arial"/>
          <w:sz w:val="16"/>
          <w:szCs w:val="16"/>
        </w:rPr>
        <w:t xml:space="preserve"> (see Secti</w:t>
      </w:r>
      <w:r w:rsidR="0026768C" w:rsidRPr="005D13FA">
        <w:rPr>
          <w:rFonts w:ascii="Arial" w:hAnsi="Arial" w:cs="Arial"/>
          <w:sz w:val="16"/>
          <w:szCs w:val="16"/>
        </w:rPr>
        <w:t xml:space="preserve">on </w:t>
      </w:r>
      <w:fldSimple w:instr=" REF _Ref266560997 \r \h  \* MERGEFORMAT ">
        <w:r w:rsidR="00E5699E" w:rsidRPr="00E5699E">
          <w:rPr>
            <w:rFonts w:ascii="Arial" w:hAnsi="Arial" w:cs="Arial"/>
            <w:sz w:val="16"/>
            <w:szCs w:val="16"/>
          </w:rPr>
          <w:t>2.4</w:t>
        </w:r>
      </w:fldSimple>
      <w:r w:rsidR="0026768C" w:rsidRPr="005D13FA">
        <w:rPr>
          <w:rFonts w:ascii="Arial" w:hAnsi="Arial" w:cs="Arial"/>
          <w:sz w:val="16"/>
          <w:szCs w:val="16"/>
        </w:rPr>
        <w:t>)</w:t>
      </w:r>
      <w:r w:rsidRPr="005D13FA">
        <w:rPr>
          <w:rFonts w:ascii="Arial" w:hAnsi="Arial" w:cs="Arial"/>
          <w:sz w:val="16"/>
          <w:szCs w:val="16"/>
        </w:rPr>
        <w:t>.</w:t>
      </w:r>
      <w:r w:rsidRPr="003D5E5F">
        <w:rPr>
          <w:rFonts w:ascii="Arial" w:hAnsi="Arial" w:cs="Arial"/>
          <w:sz w:val="16"/>
          <w:szCs w:val="16"/>
        </w:rPr>
        <w:t xml:space="preserve"> The subarea names used for New York (in the light orange bubbles) are consistent with the names used for its resource adequacy studies (e.g. “NY A” refers to Zone A). The G1 and F1 light orange bubbles represent additional bubbles in New York that contain generation near the New England border. The red boxes represent transmission interface names used within NYISO. The gray bubbles show controlled ties interconnecting New York with its neighbors where phase-angle regulators, HVDC, or variable-frequency transformers (VFT</w:t>
      </w:r>
      <w:r w:rsidR="00244101">
        <w:rPr>
          <w:rFonts w:ascii="Arial" w:hAnsi="Arial" w:cs="Arial"/>
          <w:sz w:val="16"/>
          <w:szCs w:val="16"/>
        </w:rPr>
        <w:t>s</w:t>
      </w:r>
      <w:r w:rsidRPr="003D5E5F">
        <w:rPr>
          <w:rFonts w:ascii="Arial" w:hAnsi="Arial" w:cs="Arial"/>
          <w:sz w:val="16"/>
          <w:szCs w:val="16"/>
        </w:rPr>
        <w:t xml:space="preserve">) are used to control power. The PJM names (in the green bubbles) are consistent with those used for NPCC resource adequacy studies. The light blue bubbles represent equivalents for neighboring systems. The dark blue bubbles represent offshore </w:t>
      </w:r>
      <w:r w:rsidR="00916387" w:rsidRPr="00916387">
        <w:rPr>
          <w:rFonts w:ascii="Arial" w:hAnsi="Arial" w:cs="Arial"/>
          <w:sz w:val="16"/>
          <w:szCs w:val="16"/>
        </w:rPr>
        <w:t xml:space="preserve">wind, and the dark green bubbles represent </w:t>
      </w:r>
      <w:r w:rsidR="00CD0FE1">
        <w:rPr>
          <w:rFonts w:ascii="Arial" w:hAnsi="Arial" w:cs="Arial"/>
          <w:sz w:val="16"/>
          <w:szCs w:val="16"/>
        </w:rPr>
        <w:t>onshore (</w:t>
      </w:r>
      <w:r w:rsidR="00916387" w:rsidRPr="00916387">
        <w:rPr>
          <w:rFonts w:ascii="Arial" w:hAnsi="Arial" w:cs="Arial"/>
          <w:bCs/>
          <w:color w:val="000000" w:themeColor="text1"/>
          <w:sz w:val="16"/>
          <w:szCs w:val="16"/>
        </w:rPr>
        <w:t>inland</w:t>
      </w:r>
      <w:r w:rsidR="00CD0FE1" w:rsidRPr="009F0CB1">
        <w:rPr>
          <w:rFonts w:ascii="Arial" w:hAnsi="Arial" w:cs="Arial"/>
          <w:bCs/>
          <w:color w:val="000000" w:themeColor="text1"/>
          <w:sz w:val="16"/>
          <w:szCs w:val="16"/>
        </w:rPr>
        <w:t>)</w:t>
      </w:r>
      <w:r w:rsidR="00A9357A" w:rsidRPr="009F0CB1">
        <w:rPr>
          <w:rFonts w:ascii="Arial" w:hAnsi="Arial" w:cs="Arial"/>
          <w:sz w:val="16"/>
          <w:szCs w:val="16"/>
        </w:rPr>
        <w:t xml:space="preserve"> </w:t>
      </w:r>
      <w:r w:rsidR="00916387" w:rsidRPr="00916387">
        <w:rPr>
          <w:rFonts w:ascii="Arial" w:hAnsi="Arial" w:cs="Arial"/>
          <w:sz w:val="16"/>
          <w:szCs w:val="16"/>
        </w:rPr>
        <w:t>wind.</w:t>
      </w:r>
    </w:p>
    <w:p w:rsidR="00B83739" w:rsidRDefault="00B83739" w:rsidP="00073277">
      <w:pPr>
        <w:pStyle w:val="Caption-Figure"/>
        <w:sectPr w:rsidR="00B83739" w:rsidSect="00015282">
          <w:footerReference w:type="default" r:id="rId77"/>
          <w:pgSz w:w="15840" w:h="12240" w:orient="landscape"/>
          <w:pgMar w:top="1350" w:right="1440" w:bottom="1440" w:left="1440" w:header="720" w:footer="720" w:gutter="0"/>
          <w:cols w:space="720"/>
          <w:docGrid w:linePitch="360"/>
        </w:sectPr>
      </w:pPr>
    </w:p>
    <w:p w:rsidR="00B83739" w:rsidRDefault="00E60631" w:rsidP="00073277">
      <w:r w:rsidRPr="00405706">
        <w:t xml:space="preserve">The study results are scheduled for completion by the end of 2010. </w:t>
      </w:r>
      <w:r w:rsidR="00B83739" w:rsidRPr="00405706">
        <w:t xml:space="preserve">The </w:t>
      </w:r>
      <w:r w:rsidRPr="00405706">
        <w:t xml:space="preserve">results </w:t>
      </w:r>
      <w:r w:rsidR="00B83739" w:rsidRPr="00405706">
        <w:t>may identify areas where transmission upgrades would promote interregional transfers. The final identification of transmission upgrades would require follow-up transmission planning analysis and detailed production cost simulations</w:t>
      </w:r>
      <w:r w:rsidR="00E17D35" w:rsidRPr="00405706">
        <w:t xml:space="preserve">. </w:t>
      </w:r>
      <w:r w:rsidR="00B83739" w:rsidRPr="00405706">
        <w:t xml:space="preserve">A possible outcome could be a recommendation for </w:t>
      </w:r>
      <w:r w:rsidR="00706919">
        <w:t xml:space="preserve">conducting follow-up studies of </w:t>
      </w:r>
      <w:r w:rsidR="00B83739" w:rsidRPr="00405706">
        <w:t>additional interconnection capability, such as a southern New England–southeast New York–New Jersey tie.</w:t>
      </w:r>
    </w:p>
    <w:p w:rsidR="00B462A6" w:rsidRDefault="00B83739">
      <w:pPr>
        <w:pStyle w:val="Heading3"/>
      </w:pPr>
      <w:bookmarkStart w:id="785" w:name="_Toc271632316"/>
      <w:r>
        <w:t>Modeling and Assumptions</w:t>
      </w:r>
      <w:bookmarkEnd w:id="785"/>
    </w:p>
    <w:p w:rsidR="00B83739" w:rsidRDefault="00B83739" w:rsidP="00073277">
      <w:r>
        <w:t xml:space="preserve">The </w:t>
      </w:r>
      <w:r w:rsidRPr="003727FA">
        <w:t xml:space="preserve">simulations of </w:t>
      </w:r>
      <w:r>
        <w:t xml:space="preserve">the Northeast ISO/RTOs </w:t>
      </w:r>
      <w:r w:rsidRPr="003727FA">
        <w:t>w</w:t>
      </w:r>
      <w:r>
        <w:t>ere</w:t>
      </w:r>
      <w:r w:rsidRPr="003727FA">
        <w:t xml:space="preserve"> </w:t>
      </w:r>
      <w:r>
        <w:t>conducted</w:t>
      </w:r>
      <w:r w:rsidRPr="003727FA">
        <w:t xml:space="preserve"> using IREMM</w:t>
      </w:r>
      <w:r w:rsidR="001450AA">
        <w:t xml:space="preserve">. </w:t>
      </w:r>
      <w:r w:rsidRPr="003727FA">
        <w:t>The model w</w:t>
      </w:r>
      <w:r>
        <w:t xml:space="preserve">as used to </w:t>
      </w:r>
      <w:r w:rsidRPr="00612AB2">
        <w:t xml:space="preserve">produce a </w:t>
      </w:r>
      <w:r w:rsidRPr="001E5580">
        <w:t>base-case</w:t>
      </w:r>
      <w:r w:rsidRPr="003727FA">
        <w:t xml:space="preserve"> simulation and then to develop sensitivity cases</w:t>
      </w:r>
      <w:r>
        <w:t xml:space="preserve"> with differing </w:t>
      </w:r>
      <w:r w:rsidRPr="003727FA">
        <w:t>specific assumptions</w:t>
      </w:r>
      <w:r>
        <w:t xml:space="preserve">. </w:t>
      </w:r>
      <w:r w:rsidRPr="006D12A5">
        <w:t>The data</w:t>
      </w:r>
      <w:r w:rsidR="00D03A89">
        <w:t>,</w:t>
      </w:r>
      <w:r w:rsidRPr="006D12A5">
        <w:t xml:space="preserve"> assumptions</w:t>
      </w:r>
      <w:r w:rsidR="00D03A89">
        <w:t>,</w:t>
      </w:r>
      <w:r w:rsidRPr="006D12A5">
        <w:t xml:space="preserve"> and modeling inputs </w:t>
      </w:r>
      <w:r w:rsidR="00301E18">
        <w:t xml:space="preserve">reflect stakeholder input and </w:t>
      </w:r>
      <w:r w:rsidRPr="006D12A5">
        <w:t xml:space="preserve">were based on the </w:t>
      </w:r>
      <w:r w:rsidRPr="00D93D8A">
        <w:t>following factors:</w:t>
      </w:r>
    </w:p>
    <w:p w:rsidR="00E02278" w:rsidRDefault="00B83739" w:rsidP="00BB34F0">
      <w:pPr>
        <w:pStyle w:val="ListParagraph"/>
        <w:numPr>
          <w:ilvl w:val="1"/>
          <w:numId w:val="29"/>
        </w:numPr>
        <w:spacing w:before="0" w:after="120"/>
        <w:ind w:left="720"/>
        <w:contextualSpacing w:val="0"/>
      </w:pPr>
      <w:r w:rsidRPr="00226416">
        <w:rPr>
          <w:b/>
        </w:rPr>
        <w:t xml:space="preserve">Load </w:t>
      </w:r>
      <w:r>
        <w:rPr>
          <w:b/>
        </w:rPr>
        <w:t>f</w:t>
      </w:r>
      <w:r w:rsidRPr="00226416">
        <w:rPr>
          <w:b/>
        </w:rPr>
        <w:t>orecast</w:t>
      </w:r>
      <w:r>
        <w:rPr>
          <w:rFonts w:cs="Times New Roman"/>
          <w:b/>
        </w:rPr>
        <w:t>—</w:t>
      </w:r>
      <w:r w:rsidRPr="008F300E">
        <w:t xml:space="preserve">The </w:t>
      </w:r>
      <w:r>
        <w:t xml:space="preserve">New England </w:t>
      </w:r>
      <w:r w:rsidRPr="008F300E">
        <w:t xml:space="preserve">load and </w:t>
      </w:r>
      <w:r>
        <w:t xml:space="preserve">electric </w:t>
      </w:r>
      <w:r w:rsidRPr="008F300E">
        <w:t xml:space="preserve">energy forecasts </w:t>
      </w:r>
      <w:r>
        <w:t>used in this analysis were</w:t>
      </w:r>
      <w:r w:rsidRPr="008F300E">
        <w:t xml:space="preserve"> based on the data </w:t>
      </w:r>
      <w:r w:rsidR="003C0AB2">
        <w:t xml:space="preserve">for 2013 </w:t>
      </w:r>
      <w:r w:rsidRPr="00D2076E">
        <w:t xml:space="preserve">presented in </w:t>
      </w:r>
      <w:r w:rsidR="00821C68" w:rsidRPr="00821C68">
        <w:t>Table 3-2</w:t>
      </w:r>
      <w:r w:rsidRPr="00D2076E">
        <w:t xml:space="preserve"> of</w:t>
      </w:r>
      <w:r>
        <w:t xml:space="preserve"> RSP09, which are different from those used in </w:t>
      </w:r>
      <w:r w:rsidR="00832C7A">
        <w:fldChar w:fldCharType="begin"/>
      </w:r>
      <w:r w:rsidR="00663230">
        <w:instrText xml:space="preserve"> REF _Ref267385631 \r \h </w:instrText>
      </w:r>
      <w:r w:rsidR="00832C7A">
        <w:fldChar w:fldCharType="separate"/>
      </w:r>
      <w:r w:rsidR="00E5699E">
        <w:t>Section 3</w:t>
      </w:r>
      <w:r w:rsidR="00832C7A">
        <w:fldChar w:fldCharType="end"/>
      </w:r>
      <w:r>
        <w:t xml:space="preserve"> of this report.</w:t>
      </w:r>
      <w:r w:rsidRPr="008365E5">
        <w:rPr>
          <w:rStyle w:val="FootnoteReference"/>
          <w:sz w:val="22"/>
        </w:rPr>
        <w:footnoteReference w:id="297"/>
      </w:r>
      <w:r>
        <w:t xml:space="preserve"> The loads and resources for PJM and New York were obtained from their respective publications produced in 2009.</w:t>
      </w:r>
      <w:r w:rsidRPr="00226416">
        <w:rPr>
          <w:rStyle w:val="FootnoteReference"/>
          <w:sz w:val="22"/>
        </w:rPr>
        <w:footnoteReference w:id="298"/>
      </w:r>
    </w:p>
    <w:p w:rsidR="00E02278" w:rsidRDefault="00B83739" w:rsidP="00BB34F0">
      <w:pPr>
        <w:pStyle w:val="ListParagraph"/>
        <w:numPr>
          <w:ilvl w:val="1"/>
          <w:numId w:val="29"/>
        </w:numPr>
        <w:spacing w:before="0" w:after="120"/>
        <w:ind w:left="720"/>
        <w:contextualSpacing w:val="0"/>
      </w:pPr>
      <w:r w:rsidRPr="00226416">
        <w:rPr>
          <w:b/>
        </w:rPr>
        <w:t xml:space="preserve">System </w:t>
      </w:r>
      <w:r>
        <w:rPr>
          <w:b/>
        </w:rPr>
        <w:t>g</w:t>
      </w:r>
      <w:r w:rsidRPr="00226416">
        <w:rPr>
          <w:b/>
        </w:rPr>
        <w:t>eneration</w:t>
      </w:r>
      <w:r>
        <w:rPr>
          <w:rFonts w:cs="Times New Roman"/>
          <w:b/>
        </w:rPr>
        <w:t>—</w:t>
      </w:r>
      <w:r w:rsidRPr="008F300E">
        <w:t xml:space="preserve">The supply resources </w:t>
      </w:r>
      <w:r>
        <w:t xml:space="preserve">for the New England </w:t>
      </w:r>
      <w:r w:rsidRPr="008F300E">
        <w:t>system were based on the April 200</w:t>
      </w:r>
      <w:r>
        <w:t>9</w:t>
      </w:r>
      <w:r w:rsidRPr="008F300E">
        <w:t xml:space="preserve"> CELT report plus t</w:t>
      </w:r>
      <w:r>
        <w:t>he new supply resources that cleared</w:t>
      </w:r>
      <w:r w:rsidRPr="008F300E">
        <w:t xml:space="preserve"> in FCA</w:t>
      </w:r>
      <w:r>
        <w:t xml:space="preserve"> #</w:t>
      </w:r>
      <w:r w:rsidR="00E53725">
        <w:t>2</w:t>
      </w:r>
      <w:r w:rsidRPr="008F300E">
        <w:t xml:space="preserve"> for 201</w:t>
      </w:r>
      <w:r w:rsidR="00E53725">
        <w:t>1</w:t>
      </w:r>
      <w:r w:rsidRPr="008F300E">
        <w:t>/201</w:t>
      </w:r>
      <w:r w:rsidR="00E53725">
        <w:t>2</w:t>
      </w:r>
      <w:r>
        <w:t xml:space="preserve"> </w:t>
      </w:r>
      <w:r w:rsidRPr="00927AE0">
        <w:t xml:space="preserve">(see </w:t>
      </w:r>
      <w:r w:rsidRPr="00F20A96">
        <w:t xml:space="preserve">Section </w:t>
      </w:r>
      <w:fldSimple w:instr=" REF _Ref266561774 \r \h  \* MERGEFORMAT ">
        <w:r w:rsidR="00E5699E">
          <w:t>4.2.2</w:t>
        </w:r>
      </w:fldSimple>
      <w:r w:rsidRPr="00F20A96">
        <w:t>)</w:t>
      </w:r>
      <w:r w:rsidR="00E5523E">
        <w:t>.</w:t>
      </w:r>
      <w:r w:rsidRPr="006330EF">
        <w:rPr>
          <w:rStyle w:val="FootnoteReference"/>
          <w:sz w:val="22"/>
        </w:rPr>
        <w:footnoteReference w:id="299"/>
      </w:r>
      <w:r w:rsidRPr="006330EF">
        <w:t xml:space="preserve"> </w:t>
      </w:r>
      <w:r>
        <w:t>Resources for PJM and NYISO were provided by those areas.</w:t>
      </w:r>
    </w:p>
    <w:p w:rsidR="00E02278" w:rsidRDefault="00B83739" w:rsidP="00BB34F0">
      <w:pPr>
        <w:pStyle w:val="ListParagraph"/>
        <w:numPr>
          <w:ilvl w:val="1"/>
          <w:numId w:val="29"/>
        </w:numPr>
        <w:spacing w:before="0" w:after="120"/>
        <w:ind w:left="720"/>
        <w:contextualSpacing w:val="0"/>
      </w:pPr>
      <w:r w:rsidRPr="00226416">
        <w:rPr>
          <w:b/>
        </w:rPr>
        <w:t xml:space="preserve">Demand </w:t>
      </w:r>
      <w:r>
        <w:rPr>
          <w:b/>
        </w:rPr>
        <w:t>r</w:t>
      </w:r>
      <w:r w:rsidRPr="00226416">
        <w:rPr>
          <w:b/>
        </w:rPr>
        <w:t>esources</w:t>
      </w:r>
      <w:r>
        <w:rPr>
          <w:rFonts w:cs="Times New Roman"/>
          <w:b/>
        </w:rPr>
        <w:t>—</w:t>
      </w:r>
      <w:r>
        <w:t xml:space="preserve">Demand resources were one of the types of supply resources included in the </w:t>
      </w:r>
      <w:r w:rsidRPr="0039325C">
        <w:t>RSP0</w:t>
      </w:r>
      <w:r>
        <w:t>9</w:t>
      </w:r>
      <w:r w:rsidRPr="0039325C">
        <w:t xml:space="preserve"> case.</w:t>
      </w:r>
      <w:r>
        <w:t xml:space="preserve"> Three </w:t>
      </w:r>
      <w:r w:rsidRPr="008F300E">
        <w:t xml:space="preserve">types of demand resources </w:t>
      </w:r>
      <w:r>
        <w:t xml:space="preserve">were </w:t>
      </w:r>
      <w:r w:rsidRPr="008F300E">
        <w:t xml:space="preserve">modeled </w:t>
      </w:r>
      <w:r w:rsidR="00B73B4D">
        <w:t xml:space="preserve">on the </w:t>
      </w:r>
      <w:r w:rsidRPr="008F300E">
        <w:t>bas</w:t>
      </w:r>
      <w:r w:rsidR="00B73B4D">
        <w:t xml:space="preserve">is </w:t>
      </w:r>
      <w:r w:rsidRPr="008F300E">
        <w:t>o</w:t>
      </w:r>
      <w:r w:rsidR="00B73B4D">
        <w:t>f</w:t>
      </w:r>
      <w:r w:rsidRPr="008F300E">
        <w:t xml:space="preserve"> the results of FCA</w:t>
      </w:r>
      <w:r>
        <w:t xml:space="preserve"> #</w:t>
      </w:r>
      <w:r w:rsidR="00E53725">
        <w:t>2</w:t>
      </w:r>
      <w:r>
        <w:t xml:space="preserve">: </w:t>
      </w:r>
      <w:r w:rsidR="00E53725">
        <w:t>983</w:t>
      </w:r>
      <w:r w:rsidRPr="00386744">
        <w:t xml:space="preserve"> MW</w:t>
      </w:r>
      <w:r>
        <w:t xml:space="preserve"> of passive demand resources, which were represented as energy efficiency;</w:t>
      </w:r>
      <w:r w:rsidR="00D03A89">
        <w:t xml:space="preserve"> </w:t>
      </w:r>
      <w:r w:rsidRPr="00386744">
        <w:t>1,19</w:t>
      </w:r>
      <w:r w:rsidR="00E53725">
        <w:t>5</w:t>
      </w:r>
      <w:r w:rsidRPr="00386744">
        <w:t xml:space="preserve"> MW</w:t>
      </w:r>
      <w:r>
        <w:t xml:space="preserve"> of near-peak demand resources, which were activated when the load approached seasonal peaks; and </w:t>
      </w:r>
      <w:r w:rsidR="00E53725">
        <w:t>759</w:t>
      </w:r>
      <w:r w:rsidRPr="00386744">
        <w:t xml:space="preserve"> MW</w:t>
      </w:r>
      <w:r>
        <w:t xml:space="preserve"> of emergency generation activated in OP 4 at Action 12 (to implement voltage reductions).</w:t>
      </w:r>
      <w:r>
        <w:rPr>
          <w:rStyle w:val="FootnoteReference"/>
          <w:sz w:val="22"/>
        </w:rPr>
        <w:footnoteReference w:id="300"/>
      </w:r>
      <w:r w:rsidRPr="00386744">
        <w:t xml:space="preserve"> </w:t>
      </w:r>
      <w:r w:rsidRPr="00110DBF">
        <w:t xml:space="preserve">Active demand resources were assumed present for lower New York State with </w:t>
      </w:r>
      <w:r w:rsidRPr="00232C47">
        <w:t>1,700 MW in Zone J.</w:t>
      </w:r>
    </w:p>
    <w:p w:rsidR="00BA053F" w:rsidRDefault="00BA053F" w:rsidP="00BB34F0">
      <w:pPr>
        <w:pStyle w:val="ListParagraph"/>
        <w:numPr>
          <w:ilvl w:val="1"/>
          <w:numId w:val="29"/>
        </w:numPr>
        <w:spacing w:before="0" w:after="120"/>
        <w:ind w:left="720"/>
        <w:contextualSpacing w:val="0"/>
      </w:pPr>
      <w:r w:rsidRPr="00E4341E">
        <w:rPr>
          <w:b/>
        </w:rPr>
        <w:t>Controllable transmission</w:t>
      </w:r>
      <w:r w:rsidRPr="00E4341E">
        <w:t>—</w:t>
      </w:r>
      <w:r>
        <w:t xml:space="preserve">A number of controllable transmission elements were assumed to have a constant power flow across them. These are shown in </w:t>
      </w:r>
      <w:r w:rsidR="00832C7A">
        <w:fldChar w:fldCharType="begin"/>
      </w:r>
      <w:r w:rsidR="00E4341E">
        <w:instrText xml:space="preserve"> REF _Ref273529734 \h </w:instrText>
      </w:r>
      <w:r w:rsidR="00832C7A">
        <w:fldChar w:fldCharType="separate"/>
      </w:r>
      <w:r w:rsidR="00E5699E">
        <w:t xml:space="preserve">Figure </w:t>
      </w:r>
      <w:r w:rsidR="00E5699E">
        <w:rPr>
          <w:noProof/>
        </w:rPr>
        <w:t>10</w:t>
      </w:r>
      <w:r w:rsidR="00E5699E">
        <w:noBreakHyphen/>
      </w:r>
      <w:r w:rsidR="00E5699E">
        <w:rPr>
          <w:noProof/>
        </w:rPr>
        <w:t>1</w:t>
      </w:r>
      <w:r w:rsidR="00832C7A">
        <w:fldChar w:fldCharType="end"/>
      </w:r>
      <w:r w:rsidR="00E4341E">
        <w:t xml:space="preserve"> </w:t>
      </w:r>
      <w:r>
        <w:t xml:space="preserve">and </w:t>
      </w:r>
      <w:r w:rsidRPr="00777525">
        <w:t xml:space="preserve">comprise </w:t>
      </w:r>
      <w:r w:rsidR="00777525" w:rsidRPr="00777525">
        <w:t xml:space="preserve">links </w:t>
      </w:r>
      <w:r w:rsidRPr="00777525">
        <w:t xml:space="preserve">where the same amount of power </w:t>
      </w:r>
      <w:r w:rsidR="00A77881">
        <w:t xml:space="preserve">withdrawn from one transmission </w:t>
      </w:r>
      <w:r w:rsidR="00CD74EC">
        <w:t>bubble</w:t>
      </w:r>
      <w:r w:rsidR="00A77881">
        <w:t xml:space="preserve"> is injected into </w:t>
      </w:r>
      <w:r w:rsidRPr="00777525">
        <w:t>a</w:t>
      </w:r>
      <w:r w:rsidR="00777525">
        <w:t xml:space="preserve">n associated </w:t>
      </w:r>
      <w:r w:rsidR="00CD74EC">
        <w:t>bubble</w:t>
      </w:r>
      <w:r w:rsidRPr="00777525">
        <w:t xml:space="preserve">. For example, a 1,000 MW fixed transfer, known as </w:t>
      </w:r>
      <w:r w:rsidR="003C0AB2">
        <w:t>the</w:t>
      </w:r>
      <w:r w:rsidR="005D5E89">
        <w:t xml:space="preserve"> </w:t>
      </w:r>
      <w:r w:rsidRPr="00777525">
        <w:t>“PJM</w:t>
      </w:r>
      <w:r>
        <w:t xml:space="preserve"> </w:t>
      </w:r>
      <w:r w:rsidR="003B64EC">
        <w:t>w</w:t>
      </w:r>
      <w:r>
        <w:t>heel,” has 1,000 MW injected into a bubble adjacent to New York Zone G and withdrawn adjacent to New York Zone J. This is a simplification of a transaction that includes several phase-angle regulators</w:t>
      </w:r>
      <w:r w:rsidR="00E84B2C">
        <w:t>.</w:t>
      </w:r>
      <w:r w:rsidR="00391A5A">
        <w:t xml:space="preserve"> </w:t>
      </w:r>
    </w:p>
    <w:p w:rsidR="00E02278" w:rsidRPr="00232C47" w:rsidRDefault="00B83739" w:rsidP="00BB34F0">
      <w:pPr>
        <w:pStyle w:val="ListParagraph"/>
        <w:numPr>
          <w:ilvl w:val="1"/>
          <w:numId w:val="29"/>
        </w:numPr>
        <w:spacing w:before="0"/>
        <w:ind w:left="720"/>
        <w:contextualSpacing w:val="0"/>
      </w:pPr>
      <w:r w:rsidRPr="00232C47">
        <w:rPr>
          <w:b/>
        </w:rPr>
        <w:t>Transmission interfaces</w:t>
      </w:r>
      <w:r w:rsidRPr="00232C47">
        <w:rPr>
          <w:rFonts w:cs="Times New Roman"/>
          <w:b/>
        </w:rPr>
        <w:t>—</w:t>
      </w:r>
      <w:fldSimple w:instr=" REF _Ref262722272 \h  \* MERGEFORMAT ">
        <w:r w:rsidR="00E5699E">
          <w:t xml:space="preserve">Figure </w:t>
        </w:r>
        <w:r w:rsidR="00E5699E">
          <w:rPr>
            <w:noProof/>
          </w:rPr>
          <w:t>10</w:t>
        </w:r>
        <w:r w:rsidR="00E5699E">
          <w:rPr>
            <w:noProof/>
          </w:rPr>
          <w:noBreakHyphen/>
          <w:t>2</w:t>
        </w:r>
      </w:fldSimple>
      <w:r w:rsidR="00CD4E49">
        <w:t xml:space="preserve"> and </w:t>
      </w:r>
      <w:r w:rsidR="00832C7A">
        <w:fldChar w:fldCharType="begin"/>
      </w:r>
      <w:r w:rsidR="00CD4E49">
        <w:instrText xml:space="preserve"> REF _Ref266611280 \h </w:instrText>
      </w:r>
      <w:r w:rsidR="00832C7A">
        <w:fldChar w:fldCharType="separate"/>
      </w:r>
      <w:r w:rsidR="00E5699E">
        <w:t xml:space="preserve">Figure </w:t>
      </w:r>
      <w:r w:rsidR="00E5699E">
        <w:rPr>
          <w:noProof/>
        </w:rPr>
        <w:t>10</w:t>
      </w:r>
      <w:r w:rsidR="00E5699E">
        <w:noBreakHyphen/>
      </w:r>
      <w:r w:rsidR="00E5699E">
        <w:rPr>
          <w:noProof/>
        </w:rPr>
        <w:t>3</w:t>
      </w:r>
      <w:r w:rsidR="00832C7A">
        <w:fldChar w:fldCharType="end"/>
      </w:r>
      <w:r w:rsidR="00CD4E49">
        <w:t xml:space="preserve"> show t</w:t>
      </w:r>
      <w:r w:rsidRPr="00232C47">
        <w:t>he 20 interfaces modeled in the study</w:t>
      </w:r>
      <w:r w:rsidR="003C0AB2">
        <w:t>,</w:t>
      </w:r>
      <w:r w:rsidRPr="00232C47">
        <w:t xml:space="preserve"> </w:t>
      </w:r>
      <w:r w:rsidR="00CD4E49">
        <w:t xml:space="preserve">and </w:t>
      </w:r>
      <w:r w:rsidR="00832C7A">
        <w:fldChar w:fldCharType="begin"/>
      </w:r>
      <w:r w:rsidR="00232C47">
        <w:instrText xml:space="preserve"> REF _Ref266867000 \h </w:instrText>
      </w:r>
      <w:r w:rsidR="00832C7A">
        <w:fldChar w:fldCharType="separate"/>
      </w:r>
      <w:r w:rsidR="00E5699E">
        <w:t xml:space="preserve">Table </w:t>
      </w:r>
      <w:r w:rsidR="00E5699E">
        <w:rPr>
          <w:noProof/>
        </w:rPr>
        <w:t>10</w:t>
      </w:r>
      <w:r w:rsidR="00E5699E">
        <w:noBreakHyphen/>
      </w:r>
      <w:r w:rsidR="00E5699E">
        <w:rPr>
          <w:noProof/>
        </w:rPr>
        <w:t>1</w:t>
      </w:r>
      <w:r w:rsidR="00832C7A">
        <w:fldChar w:fldCharType="end"/>
      </w:r>
      <w:r w:rsidR="00232C47">
        <w:t xml:space="preserve"> shows the interface values</w:t>
      </w:r>
      <w:r w:rsidR="00CD4E49">
        <w:t xml:space="preserve"> modeled</w:t>
      </w:r>
      <w:r w:rsidR="00232C47">
        <w:t>.</w:t>
      </w:r>
    </w:p>
    <w:p w:rsidR="00B83739" w:rsidRDefault="002C5BBF" w:rsidP="002637ED">
      <w:pPr>
        <w:pStyle w:val="ListParagraph"/>
        <w:keepNext/>
        <w:keepLines/>
        <w:numPr>
          <w:ilvl w:val="0"/>
          <w:numId w:val="0"/>
        </w:numPr>
        <w:spacing w:before="0" w:after="0"/>
        <w:contextualSpacing w:val="0"/>
        <w:jc w:val="center"/>
      </w:pPr>
      <w:r w:rsidRPr="002C5BBF">
        <w:rPr>
          <w:noProof/>
        </w:rPr>
        <w:drawing>
          <wp:inline distT="0" distB="0" distL="0" distR="0">
            <wp:extent cx="4855809" cy="3362310"/>
            <wp:effectExtent l="19050" t="19050" r="20991" b="954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4855809" cy="3362310"/>
                    </a:xfrm>
                    <a:prstGeom prst="rect">
                      <a:avLst/>
                    </a:prstGeom>
                    <a:noFill/>
                    <a:ln w="3175">
                      <a:solidFill>
                        <a:schemeClr val="tx1"/>
                      </a:solidFill>
                      <a:miter lim="800000"/>
                      <a:headEnd/>
                      <a:tailEnd/>
                    </a:ln>
                  </pic:spPr>
                </pic:pic>
              </a:graphicData>
            </a:graphic>
          </wp:inline>
        </w:drawing>
      </w:r>
    </w:p>
    <w:p w:rsidR="00B83739" w:rsidRPr="003D6503" w:rsidRDefault="0010525C" w:rsidP="00C91BFA">
      <w:pPr>
        <w:pStyle w:val="Caption-Figure"/>
        <w:spacing w:after="360"/>
        <w:ind w:left="907"/>
        <w:rPr>
          <w:b w:val="0"/>
          <w:bCs w:val="0"/>
        </w:rPr>
      </w:pPr>
      <w:bookmarkStart w:id="786" w:name="_Ref262722272"/>
      <w:bookmarkStart w:id="787" w:name="_Toc271552394"/>
      <w:r>
        <w:t xml:space="preserve">Figure </w:t>
      </w:r>
      <w:r w:rsidR="00832C7A">
        <w:fldChar w:fldCharType="begin"/>
      </w:r>
      <w:r w:rsidR="00807C8D">
        <w:instrText xml:space="preserve"> STYLEREF 1 \s </w:instrText>
      </w:r>
      <w:r w:rsidR="00832C7A">
        <w:fldChar w:fldCharType="separate"/>
      </w:r>
      <w:r w:rsidR="00E5699E">
        <w:rPr>
          <w:noProof/>
        </w:rPr>
        <w:t>10</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2</w:t>
      </w:r>
      <w:r w:rsidR="00832C7A">
        <w:fldChar w:fldCharType="end"/>
      </w:r>
      <w:bookmarkEnd w:id="786"/>
      <w:r w:rsidR="00B83739" w:rsidRPr="005E791A">
        <w:rPr>
          <w:rStyle w:val="Caption-Figure-Text"/>
          <w:b/>
          <w:sz w:val="20"/>
        </w:rPr>
        <w:t>: Tr</w:t>
      </w:r>
      <w:r w:rsidR="00B83739" w:rsidRPr="005E791A">
        <w:rPr>
          <w:rStyle w:val="Caption-Figure-Text"/>
          <w:b/>
          <w:noProof/>
          <w:sz w:val="20"/>
        </w:rPr>
        <w:t>ansm</w:t>
      </w:r>
      <w:r w:rsidR="00B83739" w:rsidRPr="005E791A">
        <w:rPr>
          <w:rStyle w:val="Caption-Figure-Text"/>
          <w:b/>
          <w:sz w:val="20"/>
        </w:rPr>
        <w:t>ission interfaces Group 1</w:t>
      </w:r>
      <w:r w:rsidR="00B83739">
        <w:rPr>
          <w:rStyle w:val="Caption-Figure-Text"/>
          <w:b/>
          <w:sz w:val="20"/>
        </w:rPr>
        <w:t>.</w:t>
      </w:r>
      <w:bookmarkEnd w:id="787"/>
    </w:p>
    <w:p w:rsidR="00825060" w:rsidRDefault="00BB57F7" w:rsidP="002637ED">
      <w:pPr>
        <w:spacing w:after="0" w:line="240" w:lineRule="auto"/>
        <w:jc w:val="center"/>
      </w:pPr>
      <w:r w:rsidRPr="00BB57F7">
        <w:rPr>
          <w:noProof/>
        </w:rPr>
        <w:drawing>
          <wp:inline distT="0" distB="0" distL="0" distR="0">
            <wp:extent cx="4892526" cy="3304770"/>
            <wp:effectExtent l="19050" t="19050" r="22374" b="993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4892052" cy="3304450"/>
                    </a:xfrm>
                    <a:prstGeom prst="rect">
                      <a:avLst/>
                    </a:prstGeom>
                    <a:noFill/>
                    <a:ln w="3175">
                      <a:solidFill>
                        <a:schemeClr val="tx1"/>
                      </a:solidFill>
                      <a:miter lim="800000"/>
                      <a:headEnd/>
                      <a:tailEnd/>
                    </a:ln>
                  </pic:spPr>
                </pic:pic>
              </a:graphicData>
            </a:graphic>
          </wp:inline>
        </w:drawing>
      </w:r>
    </w:p>
    <w:p w:rsidR="00BF1742" w:rsidRPr="00825060" w:rsidRDefault="00BF1742" w:rsidP="00C91BFA">
      <w:pPr>
        <w:pStyle w:val="Caption-Figure"/>
        <w:keepNext w:val="0"/>
        <w:keepLines w:val="0"/>
        <w:spacing w:after="240"/>
        <w:ind w:left="806"/>
      </w:pPr>
      <w:bookmarkStart w:id="788" w:name="_Ref266611280"/>
      <w:bookmarkStart w:id="789" w:name="_Toc271552395"/>
      <w:bookmarkStart w:id="790" w:name="_Ref262126373"/>
      <w:r>
        <w:t xml:space="preserve">Figure </w:t>
      </w:r>
      <w:r w:rsidR="00832C7A">
        <w:fldChar w:fldCharType="begin"/>
      </w:r>
      <w:r w:rsidR="00807C8D">
        <w:instrText xml:space="preserve"> STYLEREF 1 \s </w:instrText>
      </w:r>
      <w:r w:rsidR="00832C7A">
        <w:fldChar w:fldCharType="separate"/>
      </w:r>
      <w:r w:rsidR="00E5699E">
        <w:rPr>
          <w:noProof/>
        </w:rPr>
        <w:t>10</w:t>
      </w:r>
      <w:r w:rsidR="00832C7A">
        <w:fldChar w:fldCharType="end"/>
      </w:r>
      <w:r w:rsidR="00807C8D">
        <w:noBreakHyphen/>
      </w:r>
      <w:r w:rsidR="00832C7A">
        <w:fldChar w:fldCharType="begin"/>
      </w:r>
      <w:r w:rsidR="00807C8D">
        <w:instrText xml:space="preserve"> SEQ Figure \* ARABIC \s 1 </w:instrText>
      </w:r>
      <w:r w:rsidR="00832C7A">
        <w:fldChar w:fldCharType="separate"/>
      </w:r>
      <w:r w:rsidR="00E5699E">
        <w:rPr>
          <w:noProof/>
        </w:rPr>
        <w:t>3</w:t>
      </w:r>
      <w:r w:rsidR="00832C7A">
        <w:fldChar w:fldCharType="end"/>
      </w:r>
      <w:bookmarkEnd w:id="788"/>
      <w:r>
        <w:t xml:space="preserve">: </w:t>
      </w:r>
      <w:r w:rsidR="00825060" w:rsidRPr="00825060">
        <w:t>Transmission inter</w:t>
      </w:r>
      <w:r w:rsidR="00825060" w:rsidRPr="00825060">
        <w:rPr>
          <w:noProof/>
        </w:rPr>
        <w:t>face</w:t>
      </w:r>
      <w:r w:rsidR="00825060" w:rsidRPr="00825060">
        <w:t>s Group 2.</w:t>
      </w:r>
      <w:bookmarkEnd w:id="789"/>
    </w:p>
    <w:p w:rsidR="00B83739" w:rsidRDefault="00E97376" w:rsidP="00CD4E49">
      <w:pPr>
        <w:pStyle w:val="Caption"/>
      </w:pPr>
      <w:bookmarkStart w:id="791" w:name="_Ref266867000"/>
      <w:bookmarkStart w:id="792" w:name="_Toc271552442"/>
      <w:r>
        <w:t xml:space="preserve">Table </w:t>
      </w:r>
      <w:r w:rsidR="00832C7A">
        <w:fldChar w:fldCharType="begin"/>
      </w:r>
      <w:r w:rsidR="00B2406F">
        <w:instrText xml:space="preserve"> STYLEREF 1 \s </w:instrText>
      </w:r>
      <w:r w:rsidR="00832C7A">
        <w:fldChar w:fldCharType="separate"/>
      </w:r>
      <w:r w:rsidR="00E5699E">
        <w:rPr>
          <w:noProof/>
        </w:rPr>
        <w:t>10</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1</w:t>
      </w:r>
      <w:r w:rsidR="00832C7A">
        <w:fldChar w:fldCharType="end"/>
      </w:r>
      <w:bookmarkEnd w:id="790"/>
      <w:bookmarkEnd w:id="791"/>
      <w:r w:rsidR="00B83739">
        <w:rPr>
          <w:rStyle w:val="CaptionChar"/>
        </w:rPr>
        <w:br/>
      </w:r>
      <w:r w:rsidR="00B83739" w:rsidRPr="00BF1742">
        <w:rPr>
          <w:rStyle w:val="CaptionChar"/>
          <w:b/>
          <w:noProof/>
        </w:rPr>
        <w:t>I</w:t>
      </w:r>
      <w:r w:rsidR="00B83739" w:rsidRPr="00BF1742">
        <w:rPr>
          <w:rStyle w:val="CaptionChar"/>
          <w:b/>
        </w:rPr>
        <w:t>nterface</w:t>
      </w:r>
      <w:r w:rsidR="00B83739" w:rsidRPr="00BF1742">
        <w:rPr>
          <w:rStyle w:val="CaptionChar"/>
          <w:b/>
          <w:noProof/>
        </w:rPr>
        <w:t xml:space="preserve">s </w:t>
      </w:r>
      <w:r w:rsidR="00B83739" w:rsidRPr="00BF1742">
        <w:rPr>
          <w:rStyle w:val="CaptionChar"/>
          <w:b/>
        </w:rPr>
        <w:t>M</w:t>
      </w:r>
      <w:r w:rsidR="00B83739" w:rsidRPr="00BF1742">
        <w:rPr>
          <w:rStyle w:val="CaptionChar"/>
          <w:b/>
          <w:noProof/>
        </w:rPr>
        <w:t>o</w:t>
      </w:r>
      <w:r w:rsidR="00B83739" w:rsidRPr="00BF1742">
        <w:rPr>
          <w:rStyle w:val="CaptionChar"/>
          <w:b/>
        </w:rPr>
        <w:t>deled</w:t>
      </w:r>
      <w:bookmarkEnd w:id="792"/>
    </w:p>
    <w:tbl>
      <w:tblPr>
        <w:tblStyle w:val="TableGrid"/>
        <w:tblW w:w="98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288" w:type="dxa"/>
        </w:tblCellMar>
        <w:tblLook w:val="04A0"/>
      </w:tblPr>
      <w:tblGrid>
        <w:gridCol w:w="1008"/>
        <w:gridCol w:w="2018"/>
        <w:gridCol w:w="1448"/>
        <w:gridCol w:w="884"/>
        <w:gridCol w:w="743"/>
        <w:gridCol w:w="433"/>
        <w:gridCol w:w="1163"/>
        <w:gridCol w:w="2196"/>
      </w:tblGrid>
      <w:tr w:rsidR="000907E0" w:rsidRPr="00BF1742" w:rsidTr="00B6698C">
        <w:trPr>
          <w:cantSplit/>
          <w:jc w:val="center"/>
        </w:trPr>
        <w:tc>
          <w:tcPr>
            <w:tcW w:w="1008" w:type="dxa"/>
            <w:vMerge w:val="restart"/>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Number</w:t>
            </w:r>
          </w:p>
        </w:tc>
        <w:tc>
          <w:tcPr>
            <w:tcW w:w="2018" w:type="dxa"/>
            <w:vMerge w:val="restart"/>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Interface Name</w:t>
            </w:r>
          </w:p>
        </w:tc>
        <w:tc>
          <w:tcPr>
            <w:tcW w:w="1448" w:type="dxa"/>
            <w:vMerge w:val="restart"/>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 xml:space="preserve">Interface </w:t>
            </w:r>
            <w:r>
              <w:rPr>
                <w:rFonts w:ascii="Arial" w:hAnsi="Arial" w:cs="Arial"/>
                <w:b/>
                <w:sz w:val="16"/>
                <w:szCs w:val="16"/>
              </w:rPr>
              <w:t>Abbreviation</w:t>
            </w:r>
          </w:p>
        </w:tc>
        <w:tc>
          <w:tcPr>
            <w:tcW w:w="1627" w:type="dxa"/>
            <w:gridSpan w:val="2"/>
            <w:shd w:val="clear" w:color="auto" w:fill="FBCE76" w:themeFill="background2" w:themeFillTint="99"/>
            <w:tcMar>
              <w:top w:w="43" w:type="dxa"/>
              <w:bottom w:w="43" w:type="dxa"/>
            </w:tcMar>
            <w:vAlign w:val="center"/>
          </w:tcPr>
          <w:p w:rsidR="0093706A" w:rsidRPr="00CD74EC" w:rsidRDefault="00BC7F25" w:rsidP="00CD4E49">
            <w:pPr>
              <w:keepNext/>
              <w:keepLines/>
              <w:spacing w:after="0" w:line="240" w:lineRule="auto"/>
              <w:jc w:val="center"/>
              <w:rPr>
                <w:rFonts w:ascii="Arial" w:hAnsi="Arial" w:cs="Arial"/>
                <w:b/>
                <w:sz w:val="16"/>
                <w:szCs w:val="16"/>
              </w:rPr>
            </w:pPr>
            <w:r w:rsidRPr="00BC7F25">
              <w:rPr>
                <w:rFonts w:ascii="Arial" w:hAnsi="Arial" w:cs="Arial"/>
                <w:b/>
                <w:sz w:val="16"/>
                <w:szCs w:val="16"/>
              </w:rPr>
              <w:t>Forward (MW)</w:t>
            </w:r>
          </w:p>
        </w:tc>
        <w:tc>
          <w:tcPr>
            <w:tcW w:w="1596" w:type="dxa"/>
            <w:gridSpan w:val="2"/>
            <w:shd w:val="clear" w:color="auto" w:fill="FBCE76" w:themeFill="background2" w:themeFillTint="99"/>
            <w:tcMar>
              <w:top w:w="43" w:type="dxa"/>
              <w:bottom w:w="43" w:type="dxa"/>
            </w:tcMar>
            <w:vAlign w:val="center"/>
          </w:tcPr>
          <w:p w:rsidR="0093706A" w:rsidRPr="00CD74EC" w:rsidRDefault="00BC7F25" w:rsidP="00CD4E49">
            <w:pPr>
              <w:keepNext/>
              <w:keepLines/>
              <w:spacing w:after="0" w:line="240" w:lineRule="auto"/>
              <w:jc w:val="center"/>
              <w:rPr>
                <w:rFonts w:ascii="Arial" w:hAnsi="Arial" w:cs="Arial"/>
                <w:b/>
                <w:sz w:val="16"/>
                <w:szCs w:val="16"/>
              </w:rPr>
            </w:pPr>
            <w:r w:rsidRPr="00BC7F25">
              <w:rPr>
                <w:rFonts w:ascii="Arial" w:hAnsi="Arial" w:cs="Arial"/>
                <w:b/>
                <w:sz w:val="16"/>
                <w:szCs w:val="16"/>
              </w:rPr>
              <w:t>Reverse (MW)</w:t>
            </w:r>
          </w:p>
        </w:tc>
        <w:tc>
          <w:tcPr>
            <w:tcW w:w="2196" w:type="dxa"/>
            <w:vMerge w:val="restart"/>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Forward Direction</w:t>
            </w:r>
          </w:p>
        </w:tc>
      </w:tr>
      <w:tr w:rsidR="000907E0" w:rsidRPr="00BF1742" w:rsidTr="00B6698C">
        <w:trPr>
          <w:cantSplit/>
          <w:jc w:val="center"/>
        </w:trPr>
        <w:tc>
          <w:tcPr>
            <w:tcW w:w="1008"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c>
          <w:tcPr>
            <w:tcW w:w="2018"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c>
          <w:tcPr>
            <w:tcW w:w="1448" w:type="dxa"/>
            <w:vMerge/>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p>
        </w:tc>
        <w:tc>
          <w:tcPr>
            <w:tcW w:w="3223" w:type="dxa"/>
            <w:gridSpan w:val="4"/>
            <w:shd w:val="clear" w:color="auto" w:fill="FBCE76" w:themeFill="background2" w:themeFillTint="99"/>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Color Codes</w:t>
            </w:r>
          </w:p>
        </w:tc>
        <w:tc>
          <w:tcPr>
            <w:tcW w:w="2196"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r>
      <w:tr w:rsidR="000907E0" w:rsidRPr="00BF1742" w:rsidTr="00B6698C">
        <w:trPr>
          <w:cantSplit/>
          <w:jc w:val="center"/>
        </w:trPr>
        <w:tc>
          <w:tcPr>
            <w:tcW w:w="1008"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c>
          <w:tcPr>
            <w:tcW w:w="2018"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c>
          <w:tcPr>
            <w:tcW w:w="1448" w:type="dxa"/>
            <w:vMerge/>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p>
        </w:tc>
        <w:tc>
          <w:tcPr>
            <w:tcW w:w="884" w:type="dxa"/>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 xml:space="preserve">Same as </w:t>
            </w:r>
            <w:r w:rsidR="00BC7F25" w:rsidRPr="00344A90">
              <w:rPr>
                <w:rFonts w:ascii="Arial" w:hAnsi="Arial" w:cs="Arial"/>
                <w:b/>
                <w:sz w:val="16"/>
                <w:szCs w:val="16"/>
              </w:rPr>
              <w:t>MARS</w:t>
            </w:r>
            <w:r w:rsidR="00344A90">
              <w:rPr>
                <w:rFonts w:ascii="Arial" w:hAnsi="Arial" w:cs="Arial"/>
                <w:b/>
                <w:sz w:val="16"/>
                <w:szCs w:val="16"/>
              </w:rPr>
              <w:t xml:space="preserve"> </w:t>
            </w:r>
            <w:r w:rsidRPr="00BF1742">
              <w:rPr>
                <w:rFonts w:ascii="Arial" w:hAnsi="Arial" w:cs="Arial"/>
                <w:b/>
                <w:sz w:val="16"/>
                <w:szCs w:val="16"/>
              </w:rPr>
              <w:t>Data</w:t>
            </w:r>
            <w:r w:rsidR="00344A90" w:rsidRPr="00344A90">
              <w:rPr>
                <w:rFonts w:ascii="Arial" w:hAnsi="Arial" w:cs="Arial"/>
                <w:b/>
                <w:sz w:val="16"/>
                <w:szCs w:val="16"/>
                <w:vertAlign w:val="superscript"/>
              </w:rPr>
              <w:t>(a)</w:t>
            </w:r>
          </w:p>
        </w:tc>
        <w:tc>
          <w:tcPr>
            <w:tcW w:w="1176" w:type="dxa"/>
            <w:gridSpan w:val="2"/>
            <w:shd w:val="clear" w:color="auto" w:fill="E3F4D1" w:themeFill="accent5" w:themeFillTint="33"/>
            <w:tcMar>
              <w:top w:w="43" w:type="dxa"/>
              <w:bottom w:w="43" w:type="dxa"/>
            </w:tcMar>
            <w:vAlign w:val="center"/>
          </w:tcPr>
          <w:p w:rsidR="00FB7A9D"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 xml:space="preserve">Economic </w:t>
            </w:r>
            <w:r w:rsidR="003C0AB2">
              <w:rPr>
                <w:rFonts w:ascii="Arial" w:hAnsi="Arial" w:cs="Arial"/>
                <w:b/>
                <w:sz w:val="16"/>
                <w:szCs w:val="16"/>
              </w:rPr>
              <w:t>T</w:t>
            </w:r>
            <w:r w:rsidRPr="00BF1742">
              <w:rPr>
                <w:rFonts w:ascii="Arial" w:hAnsi="Arial" w:cs="Arial"/>
                <w:b/>
                <w:sz w:val="16"/>
                <w:szCs w:val="16"/>
              </w:rPr>
              <w:t xml:space="preserve">ransfer </w:t>
            </w:r>
            <w:r w:rsidR="003C0AB2">
              <w:rPr>
                <w:rFonts w:ascii="Arial" w:hAnsi="Arial" w:cs="Arial"/>
                <w:b/>
                <w:sz w:val="16"/>
                <w:szCs w:val="16"/>
              </w:rPr>
              <w:t>L</w:t>
            </w:r>
            <w:r w:rsidRPr="00BF1742">
              <w:rPr>
                <w:rFonts w:ascii="Arial" w:hAnsi="Arial" w:cs="Arial"/>
                <w:b/>
                <w:sz w:val="16"/>
                <w:szCs w:val="16"/>
              </w:rPr>
              <w:t>imit</w:t>
            </w:r>
          </w:p>
        </w:tc>
        <w:tc>
          <w:tcPr>
            <w:tcW w:w="1163" w:type="dxa"/>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jc w:val="center"/>
              <w:rPr>
                <w:rFonts w:ascii="Arial" w:hAnsi="Arial" w:cs="Arial"/>
                <w:b/>
                <w:sz w:val="16"/>
                <w:szCs w:val="16"/>
              </w:rPr>
            </w:pPr>
            <w:r w:rsidRPr="00BF1742">
              <w:rPr>
                <w:rFonts w:ascii="Arial" w:hAnsi="Arial" w:cs="Arial"/>
                <w:b/>
                <w:sz w:val="16"/>
                <w:szCs w:val="16"/>
              </w:rPr>
              <w:t>Unlimited</w:t>
            </w:r>
          </w:p>
        </w:tc>
        <w:tc>
          <w:tcPr>
            <w:tcW w:w="2196" w:type="dxa"/>
            <w:vMerge/>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w:t>
            </w:r>
          </w:p>
        </w:tc>
        <w:tc>
          <w:tcPr>
            <w:tcW w:w="2018" w:type="dxa"/>
            <w:tcMar>
              <w:top w:w="43" w:type="dxa"/>
              <w:bottom w:w="43" w:type="dxa"/>
            </w:tcMar>
            <w:vAlign w:val="center"/>
          </w:tcPr>
          <w:p w:rsidR="0093706A" w:rsidRPr="00BF1742" w:rsidRDefault="0093706A" w:rsidP="000907E0">
            <w:pPr>
              <w:keepNext/>
              <w:keepLines/>
              <w:spacing w:after="0" w:line="240" w:lineRule="auto"/>
              <w:rPr>
                <w:rFonts w:ascii="Arial" w:hAnsi="Arial" w:cs="Arial"/>
                <w:sz w:val="16"/>
                <w:szCs w:val="16"/>
              </w:rPr>
            </w:pPr>
            <w:r>
              <w:rPr>
                <w:rFonts w:ascii="Arial" w:hAnsi="Arial" w:cs="Arial"/>
                <w:color w:val="000000"/>
                <w:sz w:val="16"/>
                <w:szCs w:val="16"/>
              </w:rPr>
              <w:t xml:space="preserve">New York's Central East plus Marcy </w:t>
            </w:r>
            <w:r w:rsidR="000907E0">
              <w:rPr>
                <w:rFonts w:ascii="Arial" w:hAnsi="Arial" w:cs="Arial"/>
                <w:color w:val="000000"/>
                <w:sz w:val="16"/>
                <w:szCs w:val="16"/>
              </w:rPr>
              <w:t>S</w:t>
            </w:r>
            <w:r>
              <w:rPr>
                <w:rFonts w:ascii="Arial" w:hAnsi="Arial" w:cs="Arial"/>
                <w:color w:val="000000"/>
                <w:sz w:val="16"/>
                <w:szCs w:val="16"/>
              </w:rPr>
              <w:t>outh</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CE GRP</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4,550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3,400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To the southwest</w:t>
            </w:r>
          </w:p>
        </w:tc>
      </w:tr>
      <w:tr w:rsidR="000907E0" w:rsidRPr="00BF1742" w:rsidTr="00B6698C">
        <w:trPr>
          <w:cantSplit/>
          <w:trHeight w:val="339"/>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2</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New York's Total East</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Total-ES</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6,425</w:t>
            </w:r>
          </w:p>
        </w:tc>
        <w:tc>
          <w:tcPr>
            <w:tcW w:w="1596"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west to east</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3</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Dunwoodie South plus lines Y49</w:t>
            </w:r>
            <w:r w:rsidR="00A77881">
              <w:rPr>
                <w:rFonts w:ascii="Arial" w:hAnsi="Arial" w:cs="Arial"/>
                <w:color w:val="000000"/>
                <w:sz w:val="16"/>
                <w:szCs w:val="16"/>
              </w:rPr>
              <w:t xml:space="preserve"> </w:t>
            </w:r>
            <w:r>
              <w:rPr>
                <w:rFonts w:ascii="Arial" w:hAnsi="Arial" w:cs="Arial"/>
                <w:color w:val="000000"/>
                <w:sz w:val="16"/>
                <w:szCs w:val="16"/>
              </w:rPr>
              <w:t>and Y50</w:t>
            </w:r>
          </w:p>
        </w:tc>
        <w:tc>
          <w:tcPr>
            <w:tcW w:w="1448" w:type="dxa"/>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DSY49Y50</w:t>
            </w:r>
          </w:p>
        </w:tc>
        <w:tc>
          <w:tcPr>
            <w:tcW w:w="1627" w:type="dxa"/>
            <w:gridSpan w:val="2"/>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99,999</w:t>
            </w:r>
          </w:p>
        </w:tc>
        <w:tc>
          <w:tcPr>
            <w:tcW w:w="1596" w:type="dxa"/>
            <w:gridSpan w:val="2"/>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To New York City</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4</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A77881">
              <w:rPr>
                <w:rFonts w:ascii="Arial" w:hAnsi="Arial" w:cs="Arial"/>
                <w:color w:val="000000"/>
                <w:sz w:val="16"/>
                <w:szCs w:val="16"/>
              </w:rPr>
              <w:t>New England's</w:t>
            </w:r>
            <w:r w:rsidR="00E67AC7" w:rsidRPr="00A77881">
              <w:rPr>
                <w:rFonts w:ascii="Arial" w:hAnsi="Arial" w:cs="Arial"/>
                <w:color w:val="000000"/>
                <w:sz w:val="16"/>
                <w:szCs w:val="16"/>
              </w:rPr>
              <w:br/>
            </w:r>
            <w:r w:rsidRPr="00A77881">
              <w:rPr>
                <w:rFonts w:ascii="Arial" w:hAnsi="Arial" w:cs="Arial"/>
                <w:color w:val="000000"/>
                <w:sz w:val="16"/>
                <w:szCs w:val="16"/>
              </w:rPr>
              <w:t>East</w:t>
            </w:r>
            <w:r w:rsidR="00A77881" w:rsidRPr="00A77881">
              <w:rPr>
                <w:rFonts w:ascii="Arial" w:hAnsi="Arial" w:cs="Arial"/>
                <w:color w:val="000000"/>
                <w:sz w:val="16"/>
                <w:szCs w:val="16"/>
              </w:rPr>
              <w:t>–</w:t>
            </w:r>
            <w:r w:rsidRPr="00A77881">
              <w:rPr>
                <w:rFonts w:ascii="Arial" w:hAnsi="Arial" w:cs="Arial"/>
                <w:color w:val="000000"/>
                <w:sz w:val="16"/>
                <w:szCs w:val="16"/>
              </w:rPr>
              <w:t>West</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East–West</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2,800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Boston toward New York</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5</w:t>
            </w:r>
          </w:p>
        </w:tc>
        <w:tc>
          <w:tcPr>
            <w:tcW w:w="2018" w:type="dxa"/>
            <w:tcMar>
              <w:top w:w="43" w:type="dxa"/>
              <w:bottom w:w="43" w:type="dxa"/>
            </w:tcMar>
            <w:vAlign w:val="center"/>
          </w:tcPr>
          <w:p w:rsidR="0093706A" w:rsidRPr="00BF1742" w:rsidRDefault="0093706A" w:rsidP="00585072">
            <w:pPr>
              <w:keepNext/>
              <w:keepLines/>
              <w:spacing w:after="0" w:line="240" w:lineRule="auto"/>
              <w:rPr>
                <w:rFonts w:ascii="Arial" w:hAnsi="Arial" w:cs="Arial"/>
                <w:sz w:val="16"/>
                <w:szCs w:val="16"/>
              </w:rPr>
            </w:pPr>
            <w:r>
              <w:rPr>
                <w:rFonts w:ascii="Arial" w:hAnsi="Arial" w:cs="Arial"/>
                <w:color w:val="000000"/>
                <w:sz w:val="16"/>
                <w:szCs w:val="16"/>
              </w:rPr>
              <w:t>New York</w:t>
            </w:r>
            <w:r w:rsidR="00585072">
              <w:rPr>
                <w:rFonts w:ascii="Arial" w:hAnsi="Arial" w:cs="Arial"/>
                <w:color w:val="000000"/>
                <w:sz w:val="16"/>
                <w:szCs w:val="16"/>
              </w:rPr>
              <w:t>–</w:t>
            </w:r>
            <w:r w:rsidR="00E67AC7">
              <w:rPr>
                <w:rFonts w:ascii="Arial" w:hAnsi="Arial" w:cs="Arial"/>
                <w:color w:val="000000"/>
                <w:sz w:val="16"/>
                <w:szCs w:val="16"/>
              </w:rPr>
              <w:br/>
            </w:r>
            <w:r>
              <w:rPr>
                <w:rFonts w:ascii="Arial" w:hAnsi="Arial" w:cs="Arial"/>
                <w:color w:val="000000"/>
                <w:sz w:val="16"/>
                <w:szCs w:val="16"/>
              </w:rPr>
              <w:t>New England</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NY–NE</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1,250</w:t>
            </w:r>
          </w:p>
        </w:tc>
        <w:tc>
          <w:tcPr>
            <w:tcW w:w="1596"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1,250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New York to New England</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6</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New England North</w:t>
            </w:r>
            <w:r w:rsidR="00E67AC7">
              <w:rPr>
                <w:rFonts w:ascii="Arial" w:hAnsi="Arial" w:cs="Arial"/>
                <w:color w:val="000000"/>
                <w:sz w:val="16"/>
                <w:szCs w:val="16"/>
              </w:rPr>
              <w:t>–</w:t>
            </w:r>
            <w:r>
              <w:rPr>
                <w:rFonts w:ascii="Arial" w:hAnsi="Arial" w:cs="Arial"/>
                <w:color w:val="000000"/>
                <w:sz w:val="16"/>
                <w:szCs w:val="16"/>
              </w:rPr>
              <w:t>South Interface</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70E41">
              <w:rPr>
                <w:rFonts w:ascii="Arial" w:hAnsi="Arial" w:cs="Arial"/>
                <w:sz w:val="16"/>
                <w:szCs w:val="16"/>
              </w:rPr>
              <w:t>N to S</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2,700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New Hampshire to Massachusetts</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7</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 xml:space="preserve">Connecticut </w:t>
            </w:r>
            <w:r w:rsidR="00A77881">
              <w:rPr>
                <w:rFonts w:ascii="Arial" w:hAnsi="Arial" w:cs="Arial"/>
                <w:color w:val="000000"/>
                <w:sz w:val="16"/>
                <w:szCs w:val="16"/>
              </w:rPr>
              <w:t>i</w:t>
            </w:r>
            <w:r>
              <w:rPr>
                <w:rFonts w:ascii="Arial" w:hAnsi="Arial" w:cs="Arial"/>
                <w:color w:val="000000"/>
                <w:sz w:val="16"/>
                <w:szCs w:val="16"/>
              </w:rPr>
              <w:t xml:space="preserve">mport </w:t>
            </w:r>
            <w:r w:rsidR="00CD74EC">
              <w:rPr>
                <w:rFonts w:ascii="Arial" w:hAnsi="Arial" w:cs="Arial"/>
                <w:color w:val="000000"/>
                <w:sz w:val="16"/>
                <w:szCs w:val="16"/>
              </w:rPr>
              <w:br/>
            </w:r>
            <w:r>
              <w:rPr>
                <w:rFonts w:ascii="Arial" w:hAnsi="Arial" w:cs="Arial"/>
                <w:color w:val="000000"/>
                <w:sz w:val="16"/>
                <w:szCs w:val="16"/>
              </w:rPr>
              <w:t>(AC only)</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CT-IMPEX</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2,500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Into Connecticut</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8</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PJM West–Central</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PJM West–Central</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4,250</w:t>
            </w:r>
          </w:p>
        </w:tc>
        <w:tc>
          <w:tcPr>
            <w:tcW w:w="1596"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4,250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the west into central PJM</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9</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PJM Central–East</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PJM Central–East</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6,450</w:t>
            </w:r>
          </w:p>
        </w:tc>
        <w:tc>
          <w:tcPr>
            <w:tcW w:w="1596"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6,450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the central into eastern PJM</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10</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Dysinger East (</w:t>
            </w:r>
            <w:r w:rsidR="00E67AC7">
              <w:rPr>
                <w:rFonts w:ascii="Arial" w:hAnsi="Arial" w:cs="Arial"/>
                <w:color w:val="000000"/>
                <w:sz w:val="16"/>
                <w:szCs w:val="16"/>
              </w:rPr>
              <w:t>b</w:t>
            </w:r>
            <w:r>
              <w:rPr>
                <w:rFonts w:ascii="Arial" w:hAnsi="Arial" w:cs="Arial"/>
                <w:color w:val="000000"/>
                <w:sz w:val="16"/>
                <w:szCs w:val="16"/>
              </w:rPr>
              <w:t>etween Buffalo</w:t>
            </w:r>
            <w:r w:rsidR="00CD74EC">
              <w:rPr>
                <w:rFonts w:ascii="Arial" w:hAnsi="Arial" w:cs="Arial"/>
                <w:color w:val="000000"/>
                <w:sz w:val="16"/>
                <w:szCs w:val="16"/>
              </w:rPr>
              <w:br/>
            </w:r>
            <w:r>
              <w:rPr>
                <w:rFonts w:ascii="Arial" w:hAnsi="Arial" w:cs="Arial"/>
                <w:color w:val="000000"/>
                <w:sz w:val="16"/>
                <w:szCs w:val="16"/>
              </w:rPr>
              <w:t>and Rochester)</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DY Singer</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2,850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Buffalo, NY, to the east</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11</w:t>
            </w:r>
          </w:p>
        </w:tc>
        <w:tc>
          <w:tcPr>
            <w:tcW w:w="2018" w:type="dxa"/>
            <w:tcMar>
              <w:top w:w="43" w:type="dxa"/>
              <w:bottom w:w="43" w:type="dxa"/>
            </w:tcMar>
            <w:vAlign w:val="center"/>
          </w:tcPr>
          <w:p w:rsidR="0093706A" w:rsidRPr="00BF1742" w:rsidRDefault="0093706A" w:rsidP="00585072">
            <w:pPr>
              <w:keepNext/>
              <w:keepLines/>
              <w:spacing w:after="0" w:line="240" w:lineRule="auto"/>
              <w:rPr>
                <w:rFonts w:ascii="Arial" w:hAnsi="Arial" w:cs="Arial"/>
                <w:sz w:val="16"/>
                <w:szCs w:val="16"/>
              </w:rPr>
            </w:pPr>
            <w:r>
              <w:rPr>
                <w:rFonts w:ascii="Arial" w:hAnsi="Arial" w:cs="Arial"/>
                <w:color w:val="000000"/>
                <w:sz w:val="16"/>
                <w:szCs w:val="16"/>
              </w:rPr>
              <w:t>New Brunswick</w:t>
            </w:r>
            <w:r w:rsidR="00585072">
              <w:rPr>
                <w:rFonts w:ascii="Arial" w:hAnsi="Arial" w:cs="Arial"/>
                <w:color w:val="000000"/>
                <w:sz w:val="16"/>
                <w:szCs w:val="16"/>
              </w:rPr>
              <w:t>–</w:t>
            </w:r>
            <w:r w:rsidR="00CD74EC">
              <w:rPr>
                <w:rFonts w:ascii="Arial" w:hAnsi="Arial" w:cs="Arial"/>
                <w:color w:val="000000"/>
                <w:sz w:val="16"/>
                <w:szCs w:val="16"/>
              </w:rPr>
              <w:br/>
            </w:r>
            <w:r>
              <w:rPr>
                <w:rFonts w:ascii="Arial" w:hAnsi="Arial" w:cs="Arial"/>
                <w:color w:val="000000"/>
                <w:sz w:val="16"/>
                <w:szCs w:val="16"/>
              </w:rPr>
              <w:t>New England</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NB–BHE</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1,000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550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New Brunswick</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12</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Suroweic</w:t>
            </w:r>
            <w:r w:rsidR="00E67AC7">
              <w:rPr>
                <w:rFonts w:ascii="Arial" w:hAnsi="Arial" w:cs="Arial"/>
                <w:color w:val="000000"/>
                <w:sz w:val="16"/>
                <w:szCs w:val="16"/>
              </w:rPr>
              <w:t>–</w:t>
            </w:r>
            <w:r>
              <w:rPr>
                <w:rFonts w:ascii="Arial" w:hAnsi="Arial" w:cs="Arial"/>
                <w:color w:val="000000"/>
                <w:sz w:val="16"/>
                <w:szCs w:val="16"/>
              </w:rPr>
              <w:t>South</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Suroweic–South</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1,200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central Maine to southern Maine</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13</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Orrington</w:t>
            </w:r>
            <w:r w:rsidR="00E67AC7">
              <w:rPr>
                <w:rFonts w:ascii="Arial" w:hAnsi="Arial" w:cs="Arial"/>
                <w:color w:val="000000"/>
                <w:sz w:val="16"/>
                <w:szCs w:val="16"/>
              </w:rPr>
              <w:t>–</w:t>
            </w:r>
            <w:r>
              <w:rPr>
                <w:rFonts w:ascii="Arial" w:hAnsi="Arial" w:cs="Arial"/>
                <w:color w:val="000000"/>
                <w:sz w:val="16"/>
                <w:szCs w:val="16"/>
              </w:rPr>
              <w:t>South</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Orrington–South</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1,150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Bangor, Maine, to central Maine</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14</w:t>
            </w:r>
          </w:p>
        </w:tc>
        <w:tc>
          <w:tcPr>
            <w:tcW w:w="2018" w:type="dxa"/>
            <w:tcMar>
              <w:top w:w="43" w:type="dxa"/>
              <w:bottom w:w="43" w:type="dxa"/>
            </w:tcMar>
            <w:vAlign w:val="center"/>
          </w:tcPr>
          <w:p w:rsidR="0093706A" w:rsidRPr="00BF1742" w:rsidRDefault="0093706A" w:rsidP="000907E0">
            <w:pPr>
              <w:keepNext/>
              <w:keepLines/>
              <w:spacing w:after="0" w:line="240" w:lineRule="auto"/>
              <w:rPr>
                <w:rFonts w:ascii="Arial" w:hAnsi="Arial" w:cs="Arial"/>
                <w:sz w:val="16"/>
                <w:szCs w:val="16"/>
              </w:rPr>
            </w:pPr>
            <w:r>
              <w:rPr>
                <w:rFonts w:ascii="Arial" w:hAnsi="Arial" w:cs="Arial"/>
                <w:color w:val="000000"/>
                <w:sz w:val="16"/>
                <w:szCs w:val="16"/>
              </w:rPr>
              <w:t>Maine</w:t>
            </w:r>
            <w:r w:rsidR="00E67AC7">
              <w:rPr>
                <w:rFonts w:ascii="Arial" w:hAnsi="Arial" w:cs="Arial"/>
                <w:color w:val="000000"/>
                <w:sz w:val="16"/>
                <w:szCs w:val="16"/>
              </w:rPr>
              <w:t>–</w:t>
            </w:r>
            <w:r>
              <w:rPr>
                <w:rFonts w:ascii="Arial" w:hAnsi="Arial" w:cs="Arial"/>
                <w:color w:val="000000"/>
                <w:sz w:val="16"/>
                <w:szCs w:val="16"/>
              </w:rPr>
              <w:t>New</w:t>
            </w:r>
            <w:r w:rsidR="000907E0">
              <w:rPr>
                <w:rFonts w:ascii="Arial" w:hAnsi="Arial" w:cs="Arial"/>
                <w:color w:val="000000"/>
                <w:sz w:val="16"/>
                <w:szCs w:val="16"/>
              </w:rPr>
              <w:br/>
            </w:r>
            <w:r>
              <w:rPr>
                <w:rFonts w:ascii="Arial" w:hAnsi="Arial" w:cs="Arial"/>
                <w:color w:val="000000"/>
                <w:sz w:val="16"/>
                <w:szCs w:val="16"/>
              </w:rPr>
              <w:t>Hampshire</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Maine–New Hampshire</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1,525</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southern Maine to New Hampshire</w:t>
            </w:r>
          </w:p>
        </w:tc>
      </w:tr>
      <w:tr w:rsidR="000907E0" w:rsidRPr="00BF1742" w:rsidTr="00B6698C">
        <w:trPr>
          <w:cantSplit/>
          <w:trHeight w:val="312"/>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15</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 xml:space="preserve">Boston </w:t>
            </w:r>
            <w:r w:rsidR="00A77881">
              <w:rPr>
                <w:rFonts w:ascii="Arial" w:hAnsi="Arial" w:cs="Arial"/>
                <w:color w:val="000000"/>
                <w:sz w:val="16"/>
                <w:szCs w:val="16"/>
              </w:rPr>
              <w:t>i</w:t>
            </w:r>
            <w:r>
              <w:rPr>
                <w:rFonts w:ascii="Arial" w:hAnsi="Arial" w:cs="Arial"/>
                <w:color w:val="000000"/>
                <w:sz w:val="16"/>
                <w:szCs w:val="16"/>
              </w:rPr>
              <w:t>mport</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Boston Import</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4,900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Into Boston</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16</w:t>
            </w:r>
          </w:p>
        </w:tc>
        <w:tc>
          <w:tcPr>
            <w:tcW w:w="2018" w:type="dxa"/>
            <w:tcMar>
              <w:top w:w="43" w:type="dxa"/>
              <w:bottom w:w="43" w:type="dxa"/>
            </w:tcMar>
            <w:vAlign w:val="center"/>
          </w:tcPr>
          <w:p w:rsidR="0093706A" w:rsidRPr="00BF1742" w:rsidRDefault="0093706A" w:rsidP="00585072">
            <w:pPr>
              <w:keepNext/>
              <w:keepLines/>
              <w:spacing w:after="0" w:line="240" w:lineRule="auto"/>
              <w:rPr>
                <w:rFonts w:ascii="Arial" w:hAnsi="Arial" w:cs="Arial"/>
                <w:sz w:val="16"/>
                <w:szCs w:val="16"/>
              </w:rPr>
            </w:pPr>
            <w:r>
              <w:rPr>
                <w:rFonts w:ascii="Arial" w:hAnsi="Arial" w:cs="Arial"/>
                <w:color w:val="000000"/>
                <w:sz w:val="16"/>
                <w:szCs w:val="16"/>
              </w:rPr>
              <w:t>Ontario</w:t>
            </w:r>
            <w:r w:rsidR="00585072">
              <w:rPr>
                <w:rFonts w:ascii="Arial" w:hAnsi="Arial" w:cs="Arial"/>
                <w:color w:val="000000"/>
                <w:sz w:val="16"/>
                <w:szCs w:val="16"/>
              </w:rPr>
              <w:t>–</w:t>
            </w:r>
            <w:r>
              <w:rPr>
                <w:rFonts w:ascii="Arial" w:hAnsi="Arial" w:cs="Arial"/>
                <w:color w:val="000000"/>
                <w:sz w:val="16"/>
                <w:szCs w:val="16"/>
              </w:rPr>
              <w:t>New York</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70E41">
              <w:rPr>
                <w:rFonts w:ascii="Arial" w:hAnsi="Arial" w:cs="Arial"/>
                <w:sz w:val="16"/>
                <w:szCs w:val="16"/>
              </w:rPr>
              <w:t xml:space="preserve">Ontario </w:t>
            </w:r>
            <w:r w:rsidR="00CD74EC">
              <w:rPr>
                <w:rFonts w:ascii="Arial" w:hAnsi="Arial" w:cs="Arial"/>
                <w:sz w:val="16"/>
                <w:szCs w:val="16"/>
              </w:rPr>
              <w:br/>
            </w:r>
            <w:r w:rsidRPr="00B70E41">
              <w:rPr>
                <w:rFonts w:ascii="Arial" w:hAnsi="Arial" w:cs="Arial"/>
                <w:sz w:val="16"/>
                <w:szCs w:val="16"/>
              </w:rPr>
              <w:t>to New York</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3,000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3,000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Ontario into New York</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17</w:t>
            </w:r>
          </w:p>
        </w:tc>
        <w:tc>
          <w:tcPr>
            <w:tcW w:w="2018" w:type="dxa"/>
            <w:tcMar>
              <w:top w:w="43" w:type="dxa"/>
              <w:bottom w:w="43" w:type="dxa"/>
            </w:tcMar>
            <w:vAlign w:val="center"/>
          </w:tcPr>
          <w:p w:rsidR="0093706A" w:rsidRPr="00BF1742" w:rsidRDefault="0093706A" w:rsidP="00585072">
            <w:pPr>
              <w:keepNext/>
              <w:keepLines/>
              <w:spacing w:after="0" w:line="240" w:lineRule="auto"/>
              <w:rPr>
                <w:rFonts w:ascii="Arial" w:hAnsi="Arial" w:cs="Arial"/>
                <w:sz w:val="16"/>
                <w:szCs w:val="16"/>
              </w:rPr>
            </w:pPr>
            <w:r>
              <w:rPr>
                <w:rFonts w:ascii="Arial" w:hAnsi="Arial" w:cs="Arial"/>
                <w:color w:val="000000"/>
                <w:sz w:val="16"/>
                <w:szCs w:val="16"/>
              </w:rPr>
              <w:t>Upper New York</w:t>
            </w:r>
            <w:r w:rsidR="00585072">
              <w:rPr>
                <w:rFonts w:ascii="Arial" w:hAnsi="Arial" w:cs="Arial"/>
                <w:color w:val="000000"/>
                <w:sz w:val="16"/>
                <w:szCs w:val="16"/>
              </w:rPr>
              <w:t>–</w:t>
            </w:r>
            <w:r>
              <w:rPr>
                <w:rFonts w:ascii="Arial" w:hAnsi="Arial" w:cs="Arial"/>
                <w:color w:val="000000"/>
                <w:sz w:val="16"/>
                <w:szCs w:val="16"/>
              </w:rPr>
              <w:t xml:space="preserve"> Consolidated Edison</w:t>
            </w:r>
          </w:p>
        </w:tc>
        <w:tc>
          <w:tcPr>
            <w:tcW w:w="144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G–SENY</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6,000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2,499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From NY G toward New York City</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18</w:t>
            </w:r>
          </w:p>
        </w:tc>
        <w:tc>
          <w:tcPr>
            <w:tcW w:w="2018"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Pr>
                <w:rFonts w:ascii="Arial" w:hAnsi="Arial" w:cs="Arial"/>
                <w:color w:val="000000"/>
                <w:sz w:val="16"/>
                <w:szCs w:val="16"/>
              </w:rPr>
              <w:t xml:space="preserve">Total </w:t>
            </w:r>
            <w:r w:rsidR="00A77881">
              <w:rPr>
                <w:rFonts w:ascii="Arial" w:hAnsi="Arial" w:cs="Arial"/>
                <w:color w:val="000000"/>
                <w:sz w:val="16"/>
                <w:szCs w:val="16"/>
              </w:rPr>
              <w:t>i</w:t>
            </w:r>
            <w:r>
              <w:rPr>
                <w:rFonts w:ascii="Arial" w:hAnsi="Arial" w:cs="Arial"/>
                <w:color w:val="000000"/>
                <w:sz w:val="16"/>
                <w:szCs w:val="16"/>
              </w:rPr>
              <w:t>mport into</w:t>
            </w:r>
            <w:r w:rsidR="00CD74EC">
              <w:rPr>
                <w:rFonts w:ascii="Arial" w:hAnsi="Arial" w:cs="Arial"/>
                <w:color w:val="000000"/>
                <w:sz w:val="16"/>
                <w:szCs w:val="16"/>
              </w:rPr>
              <w:br/>
            </w:r>
            <w:r>
              <w:rPr>
                <w:rFonts w:ascii="Arial" w:hAnsi="Arial" w:cs="Arial"/>
                <w:color w:val="000000"/>
                <w:sz w:val="16"/>
                <w:szCs w:val="16"/>
              </w:rPr>
              <w:t>New York City</w:t>
            </w:r>
          </w:p>
        </w:tc>
        <w:tc>
          <w:tcPr>
            <w:tcW w:w="1448" w:type="dxa"/>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J–Import</w:t>
            </w:r>
          </w:p>
        </w:tc>
        <w:tc>
          <w:tcPr>
            <w:tcW w:w="1627" w:type="dxa"/>
            <w:gridSpan w:val="2"/>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99,999</w:t>
            </w:r>
          </w:p>
        </w:tc>
        <w:tc>
          <w:tcPr>
            <w:tcW w:w="1596" w:type="dxa"/>
            <w:gridSpan w:val="2"/>
            <w:shd w:val="clear" w:color="auto" w:fill="FDEED1" w:themeFill="background2"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99,999</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Import into New York City</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19</w:t>
            </w:r>
            <w:r w:rsidR="00B70E41" w:rsidRPr="00B70E41">
              <w:rPr>
                <w:rFonts w:ascii="Arial" w:hAnsi="Arial" w:cs="Arial"/>
                <w:b/>
                <w:sz w:val="16"/>
                <w:szCs w:val="16"/>
                <w:vertAlign w:val="superscript"/>
              </w:rPr>
              <w:t>(</w:t>
            </w:r>
            <w:r w:rsidR="00344A90">
              <w:rPr>
                <w:rFonts w:ascii="Arial" w:hAnsi="Arial" w:cs="Arial"/>
                <w:b/>
                <w:sz w:val="16"/>
                <w:szCs w:val="16"/>
                <w:vertAlign w:val="superscript"/>
              </w:rPr>
              <w:t>b</w:t>
            </w:r>
            <w:r w:rsidR="00B70E41" w:rsidRPr="00B70E41">
              <w:rPr>
                <w:rFonts w:ascii="Arial" w:hAnsi="Arial" w:cs="Arial"/>
                <w:b/>
                <w:sz w:val="16"/>
                <w:szCs w:val="16"/>
                <w:vertAlign w:val="superscript"/>
              </w:rPr>
              <w:t>)</w:t>
            </w:r>
          </w:p>
        </w:tc>
        <w:tc>
          <w:tcPr>
            <w:tcW w:w="2018" w:type="dxa"/>
            <w:tcMar>
              <w:top w:w="43" w:type="dxa"/>
              <w:bottom w:w="43" w:type="dxa"/>
            </w:tcMar>
            <w:vAlign w:val="center"/>
          </w:tcPr>
          <w:p w:rsidR="0093706A" w:rsidRPr="00BF1742" w:rsidRDefault="0093706A" w:rsidP="00585072">
            <w:pPr>
              <w:keepNext/>
              <w:keepLines/>
              <w:spacing w:after="0" w:line="240" w:lineRule="auto"/>
              <w:rPr>
                <w:rFonts w:ascii="Arial" w:hAnsi="Arial" w:cs="Arial"/>
                <w:sz w:val="16"/>
                <w:szCs w:val="16"/>
              </w:rPr>
            </w:pPr>
            <w:r>
              <w:rPr>
                <w:rFonts w:ascii="Arial" w:hAnsi="Arial" w:cs="Arial"/>
                <w:color w:val="000000"/>
                <w:sz w:val="16"/>
                <w:szCs w:val="16"/>
              </w:rPr>
              <w:t>Eastern PJM</w:t>
            </w:r>
            <w:r w:rsidR="00585072">
              <w:rPr>
                <w:rFonts w:ascii="Arial" w:hAnsi="Arial" w:cs="Arial"/>
                <w:color w:val="000000"/>
                <w:sz w:val="16"/>
                <w:szCs w:val="16"/>
              </w:rPr>
              <w:t>–</w:t>
            </w:r>
            <w:r w:rsidR="00585072">
              <w:rPr>
                <w:rFonts w:ascii="Arial" w:hAnsi="Arial" w:cs="Arial"/>
                <w:color w:val="000000"/>
                <w:sz w:val="16"/>
                <w:szCs w:val="16"/>
              </w:rPr>
              <w:br/>
            </w:r>
            <w:r>
              <w:rPr>
                <w:rFonts w:ascii="Arial" w:hAnsi="Arial" w:cs="Arial"/>
                <w:color w:val="000000"/>
                <w:sz w:val="16"/>
                <w:szCs w:val="16"/>
              </w:rPr>
              <w:t>Southern New York</w:t>
            </w:r>
          </w:p>
        </w:tc>
        <w:tc>
          <w:tcPr>
            <w:tcW w:w="1448" w:type="dxa"/>
            <w:tcMar>
              <w:top w:w="43" w:type="dxa"/>
              <w:bottom w:w="43" w:type="dxa"/>
            </w:tcMar>
            <w:vAlign w:val="center"/>
          </w:tcPr>
          <w:p w:rsidR="0093706A" w:rsidRPr="00BF1742" w:rsidRDefault="00890D42" w:rsidP="00CD4E49">
            <w:pPr>
              <w:keepNext/>
              <w:keepLines/>
              <w:spacing w:after="0" w:line="240" w:lineRule="auto"/>
              <w:rPr>
                <w:rFonts w:ascii="Arial" w:hAnsi="Arial" w:cs="Arial"/>
                <w:sz w:val="16"/>
                <w:szCs w:val="16"/>
              </w:rPr>
            </w:pPr>
            <w:r w:rsidRPr="00890D42">
              <w:rPr>
                <w:rFonts w:ascii="Arial" w:hAnsi="Arial" w:cs="Arial"/>
                <w:sz w:val="16"/>
                <w:szCs w:val="16"/>
              </w:rPr>
              <w:t>PJ_G&amp;PJ_J</w:t>
            </w:r>
          </w:p>
        </w:tc>
        <w:tc>
          <w:tcPr>
            <w:tcW w:w="1627"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1,500</w:t>
            </w:r>
          </w:p>
        </w:tc>
        <w:tc>
          <w:tcPr>
            <w:tcW w:w="1596" w:type="dxa"/>
            <w:gridSpan w:val="2"/>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2,000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Eastern PJM toward New York City</w:t>
            </w:r>
          </w:p>
        </w:tc>
      </w:tr>
      <w:tr w:rsidR="000907E0" w:rsidRPr="00BF1742" w:rsidTr="00B6698C">
        <w:trPr>
          <w:cantSplit/>
          <w:jc w:val="center"/>
        </w:trPr>
        <w:tc>
          <w:tcPr>
            <w:tcW w:w="1008" w:type="dxa"/>
            <w:tcMar>
              <w:top w:w="43" w:type="dxa"/>
              <w:bottom w:w="43" w:type="dxa"/>
            </w:tcMar>
            <w:vAlign w:val="center"/>
          </w:tcPr>
          <w:p w:rsidR="0093706A" w:rsidRPr="00BF1742" w:rsidRDefault="0093706A" w:rsidP="00CD4E49">
            <w:pPr>
              <w:keepNext/>
              <w:keepLines/>
              <w:spacing w:after="0" w:line="240" w:lineRule="auto"/>
              <w:rPr>
                <w:rFonts w:ascii="Arial" w:hAnsi="Arial" w:cs="Arial"/>
                <w:b/>
                <w:sz w:val="16"/>
                <w:szCs w:val="16"/>
              </w:rPr>
            </w:pPr>
            <w:r w:rsidRPr="00BF1742">
              <w:rPr>
                <w:rFonts w:ascii="Arial" w:hAnsi="Arial" w:cs="Arial"/>
                <w:b/>
                <w:sz w:val="16"/>
                <w:szCs w:val="16"/>
              </w:rPr>
              <w:t>20</w:t>
            </w:r>
          </w:p>
        </w:tc>
        <w:tc>
          <w:tcPr>
            <w:tcW w:w="2018" w:type="dxa"/>
            <w:tcMar>
              <w:top w:w="43" w:type="dxa"/>
              <w:bottom w:w="43" w:type="dxa"/>
            </w:tcMar>
            <w:vAlign w:val="center"/>
          </w:tcPr>
          <w:p w:rsidR="0093706A" w:rsidRPr="00BF1742" w:rsidRDefault="0093706A" w:rsidP="000907E0">
            <w:pPr>
              <w:keepNext/>
              <w:keepLines/>
              <w:spacing w:after="0" w:line="240" w:lineRule="auto"/>
              <w:rPr>
                <w:rFonts w:ascii="Arial" w:hAnsi="Arial" w:cs="Arial"/>
                <w:sz w:val="16"/>
                <w:szCs w:val="16"/>
              </w:rPr>
            </w:pPr>
            <w:r>
              <w:rPr>
                <w:rFonts w:ascii="Arial" w:hAnsi="Arial" w:cs="Arial"/>
                <w:color w:val="000000"/>
                <w:sz w:val="16"/>
                <w:szCs w:val="16"/>
              </w:rPr>
              <w:t>Total Import into</w:t>
            </w:r>
            <w:r w:rsidR="00A77881">
              <w:rPr>
                <w:rFonts w:ascii="Arial" w:hAnsi="Arial" w:cs="Arial"/>
                <w:color w:val="000000"/>
                <w:sz w:val="16"/>
                <w:szCs w:val="16"/>
              </w:rPr>
              <w:br/>
            </w:r>
            <w:r>
              <w:rPr>
                <w:rFonts w:ascii="Arial" w:hAnsi="Arial" w:cs="Arial"/>
                <w:color w:val="000000"/>
                <w:sz w:val="16"/>
                <w:szCs w:val="16"/>
              </w:rPr>
              <w:t>Long Island</w:t>
            </w:r>
            <w:r w:rsidR="000907E0">
              <w:rPr>
                <w:rFonts w:ascii="Arial" w:hAnsi="Arial" w:cs="Arial"/>
                <w:color w:val="000000"/>
                <w:sz w:val="16"/>
                <w:szCs w:val="16"/>
              </w:rPr>
              <w:t xml:space="preserve"> </w:t>
            </w:r>
            <w:r>
              <w:rPr>
                <w:rFonts w:ascii="Arial" w:hAnsi="Arial" w:cs="Arial"/>
                <w:color w:val="000000"/>
                <w:sz w:val="16"/>
                <w:szCs w:val="16"/>
              </w:rPr>
              <w:t xml:space="preserve">(AC </w:t>
            </w:r>
            <w:r w:rsidR="00CD74EC">
              <w:rPr>
                <w:rFonts w:ascii="Arial" w:hAnsi="Arial" w:cs="Arial"/>
                <w:color w:val="000000"/>
                <w:sz w:val="16"/>
                <w:szCs w:val="16"/>
              </w:rPr>
              <w:t>o</w:t>
            </w:r>
            <w:r>
              <w:rPr>
                <w:rFonts w:ascii="Arial" w:hAnsi="Arial" w:cs="Arial"/>
                <w:color w:val="000000"/>
                <w:sz w:val="16"/>
                <w:szCs w:val="16"/>
              </w:rPr>
              <w:t>nly)</w:t>
            </w:r>
          </w:p>
        </w:tc>
        <w:tc>
          <w:tcPr>
            <w:tcW w:w="1448" w:type="dxa"/>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LI SUM</w:t>
            </w:r>
          </w:p>
        </w:tc>
        <w:tc>
          <w:tcPr>
            <w:tcW w:w="1627"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1,190</w:t>
            </w:r>
          </w:p>
        </w:tc>
        <w:tc>
          <w:tcPr>
            <w:tcW w:w="1596" w:type="dxa"/>
            <w:gridSpan w:val="2"/>
            <w:shd w:val="clear" w:color="auto" w:fill="E3F4D1" w:themeFill="accent5" w:themeFillTint="33"/>
            <w:tcMar>
              <w:top w:w="43" w:type="dxa"/>
              <w:bottom w:w="43" w:type="dxa"/>
            </w:tcMar>
            <w:vAlign w:val="center"/>
          </w:tcPr>
          <w:p w:rsidR="0093706A" w:rsidRPr="00BF1742" w:rsidRDefault="0093706A" w:rsidP="00CD4E49">
            <w:pPr>
              <w:keepNext/>
              <w:keepLines/>
              <w:spacing w:after="0" w:line="240" w:lineRule="auto"/>
              <w:jc w:val="right"/>
              <w:rPr>
                <w:rFonts w:ascii="Arial" w:hAnsi="Arial" w:cs="Arial"/>
                <w:sz w:val="16"/>
                <w:szCs w:val="16"/>
              </w:rPr>
            </w:pPr>
            <w:r w:rsidRPr="00BF1742">
              <w:rPr>
                <w:rFonts w:ascii="Arial" w:hAnsi="Arial" w:cs="Arial"/>
                <w:sz w:val="16"/>
                <w:szCs w:val="16"/>
              </w:rPr>
              <w:t>300</w:t>
            </w:r>
          </w:p>
        </w:tc>
        <w:tc>
          <w:tcPr>
            <w:tcW w:w="2196" w:type="dxa"/>
            <w:tcMar>
              <w:top w:w="43" w:type="dxa"/>
              <w:bottom w:w="43" w:type="dxa"/>
            </w:tcMar>
            <w:vAlign w:val="center"/>
          </w:tcPr>
          <w:p w:rsidR="0093706A" w:rsidRPr="00BF1742" w:rsidRDefault="0093706A" w:rsidP="00CD4E49">
            <w:pPr>
              <w:keepNext/>
              <w:keepLines/>
              <w:spacing w:after="0" w:line="240" w:lineRule="auto"/>
              <w:rPr>
                <w:rFonts w:ascii="Arial" w:hAnsi="Arial" w:cs="Arial"/>
                <w:sz w:val="16"/>
                <w:szCs w:val="16"/>
              </w:rPr>
            </w:pPr>
            <w:r w:rsidRPr="00BF1742">
              <w:rPr>
                <w:rFonts w:ascii="Arial" w:hAnsi="Arial" w:cs="Arial"/>
                <w:sz w:val="16"/>
                <w:szCs w:val="16"/>
              </w:rPr>
              <w:t>Into Long Island from New York</w:t>
            </w:r>
          </w:p>
        </w:tc>
      </w:tr>
    </w:tbl>
    <w:p w:rsidR="00344A90" w:rsidRPr="00344A90" w:rsidRDefault="00344A90" w:rsidP="00B6698C">
      <w:pPr>
        <w:keepNext/>
        <w:keepLines/>
        <w:numPr>
          <w:ilvl w:val="0"/>
          <w:numId w:val="55"/>
        </w:numPr>
        <w:tabs>
          <w:tab w:val="left" w:pos="180"/>
        </w:tabs>
        <w:spacing w:before="120" w:after="80" w:line="240" w:lineRule="auto"/>
        <w:ind w:left="0" w:hanging="270"/>
        <w:rPr>
          <w:rFonts w:cs="Arial"/>
          <w:sz w:val="16"/>
          <w:szCs w:val="16"/>
        </w:rPr>
      </w:pPr>
      <w:r w:rsidRPr="00344A90">
        <w:rPr>
          <w:rFonts w:ascii="Arial" w:hAnsi="Arial" w:cs="Arial"/>
          <w:sz w:val="16"/>
          <w:szCs w:val="16"/>
        </w:rPr>
        <w:t>“MARS” stands for multiarea reliability simulator.</w:t>
      </w:r>
    </w:p>
    <w:p w:rsidR="00344A90" w:rsidRPr="00344A90" w:rsidRDefault="00BC6F21" w:rsidP="00B6698C">
      <w:pPr>
        <w:keepNext/>
        <w:keepLines/>
        <w:numPr>
          <w:ilvl w:val="0"/>
          <w:numId w:val="55"/>
        </w:numPr>
        <w:tabs>
          <w:tab w:val="left" w:pos="180"/>
        </w:tabs>
        <w:ind w:left="0" w:hanging="270"/>
        <w:rPr>
          <w:sz w:val="16"/>
          <w:szCs w:val="16"/>
        </w:rPr>
      </w:pPr>
      <w:r w:rsidRPr="00344A90">
        <w:rPr>
          <w:rFonts w:ascii="Arial" w:hAnsi="Arial" w:cs="Arial"/>
          <w:sz w:val="16"/>
          <w:szCs w:val="16"/>
        </w:rPr>
        <w:t xml:space="preserve">The 1,000 MW </w:t>
      </w:r>
      <w:r w:rsidR="003B64EC">
        <w:rPr>
          <w:rFonts w:ascii="Arial" w:hAnsi="Arial" w:cs="Arial"/>
          <w:sz w:val="16"/>
          <w:szCs w:val="16"/>
        </w:rPr>
        <w:t>“</w:t>
      </w:r>
      <w:r w:rsidRPr="00344A90">
        <w:rPr>
          <w:rFonts w:ascii="Arial" w:hAnsi="Arial" w:cs="Arial"/>
          <w:sz w:val="16"/>
          <w:szCs w:val="16"/>
        </w:rPr>
        <w:t xml:space="preserve">PJM </w:t>
      </w:r>
      <w:r w:rsidR="00EA2E5D" w:rsidRPr="00344A90">
        <w:rPr>
          <w:rFonts w:ascii="Arial" w:hAnsi="Arial" w:cs="Arial"/>
          <w:sz w:val="16"/>
          <w:szCs w:val="16"/>
        </w:rPr>
        <w:t>w</w:t>
      </w:r>
      <w:r w:rsidRPr="00344A90">
        <w:rPr>
          <w:rFonts w:ascii="Arial" w:hAnsi="Arial" w:cs="Arial"/>
          <w:sz w:val="16"/>
          <w:szCs w:val="16"/>
        </w:rPr>
        <w:t xml:space="preserve">heel” uses part of the 1,500 MW </w:t>
      </w:r>
      <w:r w:rsidR="00997FD0" w:rsidRPr="00344A90">
        <w:rPr>
          <w:rFonts w:ascii="Arial" w:hAnsi="Arial" w:cs="Arial"/>
          <w:sz w:val="16"/>
          <w:szCs w:val="16"/>
        </w:rPr>
        <w:t>capability of</w:t>
      </w:r>
      <w:r w:rsidRPr="00344A90">
        <w:rPr>
          <w:rFonts w:ascii="Arial" w:hAnsi="Arial" w:cs="Arial"/>
          <w:sz w:val="16"/>
          <w:szCs w:val="16"/>
        </w:rPr>
        <w:t xml:space="preserve"> Interface 19</w:t>
      </w:r>
      <w:r w:rsidR="00344A90" w:rsidRPr="00344A90">
        <w:rPr>
          <w:rFonts w:ascii="Arial" w:hAnsi="Arial" w:cs="Arial"/>
          <w:color w:val="000000"/>
          <w:sz w:val="16"/>
          <w:szCs w:val="16"/>
        </w:rPr>
        <w:t>.</w:t>
      </w:r>
      <w:r w:rsidR="00CD74EC" w:rsidRPr="00344A90">
        <w:rPr>
          <w:rFonts w:ascii="Arial" w:hAnsi="Arial" w:cs="Arial"/>
          <w:color w:val="000000"/>
          <w:sz w:val="16"/>
          <w:szCs w:val="16"/>
        </w:rPr>
        <w:t xml:space="preserve"> </w:t>
      </w:r>
    </w:p>
    <w:p w:rsidR="00B83739" w:rsidRDefault="00B83739" w:rsidP="00344A90">
      <w:r>
        <w:t xml:space="preserve">A coordinated production cost model was developed </w:t>
      </w:r>
      <w:r w:rsidR="003B64EC">
        <w:t>using</w:t>
      </w:r>
      <w:r w:rsidR="000360A3">
        <w:t xml:space="preserve"> </w:t>
      </w:r>
      <w:r>
        <w:t xml:space="preserve">several assumptions. </w:t>
      </w:r>
      <w:r w:rsidRPr="00E109E1">
        <w:t>Resource data for PJM and NYISO w</w:t>
      </w:r>
      <w:r>
        <w:t>ere</w:t>
      </w:r>
      <w:r w:rsidRPr="00E109E1">
        <w:t xml:space="preserve"> initially developed from the comprehensive </w:t>
      </w:r>
      <w:r w:rsidR="00AB221D" w:rsidRPr="00E109E1">
        <w:t xml:space="preserve">data filing </w:t>
      </w:r>
      <w:r w:rsidR="00AB221D">
        <w:t xml:space="preserve">of DOE’s </w:t>
      </w:r>
      <w:r w:rsidRPr="00E109E1">
        <w:t xml:space="preserve">2008 </w:t>
      </w:r>
      <w:r w:rsidR="00C814EB" w:rsidRPr="00C814EB">
        <w:t xml:space="preserve">Energy Information </w:t>
      </w:r>
      <w:r w:rsidR="00C814EB" w:rsidRPr="00EA2E5D">
        <w:t xml:space="preserve">Administration </w:t>
      </w:r>
      <w:r w:rsidR="00AB221D">
        <w:t xml:space="preserve">(EIA) </w:t>
      </w:r>
      <w:r w:rsidRPr="00EA2E5D">
        <w:t>Form</w:t>
      </w:r>
      <w:r w:rsidRPr="00E109E1">
        <w:t xml:space="preserve"> 860.</w:t>
      </w:r>
      <w:r w:rsidR="00AB221D">
        <w:rPr>
          <w:rStyle w:val="FootnoteReference"/>
        </w:rPr>
        <w:footnoteReference w:id="301"/>
      </w:r>
      <w:r w:rsidRPr="00E109E1">
        <w:t xml:space="preserve"> Th</w:t>
      </w:r>
      <w:r>
        <w:t xml:space="preserve">e </w:t>
      </w:r>
      <w:r w:rsidRPr="00E109E1">
        <w:t xml:space="preserve">respective planning authorities </w:t>
      </w:r>
      <w:r>
        <w:t xml:space="preserve">reviewed </w:t>
      </w:r>
      <w:r w:rsidRPr="00E109E1">
        <w:t xml:space="preserve">and updated </w:t>
      </w:r>
      <w:r>
        <w:t xml:space="preserve">the </w:t>
      </w:r>
      <w:r w:rsidRPr="00956B6F">
        <w:t>data to reflect expected 2013 resources. Th</w:t>
      </w:r>
      <w:r w:rsidR="00CF6B42">
        <w:t xml:space="preserve">ese updates were </w:t>
      </w:r>
      <w:r w:rsidRPr="00956B6F">
        <w:t xml:space="preserve">merged with the 2009 economic study data (the Governor’s Study). One of the key pieces of information </w:t>
      </w:r>
      <w:r w:rsidR="00763D6E">
        <w:t xml:space="preserve">needed </w:t>
      </w:r>
      <w:r w:rsidRPr="00956B6F">
        <w:t>was heat</w:t>
      </w:r>
      <w:r w:rsidR="00E97B0B" w:rsidRPr="00956B6F">
        <w:t>-</w:t>
      </w:r>
      <w:r w:rsidRPr="00956B6F">
        <w:t xml:space="preserve">rate data for each unit. The most recent publicly available </w:t>
      </w:r>
      <w:r w:rsidR="00763D6E">
        <w:t xml:space="preserve">and comprehensive </w:t>
      </w:r>
      <w:r w:rsidRPr="00956B6F">
        <w:t>heat-rate data w</w:t>
      </w:r>
      <w:r w:rsidR="00CF6B42">
        <w:t>ere available in</w:t>
      </w:r>
      <w:r w:rsidRPr="00956B6F">
        <w:t xml:space="preserve"> the 1995 EIA </w:t>
      </w:r>
      <w:r w:rsidR="00E97B0B" w:rsidRPr="00956B6F">
        <w:t>F</w:t>
      </w:r>
      <w:r w:rsidRPr="00956B6F">
        <w:t xml:space="preserve">orm 860, which was used to populate as many of the resources as possible. </w:t>
      </w:r>
      <w:r w:rsidR="00821C68" w:rsidRPr="00956B6F">
        <w:t xml:space="preserve">Generic </w:t>
      </w:r>
      <w:r w:rsidR="00BA053F" w:rsidRPr="00956B6F">
        <w:t>heat</w:t>
      </w:r>
      <w:r w:rsidR="00CF6B42">
        <w:t>-</w:t>
      </w:r>
      <w:r w:rsidR="00BA053F" w:rsidRPr="00956B6F">
        <w:t xml:space="preserve">rate </w:t>
      </w:r>
      <w:r w:rsidR="00821C68" w:rsidRPr="00956B6F">
        <w:t>data</w:t>
      </w:r>
      <w:r w:rsidRPr="00956B6F">
        <w:t xml:space="preserve"> were substituted for resources that were not included in this older </w:t>
      </w:r>
      <w:r w:rsidR="00821C68" w:rsidRPr="00956B6F">
        <w:t>data set</w:t>
      </w:r>
      <w:r w:rsidR="00E67AC7" w:rsidRPr="00956B6F">
        <w:t xml:space="preserve">. </w:t>
      </w:r>
      <w:r w:rsidR="00BA053F" w:rsidRPr="00956B6F">
        <w:t xml:space="preserve">Additional study </w:t>
      </w:r>
      <w:r w:rsidR="00E67AC7" w:rsidRPr="00956B6F">
        <w:t xml:space="preserve">assumptions were </w:t>
      </w:r>
      <w:r w:rsidR="00BA053F" w:rsidRPr="00956B6F">
        <w:t>made regarding the physical infrastructure, participant bidding behavior, and sy</w:t>
      </w:r>
      <w:r w:rsidR="00956B6F" w:rsidRPr="00956B6F">
        <w:t>s</w:t>
      </w:r>
      <w:r w:rsidR="00BA053F" w:rsidRPr="00956B6F">
        <w:t>tem loads</w:t>
      </w:r>
      <w:r w:rsidR="00956B6F" w:rsidRPr="00956B6F">
        <w:t>:</w:t>
      </w:r>
      <w:r w:rsidR="00391A5A">
        <w:t xml:space="preserve"> </w:t>
      </w:r>
    </w:p>
    <w:p w:rsidR="00E02278" w:rsidRDefault="00B83739" w:rsidP="00BB34F0">
      <w:pPr>
        <w:pStyle w:val="ListParagraph"/>
        <w:numPr>
          <w:ilvl w:val="0"/>
          <w:numId w:val="31"/>
        </w:numPr>
        <w:spacing w:before="0" w:after="120" w:line="260" w:lineRule="atLeast"/>
        <w:ind w:left="720"/>
        <w:contextualSpacing w:val="0"/>
      </w:pPr>
      <w:r>
        <w:t>Resource expansions, retirements, and replacements reflect ISO/RTO expansion plans based on capacity markets and other “firm” plans for generation expansion.</w:t>
      </w:r>
    </w:p>
    <w:p w:rsidR="00E02278" w:rsidRPr="00B70E41" w:rsidRDefault="00B83739" w:rsidP="00BB34F0">
      <w:pPr>
        <w:pStyle w:val="ListParagraph"/>
        <w:numPr>
          <w:ilvl w:val="0"/>
          <w:numId w:val="31"/>
        </w:numPr>
        <w:spacing w:before="0" w:after="120" w:line="260" w:lineRule="atLeast"/>
        <w:ind w:left="720"/>
        <w:contextualSpacing w:val="0"/>
      </w:pPr>
      <w:r>
        <w:t xml:space="preserve">Dispatch </w:t>
      </w:r>
      <w:r w:rsidRPr="00E93FCE">
        <w:t>costs are consistent with assumptions, such as fuel prices</w:t>
      </w:r>
      <w:r w:rsidR="00903E53">
        <w:t>,</w:t>
      </w:r>
      <w:r w:rsidRPr="00E93FCE">
        <w:t xml:space="preserve"> heat rates</w:t>
      </w:r>
      <w:r w:rsidR="00903E53">
        <w:t>,</w:t>
      </w:r>
      <w:r w:rsidRPr="00E93FCE">
        <w:t xml:space="preserve"> and emission</w:t>
      </w:r>
      <w:r w:rsidR="003B64EC">
        <w:t>-</w:t>
      </w:r>
      <w:r w:rsidRPr="00B70E41">
        <w:t>allowance dispatch adders.</w:t>
      </w:r>
    </w:p>
    <w:p w:rsidR="00E02278" w:rsidRPr="00B70E41" w:rsidRDefault="00B83739" w:rsidP="00BB34F0">
      <w:pPr>
        <w:pStyle w:val="ListParagraph"/>
        <w:numPr>
          <w:ilvl w:val="0"/>
          <w:numId w:val="31"/>
        </w:numPr>
        <w:spacing w:before="0" w:after="120" w:line="260" w:lineRule="atLeast"/>
        <w:ind w:left="720"/>
        <w:contextualSpacing w:val="0"/>
      </w:pPr>
      <w:r w:rsidRPr="00B70E41">
        <w:t>Transmission interface limits consistent with planning criteria were used for major interfaces that connect load bubbles or groups of load bubbles to allow energy to flow between them</w:t>
      </w:r>
      <w:r w:rsidR="00662103" w:rsidRPr="00B70E41">
        <w:t xml:space="preserve">. </w:t>
      </w:r>
      <w:r w:rsidRPr="00B70E41">
        <w:t>The load-bubble grouping is similar to the approach used in other studies, such as resource adequacy studies.</w:t>
      </w:r>
    </w:p>
    <w:p w:rsidR="00E02278" w:rsidRPr="00B70E41" w:rsidRDefault="00B83739" w:rsidP="00BB34F0">
      <w:pPr>
        <w:pStyle w:val="ListParagraph"/>
        <w:numPr>
          <w:ilvl w:val="0"/>
          <w:numId w:val="31"/>
        </w:numPr>
        <w:spacing w:before="0" w:after="120" w:line="260" w:lineRule="atLeast"/>
        <w:ind w:left="720"/>
        <w:contextualSpacing w:val="0"/>
      </w:pPr>
      <w:r w:rsidRPr="00B70E41">
        <w:t>Load levels and profiles are based on 50/50 forecasts developed in 2009</w:t>
      </w:r>
      <w:r w:rsidR="00903E53" w:rsidRPr="00B70E41">
        <w:t xml:space="preserve">: </w:t>
      </w:r>
      <w:r w:rsidRPr="00B70E41">
        <w:t xml:space="preserve">the ISO New England RSP09 10-year forecast, the NYISO 2009 </w:t>
      </w:r>
      <w:r w:rsidRPr="00B70E41">
        <w:rPr>
          <w:i/>
        </w:rPr>
        <w:t>Load and Capacity Data Report</w:t>
      </w:r>
      <w:r w:rsidRPr="00B70E41">
        <w:t xml:space="preserve">, and the PJM 2009 </w:t>
      </w:r>
      <w:r w:rsidR="00956B6F" w:rsidRPr="00B70E41">
        <w:t xml:space="preserve">load </w:t>
      </w:r>
      <w:r w:rsidRPr="00B70E41">
        <w:t>forecast report.</w:t>
      </w:r>
      <w:r w:rsidR="00956B6F" w:rsidRPr="003B64EC">
        <w:rPr>
          <w:rStyle w:val="FootnoteReference"/>
          <w:sz w:val="22"/>
        </w:rPr>
        <w:footnoteReference w:id="302"/>
      </w:r>
      <w:r w:rsidRPr="003B64EC">
        <w:t xml:space="preserve"> </w:t>
      </w:r>
    </w:p>
    <w:p w:rsidR="00022504" w:rsidRPr="00246DD0" w:rsidRDefault="00916387">
      <w:pPr>
        <w:pStyle w:val="Default"/>
        <w:spacing w:after="335"/>
        <w:rPr>
          <w:sz w:val="22"/>
          <w:szCs w:val="22"/>
        </w:rPr>
      </w:pPr>
      <w:r w:rsidRPr="00246DD0">
        <w:rPr>
          <w:sz w:val="22"/>
          <w:szCs w:val="22"/>
        </w:rPr>
        <w:t xml:space="preserve">Additional </w:t>
      </w:r>
      <w:r w:rsidR="00246DD0" w:rsidRPr="00246DD0">
        <w:rPr>
          <w:sz w:val="22"/>
          <w:szCs w:val="22"/>
        </w:rPr>
        <w:t xml:space="preserve">study </w:t>
      </w:r>
      <w:r w:rsidRPr="00246DD0">
        <w:rPr>
          <w:sz w:val="22"/>
          <w:szCs w:val="22"/>
        </w:rPr>
        <w:t>assumptions were made for fuel prices, allowance prices, and emission rates</w:t>
      </w:r>
      <w:r w:rsidR="00246DD0" w:rsidRPr="00246DD0">
        <w:rPr>
          <w:sz w:val="22"/>
          <w:szCs w:val="22"/>
        </w:rPr>
        <w:t>, all of which were reviewed by the PAC and IPSAC:</w:t>
      </w:r>
      <w:r w:rsidRPr="00246DD0">
        <w:rPr>
          <w:rStyle w:val="FootnoteReference"/>
          <w:sz w:val="22"/>
          <w:szCs w:val="22"/>
        </w:rPr>
        <w:footnoteReference w:id="303"/>
      </w:r>
      <w:r w:rsidR="00391A5A">
        <w:rPr>
          <w:sz w:val="22"/>
          <w:szCs w:val="22"/>
        </w:rPr>
        <w:t xml:space="preserve"> </w:t>
      </w:r>
    </w:p>
    <w:p w:rsidR="00E02278" w:rsidRDefault="00B83739" w:rsidP="00BB34F0">
      <w:pPr>
        <w:pStyle w:val="ListParagraph"/>
        <w:numPr>
          <w:ilvl w:val="0"/>
          <w:numId w:val="31"/>
        </w:numPr>
        <w:spacing w:before="0" w:after="120" w:line="260" w:lineRule="atLeast"/>
        <w:ind w:left="720"/>
        <w:contextualSpacing w:val="0"/>
      </w:pPr>
      <w:r w:rsidRPr="00747E9C">
        <w:rPr>
          <w:b/>
        </w:rPr>
        <w:t>Fuel-</w:t>
      </w:r>
      <w:r>
        <w:rPr>
          <w:b/>
        </w:rPr>
        <w:t>p</w:t>
      </w:r>
      <w:r w:rsidRPr="00747E9C">
        <w:rPr>
          <w:b/>
        </w:rPr>
        <w:t xml:space="preserve">rice </w:t>
      </w:r>
      <w:r>
        <w:rPr>
          <w:b/>
        </w:rPr>
        <w:t>f</w:t>
      </w:r>
      <w:r w:rsidRPr="00747E9C">
        <w:rPr>
          <w:b/>
        </w:rPr>
        <w:t>orecast:</w:t>
      </w:r>
      <w:r w:rsidRPr="008F300E">
        <w:t xml:space="preserve"> </w:t>
      </w:r>
      <w:r>
        <w:t>The</w:t>
      </w:r>
      <w:r w:rsidRPr="008F300E">
        <w:t xml:space="preserve"> fuel</w:t>
      </w:r>
      <w:r>
        <w:t xml:space="preserve">-price </w:t>
      </w:r>
      <w:r w:rsidRPr="008F300E">
        <w:t xml:space="preserve">forecast was </w:t>
      </w:r>
      <w:r>
        <w:t>based on DOE</w:t>
      </w:r>
      <w:r w:rsidRPr="008F300E">
        <w:t xml:space="preserve">’s </w:t>
      </w:r>
      <w:r w:rsidRPr="00747E9C">
        <w:rPr>
          <w:i/>
        </w:rPr>
        <w:t xml:space="preserve">2009 Annual Energy Outlook </w:t>
      </w:r>
      <w:r w:rsidRPr="0039325C">
        <w:t>(AEO).</w:t>
      </w:r>
      <w:r w:rsidRPr="007C099B">
        <w:rPr>
          <w:rStyle w:val="FootnoteReference"/>
          <w:sz w:val="22"/>
        </w:rPr>
        <w:footnoteReference w:id="304"/>
      </w:r>
      <w:r w:rsidRPr="0039325C">
        <w:t xml:space="preserve"> The fuel prices (in 200</w:t>
      </w:r>
      <w:r>
        <w:t>7</w:t>
      </w:r>
      <w:r w:rsidRPr="0039325C">
        <w:t xml:space="preserve"> dollars) were useful in establishing the base cases from</w:t>
      </w:r>
      <w:r w:rsidRPr="008F300E">
        <w:t xml:space="preserve"> which the relative impacts </w:t>
      </w:r>
      <w:r>
        <w:t xml:space="preserve">of each of the </w:t>
      </w:r>
      <w:r w:rsidRPr="008F300E">
        <w:t>sensitivity cases</w:t>
      </w:r>
      <w:r>
        <w:t xml:space="preserve"> could be determined</w:t>
      </w:r>
      <w:r w:rsidRPr="008F300E">
        <w:t>.</w:t>
      </w:r>
    </w:p>
    <w:p w:rsidR="00E02278" w:rsidRDefault="00B83739" w:rsidP="00BB34F0">
      <w:pPr>
        <w:pStyle w:val="ListParagraph"/>
        <w:numPr>
          <w:ilvl w:val="0"/>
          <w:numId w:val="31"/>
        </w:numPr>
        <w:spacing w:before="0" w:after="120" w:line="260" w:lineRule="atLeast"/>
        <w:ind w:left="720"/>
        <w:contextualSpacing w:val="0"/>
      </w:pPr>
      <w:r w:rsidRPr="001E5580">
        <w:rPr>
          <w:b/>
        </w:rPr>
        <w:t>Allowance prices</w:t>
      </w:r>
      <w:r w:rsidRPr="00E93FCE">
        <w:rPr>
          <w:b/>
        </w:rPr>
        <w:t>:</w:t>
      </w:r>
      <w:r w:rsidRPr="00E93FCE">
        <w:t xml:space="preserve"> The</w:t>
      </w:r>
      <w:r w:rsidRPr="008F300E">
        <w:t xml:space="preserve"> emission values were modeled in the dispatch cost. SO</w:t>
      </w:r>
      <w:r w:rsidRPr="00747E9C">
        <w:rPr>
          <w:vertAlign w:val="subscript"/>
        </w:rPr>
        <w:t>2</w:t>
      </w:r>
      <w:r w:rsidRPr="008F300E">
        <w:t xml:space="preserve"> values were based on the assumptions used in the 200</w:t>
      </w:r>
      <w:r>
        <w:t>9</w:t>
      </w:r>
      <w:r w:rsidRPr="008F300E">
        <w:t xml:space="preserve"> AEO energy forecast. NO</w:t>
      </w:r>
      <w:r w:rsidRPr="00747E9C">
        <w:rPr>
          <w:vertAlign w:val="subscript"/>
        </w:rPr>
        <w:t>X</w:t>
      </w:r>
      <w:r w:rsidRPr="008F300E">
        <w:t xml:space="preserve"> </w:t>
      </w:r>
      <w:r w:rsidRPr="00BD0860">
        <w:t xml:space="preserve">values were </w:t>
      </w:r>
      <w:r w:rsidR="00C70B1E" w:rsidRPr="00BD0860">
        <w:t>modeled for</w:t>
      </w:r>
      <w:r w:rsidRPr="00BD0860">
        <w:t xml:space="preserve"> the ozone season and were based on early-year 2009 prices. These</w:t>
      </w:r>
      <w:r>
        <w:t xml:space="preserve"> </w:t>
      </w:r>
      <w:r w:rsidRPr="008F300E">
        <w:t>NO</w:t>
      </w:r>
      <w:r w:rsidRPr="00747E9C">
        <w:rPr>
          <w:vertAlign w:val="subscript"/>
        </w:rPr>
        <w:t>X</w:t>
      </w:r>
      <w:r w:rsidRPr="008F300E">
        <w:t xml:space="preserve"> values </w:t>
      </w:r>
      <w:r>
        <w:t xml:space="preserve">were applied </w:t>
      </w:r>
      <w:r w:rsidRPr="008F300E">
        <w:t xml:space="preserve">only </w:t>
      </w:r>
      <w:r>
        <w:t>to resources in</w:t>
      </w:r>
      <w:r w:rsidRPr="008F300E">
        <w:t xml:space="preserve"> Connecticut, Massachusetts, New Hampshire</w:t>
      </w:r>
      <w:r>
        <w:t>,</w:t>
      </w:r>
      <w:r w:rsidRPr="008F300E">
        <w:t xml:space="preserve"> and Rhode Island</w:t>
      </w:r>
      <w:r w:rsidRPr="00624813">
        <w:t xml:space="preserve">. The </w:t>
      </w:r>
      <w:r w:rsidRPr="00E93FCE">
        <w:t>CO</w:t>
      </w:r>
      <w:r w:rsidRPr="00E93FCE">
        <w:rPr>
          <w:vertAlign w:val="subscript"/>
        </w:rPr>
        <w:t>2</w:t>
      </w:r>
      <w:r w:rsidRPr="00E93FCE">
        <w:t xml:space="preserve"> emissions allowance price for all cases was assumed to be $10/ton. </w:t>
      </w:r>
    </w:p>
    <w:p w:rsidR="00E02278" w:rsidRDefault="00B83739" w:rsidP="00BB34F0">
      <w:pPr>
        <w:pStyle w:val="ListParagraph"/>
        <w:numPr>
          <w:ilvl w:val="0"/>
          <w:numId w:val="31"/>
        </w:numPr>
        <w:spacing w:before="0" w:after="120" w:line="260" w:lineRule="atLeast"/>
        <w:ind w:left="720"/>
        <w:contextualSpacing w:val="0"/>
      </w:pPr>
      <w:r w:rsidRPr="001E5580">
        <w:rPr>
          <w:b/>
        </w:rPr>
        <w:t>Emission rates:</w:t>
      </w:r>
      <w:r w:rsidRPr="00E93FCE">
        <w:rPr>
          <w:b/>
        </w:rPr>
        <w:t xml:space="preserve"> </w:t>
      </w:r>
      <w:r w:rsidRPr="00E93FCE">
        <w:t>SO</w:t>
      </w:r>
      <w:r w:rsidRPr="00E93FCE">
        <w:rPr>
          <w:vertAlign w:val="subscript"/>
        </w:rPr>
        <w:t>2</w:t>
      </w:r>
      <w:r w:rsidRPr="00E93FCE">
        <w:t xml:space="preserve"> rates</w:t>
      </w:r>
      <w:r w:rsidRPr="008F300E">
        <w:t xml:space="preserve"> were based on the percent</w:t>
      </w:r>
      <w:r>
        <w:t>age of</w:t>
      </w:r>
      <w:r w:rsidRPr="008F300E">
        <w:t xml:space="preserve"> sulfur in the fuel currently used in a generating unit and any </w:t>
      </w:r>
      <w:r>
        <w:t xml:space="preserve">sulfur </w:t>
      </w:r>
      <w:r w:rsidRPr="008F300E">
        <w:t>control technolog</w:t>
      </w:r>
      <w:r>
        <w:t>y</w:t>
      </w:r>
      <w:r w:rsidRPr="008F300E">
        <w:t xml:space="preserve"> at a plant. </w:t>
      </w:r>
      <w:r>
        <w:t xml:space="preserve">Most coal-fueled resources were </w:t>
      </w:r>
      <w:r w:rsidRPr="00E67AC7">
        <w:t xml:space="preserve">assumed to </w:t>
      </w:r>
      <w:r w:rsidR="00821C68" w:rsidRPr="00E67AC7">
        <w:t>have installed some form of scrubber control technology by</w:t>
      </w:r>
      <w:r w:rsidRPr="00E67AC7">
        <w:t xml:space="preserve"> 2012.</w:t>
      </w:r>
      <w:r>
        <w:t xml:space="preserve"> </w:t>
      </w:r>
      <w:r w:rsidRPr="008F300E">
        <w:t>CO</w:t>
      </w:r>
      <w:r w:rsidRPr="00747E9C">
        <w:rPr>
          <w:vertAlign w:val="subscript"/>
        </w:rPr>
        <w:t>2</w:t>
      </w:r>
      <w:r w:rsidRPr="008F300E">
        <w:t xml:space="preserve"> rates were based on the fuel </w:t>
      </w:r>
      <w:r>
        <w:t xml:space="preserve">type </w:t>
      </w:r>
      <w:r w:rsidRPr="008F300E">
        <w:t>and standard EPA conversion rates. NO</w:t>
      </w:r>
      <w:r w:rsidRPr="00747E9C">
        <w:rPr>
          <w:vertAlign w:val="subscript"/>
        </w:rPr>
        <w:t>X</w:t>
      </w:r>
      <w:r w:rsidRPr="008F300E">
        <w:t xml:space="preserve"> rates were based on a survey of emission data sources internal and external to the ISO.</w:t>
      </w:r>
    </w:p>
    <w:p w:rsidR="00B462A6" w:rsidRDefault="00B83739">
      <w:pPr>
        <w:pStyle w:val="Heading3"/>
      </w:pPr>
      <w:bookmarkStart w:id="793" w:name="_Toc271632317"/>
      <w:r>
        <w:t>Simulation Metrics</w:t>
      </w:r>
      <w:bookmarkEnd w:id="793"/>
    </w:p>
    <w:p w:rsidR="00B83739" w:rsidRDefault="00B83739" w:rsidP="00073277">
      <w:r>
        <w:t>The production cost simulation metrics provide a variety of results that summarize the economic performance of the system and the environmental emissions of generating units.</w:t>
      </w:r>
    </w:p>
    <w:p w:rsidR="00FC0261" w:rsidRDefault="00B83739" w:rsidP="00235A65">
      <w:pPr>
        <w:pStyle w:val="Heading4"/>
      </w:pPr>
      <w:r>
        <w:t>Production Simulation Metrics</w:t>
      </w:r>
    </w:p>
    <w:p w:rsidR="00B83739" w:rsidRDefault="00B83739" w:rsidP="00073277">
      <w:r>
        <w:t xml:space="preserve">The key metrics used to compare the cases are production cost and LSE electric energy expense. The absolute values of these metrics are not the focus of this analysis because the aim is to quantify relative changes. </w:t>
      </w:r>
      <w:r w:rsidR="0012467D">
        <w:t xml:space="preserve">Values for </w:t>
      </w:r>
      <w:r>
        <w:t>Financial Transmission Rights (</w:t>
      </w:r>
      <w:r w:rsidRPr="001E5580">
        <w:t>FTR</w:t>
      </w:r>
      <w:r>
        <w:t>s) and Auction Revenue Rights (</w:t>
      </w:r>
      <w:r w:rsidRPr="001E5580">
        <w:t>ARR</w:t>
      </w:r>
      <w:r w:rsidR="0012467D">
        <w:t>s</w:t>
      </w:r>
      <w:r>
        <w:t>)</w:t>
      </w:r>
      <w:r w:rsidRPr="001E5580">
        <w:t xml:space="preserve"> were </w:t>
      </w:r>
      <w:r w:rsidR="0012467D">
        <w:t xml:space="preserve">also </w:t>
      </w:r>
      <w:r w:rsidRPr="001E5580">
        <w:t>calculated</w:t>
      </w:r>
      <w:r w:rsidRPr="008C7FD4">
        <w:t xml:space="preserve"> </w:t>
      </w:r>
      <w:r w:rsidRPr="001E5580">
        <w:t>(</w:t>
      </w:r>
      <w:r w:rsidRPr="008C7FD4">
        <w:t>see</w:t>
      </w:r>
      <w:r>
        <w:t xml:space="preserve"> Section </w:t>
      </w:r>
      <w:r w:rsidR="00832C7A">
        <w:fldChar w:fldCharType="begin"/>
      </w:r>
      <w:r w:rsidR="00903E53">
        <w:instrText xml:space="preserve"> REF _Ref234811928 \r \h </w:instrText>
      </w:r>
      <w:r w:rsidR="00832C7A">
        <w:fldChar w:fldCharType="separate"/>
      </w:r>
      <w:r w:rsidR="00E5699E">
        <w:t>2.3</w:t>
      </w:r>
      <w:r w:rsidR="00832C7A">
        <w:fldChar w:fldCharType="end"/>
      </w:r>
      <w:r>
        <w:t>)</w:t>
      </w:r>
      <w:r w:rsidRPr="001E5580">
        <w:t>.</w:t>
      </w:r>
      <w:r w:rsidRPr="007C099B">
        <w:rPr>
          <w:rStyle w:val="FootnoteReference"/>
          <w:sz w:val="22"/>
        </w:rPr>
        <w:footnoteReference w:id="305"/>
      </w:r>
    </w:p>
    <w:p w:rsidR="00B83739" w:rsidRDefault="00B83739" w:rsidP="00073277">
      <w:r>
        <w:t>The production cost metric is based on the summation of dispatch costs for each unit multiplied by the amount of electric energy produced. This calculation is performed for all New England resources used to serve customer demands. Production costs for resources located in external areas are not included in this metric.</w:t>
      </w:r>
      <w:r w:rsidR="002013D5">
        <w:t xml:space="preserve"> </w:t>
      </w:r>
    </w:p>
    <w:p w:rsidR="00B83739" w:rsidRDefault="00B83739" w:rsidP="00073277">
      <w:r>
        <w:t xml:space="preserve">LSE </w:t>
      </w:r>
      <w:r w:rsidR="002D3CCD">
        <w:t xml:space="preserve">electric </w:t>
      </w:r>
      <w:r>
        <w:t>energy expense is calculated by taking the hourly marginal energy cost (e.g., the LMP) in an RSP area and multiplying it by the hourly load in that same RSP area. New England’s total LSE energy expense is the summation of each RSP area’s LSE energy expense</w:t>
      </w:r>
      <w:r w:rsidR="00AB522B">
        <w:t>, including the effects of congestion</w:t>
      </w:r>
      <w:r>
        <w:t>.</w:t>
      </w:r>
    </w:p>
    <w:p w:rsidR="006956BE" w:rsidRDefault="00B83739" w:rsidP="00073277">
      <w:r>
        <w:t xml:space="preserve">Within an import-constrained subarea, the one source of electric energy not paid the LMP, effectively, is a purchase brought into the congested subarea from an external subarea. The purchase of energy from an external </w:t>
      </w:r>
      <w:r w:rsidRPr="00B90A55">
        <w:t>subarea is</w:t>
      </w:r>
      <w:r>
        <w:t xml:space="preserve"> modeled </w:t>
      </w:r>
      <w:r w:rsidRPr="004D4E1A">
        <w:rPr>
          <w:rFonts w:cs="Times New Roman"/>
          <w:sz w:val="18"/>
        </w:rPr>
        <w:t>t</w:t>
      </w:r>
      <w:r w:rsidRPr="004D4E1A">
        <w:t>hrough</w:t>
      </w:r>
      <w:r>
        <w:t xml:space="preserve"> a complex process that allows a certain amount of energy to flow into the constrained subarea and to be valued at essentially the selling area’s LMP. The rights associated with this transmission path are referred to </w:t>
      </w:r>
      <w:r w:rsidRPr="008C7FD4">
        <w:t xml:space="preserve">as </w:t>
      </w:r>
      <w:r w:rsidRPr="001E5580">
        <w:t>Financial Transmission Rights</w:t>
      </w:r>
      <w:r w:rsidR="00244101">
        <w:t xml:space="preserve">. </w:t>
      </w:r>
      <w:r w:rsidRPr="008C7FD4">
        <w:t>A portion of the reve</w:t>
      </w:r>
      <w:r>
        <w:t>nues associated with these FTRs may flow back to the LSEs as their share of the Auction Revenue Rights.</w:t>
      </w:r>
      <w:r w:rsidR="006956BE" w:rsidRPr="006956BE">
        <w:rPr>
          <w:rStyle w:val="FootnoteReference"/>
          <w:sz w:val="22"/>
        </w:rPr>
        <w:footnoteReference w:id="306"/>
      </w:r>
      <w:r w:rsidR="006956BE" w:rsidRPr="006956BE">
        <w:t xml:space="preserve"> </w:t>
      </w:r>
      <w:r w:rsidR="006956BE">
        <w:t>T</w:t>
      </w:r>
      <w:r>
        <w:t xml:space="preserve">hus, a third metric is </w:t>
      </w:r>
      <w:r w:rsidRPr="0033459A">
        <w:t>the “FTR/ARR”</w:t>
      </w:r>
      <w:r>
        <w:t xml:space="preserve"> congestion estimate. FTR/ARR congestion values are equal to the product of the constrained interface flow and the price differential across the constrained interface</w:t>
      </w:r>
      <w:r w:rsidRPr="001E5580">
        <w:t>.</w:t>
      </w:r>
    </w:p>
    <w:p w:rsidR="00B83739" w:rsidRDefault="00B83739" w:rsidP="00073277">
      <w:r w:rsidRPr="000D75E0">
        <w:t xml:space="preserve">The analysis did not include other costs that wholesale electricity customers would pay, such as Forward Capacity Market payments, ancillary service costs, </w:t>
      </w:r>
      <w:r w:rsidRPr="001E5580">
        <w:t>Renewable Energy C</w:t>
      </w:r>
      <w:r w:rsidR="00BD0860">
        <w:t>ertificates</w:t>
      </w:r>
      <w:r w:rsidRPr="001E5580">
        <w:t xml:space="preserve"> and Alternative Compliance Payments</w:t>
      </w:r>
      <w:r w:rsidRPr="000D75E0">
        <w:t xml:space="preserve"> associated</w:t>
      </w:r>
      <w:r w:rsidRPr="00D93D8A">
        <w:t xml:space="preserve"> with Renewable Portfolio Standards</w:t>
      </w:r>
      <w:r>
        <w:t xml:space="preserve"> (see Section </w:t>
      </w:r>
      <w:r w:rsidR="00832C7A">
        <w:fldChar w:fldCharType="begin"/>
      </w:r>
      <w:r w:rsidR="0012467D">
        <w:instrText xml:space="preserve"> REF _Ref266614382 \r \h </w:instrText>
      </w:r>
      <w:r w:rsidR="00832C7A">
        <w:fldChar w:fldCharType="separate"/>
      </w:r>
      <w:r w:rsidR="00E5699E">
        <w:t>8.5</w:t>
      </w:r>
      <w:r w:rsidR="00832C7A">
        <w:fldChar w:fldCharType="end"/>
      </w:r>
      <w:r w:rsidRPr="0044061F">
        <w:t>),</w:t>
      </w:r>
      <w:r w:rsidRPr="00D93D8A">
        <w:t xml:space="preserve"> trans</w:t>
      </w:r>
      <w:r w:rsidR="006956BE">
        <w:t>mission costs, and other costs.</w:t>
      </w:r>
    </w:p>
    <w:p w:rsidR="00FC0261" w:rsidRDefault="00B83739" w:rsidP="00235A65">
      <w:pPr>
        <w:pStyle w:val="Heading4"/>
      </w:pPr>
      <w:r>
        <w:t>Environmental Metrics</w:t>
      </w:r>
    </w:p>
    <w:p w:rsidR="00B83739" w:rsidRPr="000F53F8" w:rsidRDefault="00B83739" w:rsidP="00073277">
      <w:r w:rsidRPr="00665922">
        <w:t>The environmental metrics are the total tons of CO</w:t>
      </w:r>
      <w:r w:rsidRPr="00665922">
        <w:rPr>
          <w:vertAlign w:val="subscript"/>
        </w:rPr>
        <w:t>2</w:t>
      </w:r>
      <w:r w:rsidRPr="00665922">
        <w:t>, NO</w:t>
      </w:r>
      <w:r w:rsidRPr="00665922">
        <w:rPr>
          <w:vertAlign w:val="subscript"/>
        </w:rPr>
        <w:t>X</w:t>
      </w:r>
      <w:r w:rsidRPr="00665922">
        <w:t>, and SO</w:t>
      </w:r>
      <w:r w:rsidRPr="00665922">
        <w:rPr>
          <w:vertAlign w:val="subscript"/>
        </w:rPr>
        <w:t>2</w:t>
      </w:r>
      <w:r w:rsidRPr="00665922">
        <w:t xml:space="preserve"> emissions.</w:t>
      </w:r>
      <w:r w:rsidR="006956BE">
        <w:t xml:space="preserve"> </w:t>
      </w:r>
      <w:r w:rsidRPr="00665922">
        <w:t>While these are informative metrics, under cap-and-trade programs</w:t>
      </w:r>
      <w:r>
        <w:t xml:space="preserve"> </w:t>
      </w:r>
      <w:r w:rsidRPr="001E5580">
        <w:t>(regional and federal),</w:t>
      </w:r>
      <w:r w:rsidRPr="00AB5F43">
        <w:t xml:space="preserve"> the total</w:t>
      </w:r>
      <w:r w:rsidRPr="00665922">
        <w:t xml:space="preserve"> number of tons emitted in the long </w:t>
      </w:r>
      <w:r w:rsidRPr="00892D8F">
        <w:t xml:space="preserve">term </w:t>
      </w:r>
      <w:r>
        <w:t xml:space="preserve">likely </w:t>
      </w:r>
      <w:r w:rsidRPr="00892D8F">
        <w:t>will equal the</w:t>
      </w:r>
      <w:r w:rsidRPr="00665922">
        <w:t xml:space="preserve"> </w:t>
      </w:r>
      <w:r w:rsidRPr="00892D8F">
        <w:t xml:space="preserve">cap because the supply and demand for </w:t>
      </w:r>
      <w:r w:rsidRPr="001E5580">
        <w:t xml:space="preserve">the </w:t>
      </w:r>
      <w:r w:rsidRPr="00892D8F">
        <w:t xml:space="preserve">allowances </w:t>
      </w:r>
      <w:r w:rsidRPr="001E5580">
        <w:t xml:space="preserve">will </w:t>
      </w:r>
      <w:r w:rsidRPr="00892D8F">
        <w:t xml:space="preserve">affect </w:t>
      </w:r>
      <w:r w:rsidR="00821C68" w:rsidRPr="00821C68">
        <w:t>the allowance prices and ensure that all the allowances will be used.</w:t>
      </w:r>
      <w:r w:rsidR="003174D8" w:rsidRPr="00BD0860">
        <w:rPr>
          <w:rStyle w:val="FootnoteReference"/>
          <w:sz w:val="22"/>
        </w:rPr>
        <w:footnoteReference w:id="307"/>
      </w:r>
    </w:p>
    <w:p w:rsidR="001B3090" w:rsidRDefault="00B83739">
      <w:pPr>
        <w:pStyle w:val="Heading2"/>
      </w:pPr>
      <w:bookmarkStart w:id="794" w:name="_Ref262127549"/>
      <w:bookmarkStart w:id="795" w:name="_Toc271632318"/>
      <w:r w:rsidRPr="00927E4D">
        <w:t>Economic Study Requests</w:t>
      </w:r>
      <w:r w:rsidR="00B67A85">
        <w:t>, 2010</w:t>
      </w:r>
      <w:bookmarkEnd w:id="794"/>
      <w:bookmarkEnd w:id="795"/>
    </w:p>
    <w:p w:rsidR="00B83739" w:rsidRDefault="00B83739" w:rsidP="00657238">
      <w:r w:rsidRPr="00927E4D">
        <w:t>The following entities submitted requests for economic studies and present</w:t>
      </w:r>
      <w:r>
        <w:t>ed</w:t>
      </w:r>
      <w:r w:rsidRPr="00927E4D">
        <w:t xml:space="preserve"> their requests to the PAC on April 27</w:t>
      </w:r>
      <w:r>
        <w:t>, 2010</w:t>
      </w:r>
      <w:r w:rsidRPr="00927E4D">
        <w:t>.</w:t>
      </w:r>
    </w:p>
    <w:p w:rsidR="00E02278" w:rsidRDefault="00BC1134" w:rsidP="00657238">
      <w:r>
        <w:t>The New England States Committee on Electricity (</w:t>
      </w:r>
      <w:r w:rsidR="00B83739" w:rsidRPr="00927E4D">
        <w:t>NESCOE</w:t>
      </w:r>
      <w:r>
        <w:t>)</w:t>
      </w:r>
      <w:r w:rsidR="00B83739" w:rsidRPr="00927E4D">
        <w:t xml:space="preserve"> submitted a request for an economic study for a single year in the 20-year timeframe that would assume status quo market and reliability constructs.</w:t>
      </w:r>
      <w:r w:rsidR="008C1249" w:rsidRPr="00BD0860">
        <w:rPr>
          <w:rStyle w:val="FootnoteReference"/>
          <w:sz w:val="22"/>
        </w:rPr>
        <w:footnoteReference w:id="308"/>
      </w:r>
      <w:r w:rsidR="00B83739" w:rsidRPr="00BD0860">
        <w:t xml:space="preserve"> </w:t>
      </w:r>
      <w:r w:rsidR="00B83739" w:rsidRPr="00927E4D">
        <w:t xml:space="preserve">The study </w:t>
      </w:r>
      <w:r w:rsidR="00BD0860">
        <w:t>will</w:t>
      </w:r>
      <w:r w:rsidR="00B83739" w:rsidRPr="00927E4D">
        <w:t xml:space="preserve"> assume existing state and federal energy and policy requirements</w:t>
      </w:r>
      <w:r w:rsidR="00B83739">
        <w:t>,</w:t>
      </w:r>
      <w:r w:rsidR="00B83739" w:rsidRPr="00927E4D">
        <w:t xml:space="preserve"> such as compliance with state </w:t>
      </w:r>
      <w:r w:rsidR="00B83739">
        <w:t>R</w:t>
      </w:r>
      <w:r w:rsidR="00B83739" w:rsidRPr="00927E4D">
        <w:t xml:space="preserve">enewable </w:t>
      </w:r>
      <w:r w:rsidR="00B83739">
        <w:t>P</w:t>
      </w:r>
      <w:r w:rsidR="00B83739" w:rsidRPr="00927E4D">
        <w:t xml:space="preserve">ortfolio </w:t>
      </w:r>
      <w:r w:rsidR="00B83739">
        <w:t>S</w:t>
      </w:r>
      <w:r w:rsidR="00B83739" w:rsidRPr="00927E4D">
        <w:t>tandards, energy</w:t>
      </w:r>
      <w:r w:rsidR="00B83739">
        <w:t>-</w:t>
      </w:r>
      <w:r w:rsidR="00B83739" w:rsidRPr="00927E4D">
        <w:t xml:space="preserve">efficiency goals, and the influence of the price of carbon. The request seeks to build on the results of the 2009 study and provide a baseline for the states to evaluate expansion scenarios that will be performed as part of the </w:t>
      </w:r>
      <w:r w:rsidR="000F53F8">
        <w:t xml:space="preserve">Eastern Interconnection Planning Collaborative </w:t>
      </w:r>
      <w:r w:rsidR="003174D8" w:rsidRPr="003174D8">
        <w:t>(EIPC) initiative</w:t>
      </w:r>
      <w:r w:rsidR="00B83739">
        <w:t xml:space="preserve"> (see Section</w:t>
      </w:r>
      <w:r w:rsidR="001A45E2">
        <w:t xml:space="preserve"> </w:t>
      </w:r>
      <w:fldSimple w:instr=" REF _Ref266614877 \r \h  \* MERGEFORMAT ">
        <w:r w:rsidR="00E5699E">
          <w:t>11.1.2</w:t>
        </w:r>
      </w:fldSimple>
      <w:r w:rsidR="003174D8" w:rsidRPr="003174D8">
        <w:t>). The</w:t>
      </w:r>
      <w:r w:rsidR="00B83739" w:rsidRPr="00927E4D">
        <w:t xml:space="preserve"> request includes two additional studies: (1) market-sourced replacement or repowering of older coal- and oil-fired generators, and (2) replace</w:t>
      </w:r>
      <w:r w:rsidR="00B83739">
        <w:t>ment of</w:t>
      </w:r>
      <w:r w:rsidR="00B83739" w:rsidRPr="00927E4D">
        <w:t xml:space="preserve"> the same fossil units through </w:t>
      </w:r>
      <w:r w:rsidR="00B83739">
        <w:t xml:space="preserve">the </w:t>
      </w:r>
      <w:r w:rsidR="00B83739" w:rsidRPr="00927E4D">
        <w:t>competitive procurement of renewable resources from New England</w:t>
      </w:r>
      <w:r w:rsidR="00B83739">
        <w:t xml:space="preserve">, </w:t>
      </w:r>
      <w:r w:rsidR="00B83739" w:rsidRPr="00927E4D">
        <w:t>neighboring Canadian provinces</w:t>
      </w:r>
      <w:r w:rsidR="00B83739">
        <w:t>, or both areas</w:t>
      </w:r>
      <w:r w:rsidR="00B83739" w:rsidRPr="00927E4D">
        <w:t>.</w:t>
      </w:r>
    </w:p>
    <w:p w:rsidR="00E02278" w:rsidRDefault="001A45E2" w:rsidP="00657238">
      <w:r>
        <w:t xml:space="preserve">The </w:t>
      </w:r>
      <w:r w:rsidR="00B83739" w:rsidRPr="00927E4D">
        <w:t>New England Independent Transmission Company (NEITC) submitted a request for a study of a transmission line to enable renewable generation in the queue for northern New Hampshire to reach the regional market. The study seeks to quantify the production cost savings and congestion savings of adding 700 MW in Coos County, NH.</w:t>
      </w:r>
    </w:p>
    <w:p w:rsidR="00E02278" w:rsidRDefault="00B83739" w:rsidP="00657238">
      <w:r w:rsidRPr="00927E4D">
        <w:t>Sea Breeze Atlantic Regional Transmission System, whose cofounder</w:t>
      </w:r>
      <w:r>
        <w:t>,</w:t>
      </w:r>
      <w:r w:rsidRPr="00927E4D">
        <w:t xml:space="preserve"> Boundless Energy, LLC</w:t>
      </w:r>
      <w:r>
        <w:t>,</w:t>
      </w:r>
      <w:r w:rsidRPr="00927E4D">
        <w:t xml:space="preserve"> was one of the developers of the undersea New Jersey–Long Island Neptune transmission cable, submitted a request for an economic study o</w:t>
      </w:r>
      <w:r w:rsidRPr="00AF2F17">
        <w:t xml:space="preserve">f its proposed “NewSeaBos” submarine </w:t>
      </w:r>
      <w:r>
        <w:t xml:space="preserve">HVDC </w:t>
      </w:r>
      <w:r w:rsidRPr="00AF2F17">
        <w:t>cable transmission project</w:t>
      </w:r>
      <w:r>
        <w:t>.</w:t>
      </w:r>
      <w:r w:rsidRPr="00E97376">
        <w:rPr>
          <w:vertAlign w:val="superscript"/>
        </w:rPr>
        <w:footnoteReference w:id="309"/>
      </w:r>
      <w:r w:rsidRPr="00AF2F17">
        <w:t xml:space="preserve"> </w:t>
      </w:r>
    </w:p>
    <w:p w:rsidR="00B83739" w:rsidRDefault="00B83739" w:rsidP="00657238">
      <w:r>
        <w:t xml:space="preserve">The ISO discussed the scope of work for new economic studies with the PAC </w:t>
      </w:r>
      <w:r w:rsidR="002F2925">
        <w:t xml:space="preserve">and </w:t>
      </w:r>
      <w:r>
        <w:t>developed a final study plan</w:t>
      </w:r>
      <w:r w:rsidR="00F6556F">
        <w:t xml:space="preserve">, also </w:t>
      </w:r>
      <w:r>
        <w:t xml:space="preserve">discussed with </w:t>
      </w:r>
      <w:r w:rsidRPr="00657238">
        <w:t xml:space="preserve">the </w:t>
      </w:r>
      <w:r w:rsidR="002F2925" w:rsidRPr="00657238">
        <w:t>PAC</w:t>
      </w:r>
      <w:r w:rsidR="00916387" w:rsidRPr="00916387">
        <w:t>.</w:t>
      </w:r>
      <w:r w:rsidR="00916387" w:rsidRPr="002518A5">
        <w:rPr>
          <w:rStyle w:val="FootnoteReference"/>
          <w:sz w:val="22"/>
        </w:rPr>
        <w:footnoteReference w:id="310"/>
      </w:r>
      <w:r w:rsidR="00916387" w:rsidRPr="00916387">
        <w:t xml:space="preserve"> The scope of work examines several scenarios showing the effects of retiring coal and oil generating plants and replacing them with efficient natural-gas-fired generation, renewable resources, and imports from neighboring regions. The study also identifies the need for higher transmission transfer limits for each of the scenarios.</w:t>
      </w:r>
      <w:r w:rsidR="00662103">
        <w:t xml:space="preserve"> </w:t>
      </w:r>
      <w:r w:rsidR="00655EA5">
        <w:t>The study is scheduled for completion by the end of</w:t>
      </w:r>
      <w:r w:rsidR="00614867">
        <w:t> </w:t>
      </w:r>
      <w:r w:rsidR="00655EA5">
        <w:t>2010.</w:t>
      </w:r>
      <w:r w:rsidR="00E50EA5" w:rsidRPr="002518A5">
        <w:rPr>
          <w:rStyle w:val="FootnoteReference"/>
          <w:sz w:val="22"/>
        </w:rPr>
        <w:footnoteReference w:id="311"/>
      </w:r>
    </w:p>
    <w:p w:rsidR="001B3090" w:rsidRDefault="00B83739">
      <w:pPr>
        <w:pStyle w:val="Heading2"/>
      </w:pPr>
      <w:bookmarkStart w:id="796" w:name="_Toc271632319"/>
      <w:r>
        <w:t>Generic Capital Costs of New Resources</w:t>
      </w:r>
      <w:bookmarkEnd w:id="796"/>
    </w:p>
    <w:p w:rsidR="00B83739" w:rsidRDefault="00B83739" w:rsidP="00073277">
      <w:r>
        <w:t>The actual capital costs of new resources may be highly variable because of a number of factors, includ</w:t>
      </w:r>
      <w:r w:rsidR="0095678B">
        <w:t>ing</w:t>
      </w:r>
      <w:r>
        <w:t xml:space="preserve"> the following: </w:t>
      </w:r>
    </w:p>
    <w:p w:rsidR="00E02278" w:rsidRDefault="00B83739" w:rsidP="00BB34F0">
      <w:pPr>
        <w:pStyle w:val="ListParagraph"/>
        <w:numPr>
          <w:ilvl w:val="1"/>
          <w:numId w:val="30"/>
        </w:numPr>
        <w:spacing w:before="0" w:after="120"/>
        <w:ind w:left="720"/>
        <w:contextualSpacing w:val="0"/>
      </w:pPr>
      <w:r>
        <w:t>The s</w:t>
      </w:r>
      <w:r w:rsidRPr="002C6281">
        <w:t>tate of technology development</w:t>
      </w:r>
    </w:p>
    <w:p w:rsidR="00E02278" w:rsidRDefault="00B83739" w:rsidP="00BB34F0">
      <w:pPr>
        <w:pStyle w:val="ListParagraph"/>
        <w:numPr>
          <w:ilvl w:val="1"/>
          <w:numId w:val="30"/>
        </w:numPr>
        <w:spacing w:before="0" w:after="120"/>
        <w:ind w:left="720"/>
        <w:contextualSpacing w:val="0"/>
      </w:pPr>
      <w:r>
        <w:t>C</w:t>
      </w:r>
      <w:r w:rsidRPr="002C6281">
        <w:t xml:space="preserve">hanges in </w:t>
      </w:r>
      <w:r>
        <w:t xml:space="preserve">the </w:t>
      </w:r>
      <w:r w:rsidRPr="002C6281">
        <w:t>costs of materials, labor</w:t>
      </w:r>
      <w:r>
        <w:t>,</w:t>
      </w:r>
      <w:r w:rsidRPr="002C6281">
        <w:t xml:space="preserve"> and overhead</w:t>
      </w:r>
    </w:p>
    <w:p w:rsidR="00E02278" w:rsidRDefault="00B83739" w:rsidP="00BB34F0">
      <w:pPr>
        <w:pStyle w:val="ListParagraph"/>
        <w:numPr>
          <w:ilvl w:val="1"/>
          <w:numId w:val="30"/>
        </w:numPr>
        <w:spacing w:before="0" w:after="120"/>
        <w:ind w:left="720"/>
        <w:contextualSpacing w:val="0"/>
      </w:pPr>
      <w:r>
        <w:t>S</w:t>
      </w:r>
      <w:r w:rsidRPr="002C6281">
        <w:t>pecific site requirements</w:t>
      </w:r>
    </w:p>
    <w:p w:rsidR="00E02278" w:rsidRDefault="00B83739" w:rsidP="00BB34F0">
      <w:pPr>
        <w:pStyle w:val="ListParagraph"/>
        <w:numPr>
          <w:ilvl w:val="1"/>
          <w:numId w:val="30"/>
        </w:numPr>
        <w:spacing w:before="0" w:after="120"/>
        <w:ind w:left="720"/>
        <w:contextualSpacing w:val="0"/>
      </w:pPr>
      <w:r>
        <w:t>G</w:t>
      </w:r>
      <w:r w:rsidRPr="002C6281">
        <w:t>eographic cost differences</w:t>
      </w:r>
      <w:r>
        <w:t xml:space="preserve"> </w:t>
      </w:r>
    </w:p>
    <w:p w:rsidR="00E02278" w:rsidRDefault="00B83739" w:rsidP="0082458C">
      <w:pPr>
        <w:pStyle w:val="ListParagraph"/>
        <w:numPr>
          <w:ilvl w:val="1"/>
          <w:numId w:val="30"/>
        </w:numPr>
        <w:spacing w:before="0"/>
        <w:ind w:left="720"/>
        <w:contextualSpacing w:val="0"/>
      </w:pPr>
      <w:r>
        <w:t>D</w:t>
      </w:r>
      <w:r w:rsidRPr="002C6281">
        <w:t xml:space="preserve">ifficulties in </w:t>
      </w:r>
      <w:r>
        <w:t xml:space="preserve">obtaining </w:t>
      </w:r>
      <w:r w:rsidRPr="002C6281">
        <w:t>site and technology approvals</w:t>
      </w:r>
    </w:p>
    <w:p w:rsidR="00B83739" w:rsidRDefault="00B83739" w:rsidP="00073277">
      <w:r>
        <w:t>As a complement to the economic studies, the ISO developed generic capital costs for new resources.</w:t>
      </w:r>
      <w:r w:rsidR="00D869BE" w:rsidRPr="002518A5">
        <w:rPr>
          <w:rStyle w:val="FootnoteReference"/>
          <w:sz w:val="22"/>
        </w:rPr>
        <w:footnoteReference w:id="312"/>
      </w:r>
      <w:r w:rsidRPr="002518A5">
        <w:t xml:space="preserve"> </w:t>
      </w:r>
      <w:r>
        <w:t xml:space="preserve">The main focus was on </w:t>
      </w:r>
      <w:r w:rsidRPr="00DD7DAD">
        <w:t xml:space="preserve">those </w:t>
      </w:r>
      <w:r w:rsidRPr="001E5580">
        <w:t>resource</w:t>
      </w:r>
      <w:r w:rsidRPr="00DD7DAD">
        <w:t xml:space="preserve"> technologies</w:t>
      </w:r>
      <w:r>
        <w:t xml:space="preserve"> in the ISO </w:t>
      </w:r>
      <w:r w:rsidRPr="004C36AC">
        <w:t xml:space="preserve">Interconnection </w:t>
      </w:r>
      <w:r w:rsidR="00C814EB" w:rsidRPr="004C36AC">
        <w:t>Queue</w:t>
      </w:r>
      <w:r w:rsidRPr="004C36AC">
        <w:t xml:space="preserve"> and participating</w:t>
      </w:r>
      <w:r>
        <w:t xml:space="preserve"> in the FCM</w:t>
      </w:r>
      <w:r w:rsidR="0095678B">
        <w:t xml:space="preserve"> (see Sections </w:t>
      </w:r>
      <w:r w:rsidR="00832C7A">
        <w:fldChar w:fldCharType="begin"/>
      </w:r>
      <w:r w:rsidR="0095678B">
        <w:instrText xml:space="preserve"> REF _Ref266616294 \r \h </w:instrText>
      </w:r>
      <w:r w:rsidR="00832C7A">
        <w:fldChar w:fldCharType="separate"/>
      </w:r>
      <w:r w:rsidR="00E5699E">
        <w:t>4.2</w:t>
      </w:r>
      <w:r w:rsidR="00832C7A">
        <w:fldChar w:fldCharType="end"/>
      </w:r>
      <w:r w:rsidR="0095678B">
        <w:t xml:space="preserve"> and </w:t>
      </w:r>
      <w:r w:rsidR="00832C7A">
        <w:fldChar w:fldCharType="begin"/>
      </w:r>
      <w:r w:rsidR="0095678B">
        <w:instrText xml:space="preserve"> REF _Ref231185835 \r \h </w:instrText>
      </w:r>
      <w:r w:rsidR="00832C7A">
        <w:fldChar w:fldCharType="separate"/>
      </w:r>
      <w:r w:rsidR="00E5699E">
        <w:t>4.4</w:t>
      </w:r>
      <w:r w:rsidR="00832C7A">
        <w:fldChar w:fldCharType="end"/>
      </w:r>
      <w:r w:rsidR="0095678B">
        <w:t>)</w:t>
      </w:r>
      <w:r>
        <w:t>. The ISO developed the generic estimates</w:t>
      </w:r>
      <w:r w:rsidR="002518A5">
        <w:t>,</w:t>
      </w:r>
      <w:r>
        <w:t xml:space="preserve"> with stakeholder input</w:t>
      </w:r>
      <w:r w:rsidR="002518A5">
        <w:t>,</w:t>
      </w:r>
      <w:r>
        <w:t xml:space="preserve"> </w:t>
      </w:r>
      <w:r w:rsidR="002518A5">
        <w:t xml:space="preserve">on the </w:t>
      </w:r>
      <w:r>
        <w:t>bas</w:t>
      </w:r>
      <w:r w:rsidR="002518A5">
        <w:t xml:space="preserve">is of </w:t>
      </w:r>
      <w:r>
        <w:t>a li</w:t>
      </w:r>
      <w:r w:rsidRPr="001239E8">
        <w:t>mited review of recent reports and published information on resource costs</w:t>
      </w:r>
      <w:r>
        <w:t>,</w:t>
      </w:r>
      <w:r w:rsidRPr="001239E8">
        <w:t xml:space="preserve"> including actual projects</w:t>
      </w:r>
      <w:r>
        <w:t xml:space="preserve"> and information provided </w:t>
      </w:r>
      <w:r w:rsidR="003174D8" w:rsidRPr="003174D8">
        <w:t xml:space="preserve">by experts. </w:t>
      </w:r>
      <w:r w:rsidR="00D87591">
        <w:t xml:space="preserve">The ISO </w:t>
      </w:r>
      <w:r w:rsidR="003174D8" w:rsidRPr="003174D8">
        <w:t xml:space="preserve">also obtained </w:t>
      </w:r>
      <w:r w:rsidR="00D87591">
        <w:t xml:space="preserve">information </w:t>
      </w:r>
      <w:r w:rsidR="003174D8" w:rsidRPr="003174D8">
        <w:t>from the State of Connecticut’s RFPs in</w:t>
      </w:r>
      <w:r>
        <w:t xml:space="preserve"> support </w:t>
      </w:r>
      <w:r w:rsidRPr="00DD7DAD">
        <w:t xml:space="preserve">of </w:t>
      </w:r>
      <w:r w:rsidRPr="001E5580">
        <w:t xml:space="preserve">its </w:t>
      </w:r>
      <w:r w:rsidR="000C2D2F">
        <w:t>I</w:t>
      </w:r>
      <w:r w:rsidRPr="001E5580">
        <w:t xml:space="preserve">ntegrated </w:t>
      </w:r>
      <w:r w:rsidR="000C2D2F">
        <w:t>R</w:t>
      </w:r>
      <w:r w:rsidRPr="001E5580">
        <w:t xml:space="preserve">esource </w:t>
      </w:r>
      <w:r w:rsidR="003174D8" w:rsidRPr="003174D8">
        <w:t>Plan</w:t>
      </w:r>
      <w:r w:rsidR="00D87591">
        <w:t xml:space="preserve"> </w:t>
      </w:r>
      <w:r w:rsidR="00D87591" w:rsidRPr="003174D8">
        <w:t>(</w:t>
      </w:r>
      <w:r w:rsidR="00D87591">
        <w:t>s</w:t>
      </w:r>
      <w:r w:rsidR="00D87591" w:rsidRPr="003174D8">
        <w:t xml:space="preserve">ee Section </w:t>
      </w:r>
      <w:fldSimple w:instr=" REF _Ref266617406 \r \h  \* MERGEFORMAT ">
        <w:r w:rsidR="00E5699E">
          <w:t>12.1.1</w:t>
        </w:r>
      </w:fldSimple>
      <w:r w:rsidR="00D87591" w:rsidRPr="003174D8">
        <w:t>)</w:t>
      </w:r>
      <w:r w:rsidR="003174D8" w:rsidRPr="003174D8">
        <w:t>.</w:t>
      </w:r>
      <w:r w:rsidR="003174D8">
        <w:rPr>
          <w:rStyle w:val="FootnoteReference"/>
          <w:sz w:val="22"/>
        </w:rPr>
        <w:footnoteReference w:id="313"/>
      </w:r>
      <w:r w:rsidRPr="00622593">
        <w:t xml:space="preserve"> </w:t>
      </w:r>
    </w:p>
    <w:p w:rsidR="001C2792" w:rsidRPr="00D869BE" w:rsidRDefault="00916387" w:rsidP="00DE0861">
      <w:pPr>
        <w:pStyle w:val="Default"/>
        <w:rPr>
          <w:sz w:val="22"/>
          <w:szCs w:val="22"/>
        </w:rPr>
      </w:pPr>
      <w:r w:rsidRPr="00916387">
        <w:rPr>
          <w:sz w:val="22"/>
          <w:szCs w:val="22"/>
        </w:rPr>
        <w:t xml:space="preserve">The ISO analysis confirmed the approximate generic capital costs of generating units developed for the ISO’s </w:t>
      </w:r>
      <w:r w:rsidRPr="00916387">
        <w:rPr>
          <w:i/>
          <w:sz w:val="22"/>
          <w:szCs w:val="22"/>
        </w:rPr>
        <w:t>2007 Scenario Analysis Report</w:t>
      </w:r>
      <w:r w:rsidRPr="00916387">
        <w:rPr>
          <w:sz w:val="22"/>
          <w:szCs w:val="22"/>
        </w:rPr>
        <w:t>.</w:t>
      </w:r>
      <w:r w:rsidRPr="00916387">
        <w:rPr>
          <w:rStyle w:val="FootnoteReference"/>
          <w:sz w:val="22"/>
          <w:szCs w:val="22"/>
        </w:rPr>
        <w:footnoteReference w:id="314"/>
      </w:r>
      <w:r w:rsidRPr="00916387">
        <w:rPr>
          <w:sz w:val="22"/>
          <w:szCs w:val="22"/>
        </w:rPr>
        <w:t xml:space="preserve"> These costs were escalated to reflect 2010 costs. Demand-resource costs were determined </w:t>
      </w:r>
      <w:r w:rsidR="00722D63">
        <w:rPr>
          <w:sz w:val="22"/>
          <w:szCs w:val="22"/>
        </w:rPr>
        <w:t xml:space="preserve">using </w:t>
      </w:r>
      <w:r w:rsidRPr="00916387">
        <w:rPr>
          <w:sz w:val="22"/>
          <w:szCs w:val="22"/>
        </w:rPr>
        <w:t>the costs of state and utility programs throughout New England.</w:t>
      </w:r>
      <w:r w:rsidRPr="00916387">
        <w:rPr>
          <w:rStyle w:val="FootnoteReference"/>
          <w:sz w:val="22"/>
          <w:szCs w:val="22"/>
        </w:rPr>
        <w:footnoteReference w:id="315"/>
      </w:r>
      <w:r w:rsidRPr="00916387">
        <w:rPr>
          <w:sz w:val="22"/>
          <w:szCs w:val="22"/>
        </w:rPr>
        <w:t xml:space="preserve"> The ISO updated the generic capital cost estimates from the Scenario Analysis and included the costs of the C</w:t>
      </w:r>
      <w:r w:rsidR="0094373E">
        <w:rPr>
          <w:sz w:val="22"/>
          <w:szCs w:val="22"/>
        </w:rPr>
        <w:t>onnecticut</w:t>
      </w:r>
      <w:r w:rsidRPr="00916387">
        <w:rPr>
          <w:sz w:val="22"/>
          <w:szCs w:val="22"/>
        </w:rPr>
        <w:t xml:space="preserve"> plan for comparison, as shown in </w:t>
      </w:r>
      <w:fldSimple w:instr=" REF _Ref266617686 \h  \* MERGEFORMAT ">
        <w:r w:rsidR="00E5699E" w:rsidRPr="00E5699E">
          <w:rPr>
            <w:sz w:val="22"/>
            <w:szCs w:val="22"/>
          </w:rPr>
          <w:t xml:space="preserve">Table </w:t>
        </w:r>
        <w:r w:rsidR="00E5699E" w:rsidRPr="00E5699E">
          <w:rPr>
            <w:noProof/>
            <w:sz w:val="22"/>
            <w:szCs w:val="22"/>
          </w:rPr>
          <w:t>10</w:t>
        </w:r>
        <w:r w:rsidR="00E5699E" w:rsidRPr="00E5699E">
          <w:rPr>
            <w:noProof/>
            <w:sz w:val="22"/>
            <w:szCs w:val="22"/>
          </w:rPr>
          <w:noBreakHyphen/>
          <w:t>2</w:t>
        </w:r>
      </w:fldSimple>
      <w:r w:rsidRPr="00916387">
        <w:rPr>
          <w:sz w:val="22"/>
          <w:szCs w:val="22"/>
        </w:rPr>
        <w:t>. The estimates are similar except for the costs of wind resources. Recent construction experience in New England suggests a cost for wind generation ranging from $2,000/kW to approximately $3,400/k</w:t>
      </w:r>
      <w:r w:rsidR="0094373E">
        <w:rPr>
          <w:sz w:val="22"/>
          <w:szCs w:val="22"/>
        </w:rPr>
        <w:t>W,</w:t>
      </w:r>
      <w:r w:rsidRPr="00916387">
        <w:rPr>
          <w:sz w:val="22"/>
          <w:szCs w:val="22"/>
        </w:rPr>
        <w:t xml:space="preserve"> with an average a</w:t>
      </w:r>
      <w:r w:rsidR="0094373E">
        <w:rPr>
          <w:sz w:val="22"/>
          <w:szCs w:val="22"/>
        </w:rPr>
        <w:t>bout</w:t>
      </w:r>
      <w:r w:rsidRPr="00916387">
        <w:rPr>
          <w:sz w:val="22"/>
          <w:szCs w:val="22"/>
        </w:rPr>
        <w:t xml:space="preserve"> $2,600/kW.</w:t>
      </w:r>
      <w:r w:rsidR="00D869BE" w:rsidRPr="00D87591">
        <w:rPr>
          <w:rStyle w:val="FootnoteReference"/>
          <w:sz w:val="22"/>
          <w:szCs w:val="22"/>
        </w:rPr>
        <w:footnoteReference w:id="316"/>
      </w:r>
      <w:r w:rsidRPr="00916387">
        <w:rPr>
          <w:sz w:val="22"/>
          <w:szCs w:val="22"/>
        </w:rPr>
        <w:t xml:space="preserve"> </w:t>
      </w:r>
    </w:p>
    <w:p w:rsidR="00B83739" w:rsidRDefault="00B83739" w:rsidP="00193AC6">
      <w:pPr>
        <w:pStyle w:val="Caption"/>
      </w:pPr>
      <w:bookmarkStart w:id="797" w:name="_Ref266617686"/>
      <w:bookmarkStart w:id="798" w:name="_Toc271552443"/>
      <w:r>
        <w:t xml:space="preserve">Table </w:t>
      </w:r>
      <w:r w:rsidR="00832C7A">
        <w:fldChar w:fldCharType="begin"/>
      </w:r>
      <w:r w:rsidR="00B2406F">
        <w:instrText xml:space="preserve"> STYLEREF 1 \s </w:instrText>
      </w:r>
      <w:r w:rsidR="00832C7A">
        <w:fldChar w:fldCharType="separate"/>
      </w:r>
      <w:r w:rsidR="00E5699E">
        <w:rPr>
          <w:noProof/>
        </w:rPr>
        <w:t>10</w:t>
      </w:r>
      <w:r w:rsidR="00832C7A">
        <w:fldChar w:fldCharType="end"/>
      </w:r>
      <w:r w:rsidR="00B2406F">
        <w:noBreakHyphen/>
      </w:r>
      <w:r w:rsidR="00832C7A">
        <w:fldChar w:fldCharType="begin"/>
      </w:r>
      <w:r w:rsidR="00B2406F">
        <w:instrText xml:space="preserve"> SEQ Table \* ARABIC \s 1 </w:instrText>
      </w:r>
      <w:r w:rsidR="00832C7A">
        <w:fldChar w:fldCharType="separate"/>
      </w:r>
      <w:r w:rsidR="00E5699E">
        <w:rPr>
          <w:noProof/>
        </w:rPr>
        <w:t>2</w:t>
      </w:r>
      <w:r w:rsidR="00832C7A">
        <w:fldChar w:fldCharType="end"/>
      </w:r>
      <w:bookmarkEnd w:id="797"/>
      <w:r>
        <w:br/>
      </w:r>
      <w:r w:rsidRPr="00386744">
        <w:t>Generic Capital Cost Estimates for Generation and Demand Resources</w:t>
      </w:r>
      <w:bookmarkEnd w:id="798"/>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44" w:type="dxa"/>
          <w:bottom w:w="29" w:type="dxa"/>
          <w:right w:w="144" w:type="dxa"/>
        </w:tblCellMar>
        <w:tblLook w:val="04A0"/>
      </w:tblPr>
      <w:tblGrid>
        <w:gridCol w:w="3168"/>
        <w:gridCol w:w="3150"/>
        <w:gridCol w:w="2898"/>
      </w:tblGrid>
      <w:tr w:rsidR="00B83739" w:rsidRPr="00193AC6" w:rsidTr="00455B04">
        <w:trPr>
          <w:cantSplit/>
          <w:jc w:val="center"/>
        </w:trPr>
        <w:tc>
          <w:tcPr>
            <w:tcW w:w="3168" w:type="dxa"/>
            <w:shd w:val="clear" w:color="auto" w:fill="FBCE76" w:themeFill="background2" w:themeFillTint="99"/>
            <w:tcMar>
              <w:top w:w="72" w:type="dxa"/>
              <w:bottom w:w="72" w:type="dxa"/>
            </w:tcMar>
            <w:vAlign w:val="center"/>
          </w:tcPr>
          <w:p w:rsidR="006B57F7" w:rsidRDefault="00B83739">
            <w:pPr>
              <w:keepNext/>
              <w:keepLines/>
              <w:spacing w:after="0" w:line="240" w:lineRule="auto"/>
              <w:jc w:val="center"/>
              <w:rPr>
                <w:rFonts w:ascii="Arial" w:hAnsi="Arial" w:cs="Arial"/>
                <w:b/>
                <w:bCs/>
                <w:iCs/>
                <w:sz w:val="18"/>
                <w:szCs w:val="18"/>
              </w:rPr>
            </w:pPr>
            <w:r w:rsidRPr="00193AC6">
              <w:rPr>
                <w:rFonts w:ascii="Arial" w:hAnsi="Arial" w:cs="Arial"/>
                <w:b/>
                <w:sz w:val="18"/>
                <w:szCs w:val="18"/>
              </w:rPr>
              <w:t>Generation</w:t>
            </w:r>
            <w:r w:rsidR="00391A5A">
              <w:rPr>
                <w:rFonts w:ascii="Arial" w:hAnsi="Arial" w:cs="Arial"/>
                <w:b/>
                <w:sz w:val="18"/>
                <w:szCs w:val="18"/>
              </w:rPr>
              <w:t xml:space="preserve"> </w:t>
            </w:r>
            <w:r w:rsidRPr="00193AC6">
              <w:rPr>
                <w:rFonts w:ascii="Arial" w:hAnsi="Arial" w:cs="Arial"/>
                <w:b/>
                <w:sz w:val="18"/>
                <w:szCs w:val="18"/>
              </w:rPr>
              <w:t>Type</w:t>
            </w:r>
            <w:r w:rsidR="006309C6">
              <w:rPr>
                <w:rFonts w:ascii="Arial" w:hAnsi="Arial" w:cs="Arial"/>
                <w:b/>
                <w:sz w:val="18"/>
                <w:szCs w:val="18"/>
                <w:vertAlign w:val="superscript"/>
              </w:rPr>
              <w:t>(a)</w:t>
            </w:r>
          </w:p>
        </w:tc>
        <w:tc>
          <w:tcPr>
            <w:tcW w:w="3150" w:type="dxa"/>
            <w:shd w:val="clear" w:color="auto" w:fill="FBCE76" w:themeFill="background2" w:themeFillTint="99"/>
            <w:tcMar>
              <w:top w:w="72" w:type="dxa"/>
              <w:bottom w:w="72" w:type="dxa"/>
            </w:tcMar>
            <w:vAlign w:val="center"/>
          </w:tcPr>
          <w:p w:rsidR="00B83739" w:rsidRPr="00193AC6" w:rsidRDefault="00B83739" w:rsidP="00455B04">
            <w:pPr>
              <w:keepNext/>
              <w:keepLines/>
              <w:spacing w:after="0" w:line="240" w:lineRule="auto"/>
              <w:jc w:val="center"/>
              <w:rPr>
                <w:rFonts w:ascii="Arial" w:hAnsi="Arial" w:cs="Arial"/>
                <w:b/>
                <w:sz w:val="18"/>
                <w:szCs w:val="18"/>
              </w:rPr>
            </w:pPr>
            <w:r w:rsidRPr="00405706">
              <w:rPr>
                <w:rFonts w:ascii="Arial" w:hAnsi="Arial" w:cs="Arial"/>
                <w:b/>
                <w:sz w:val="18"/>
                <w:szCs w:val="18"/>
              </w:rPr>
              <w:t>Scenario Analysis for Generation and Demand</w:t>
            </w:r>
            <w:r w:rsidR="00BB7E2B" w:rsidRPr="00405706">
              <w:rPr>
                <w:rFonts w:ascii="Arial" w:hAnsi="Arial" w:cs="Arial"/>
                <w:b/>
                <w:sz w:val="18"/>
                <w:szCs w:val="18"/>
              </w:rPr>
              <w:t>-</w:t>
            </w:r>
            <w:r w:rsidRPr="00405706">
              <w:rPr>
                <w:rFonts w:ascii="Arial" w:hAnsi="Arial" w:cs="Arial"/>
                <w:b/>
                <w:sz w:val="18"/>
                <w:szCs w:val="18"/>
              </w:rPr>
              <w:t>Resource Program</w:t>
            </w:r>
            <w:r w:rsidR="006B1F91" w:rsidRPr="00405706">
              <w:rPr>
                <w:rFonts w:ascii="Arial" w:hAnsi="Arial" w:cs="Arial"/>
                <w:b/>
                <w:sz w:val="18"/>
                <w:szCs w:val="18"/>
              </w:rPr>
              <w:t xml:space="preserve"> Cost</w:t>
            </w:r>
            <w:r w:rsidRPr="00405706">
              <w:rPr>
                <w:rFonts w:ascii="Arial" w:hAnsi="Arial" w:cs="Arial"/>
                <w:b/>
                <w:sz w:val="18"/>
                <w:szCs w:val="18"/>
              </w:rPr>
              <w:t>s</w:t>
            </w:r>
            <w:r w:rsidR="00455B04">
              <w:rPr>
                <w:rFonts w:ascii="Arial" w:hAnsi="Arial" w:cs="Arial"/>
                <w:b/>
                <w:sz w:val="18"/>
                <w:szCs w:val="18"/>
              </w:rPr>
              <w:t xml:space="preserve"> </w:t>
            </w:r>
            <w:r w:rsidRPr="00405706">
              <w:rPr>
                <w:rFonts w:ascii="Arial" w:hAnsi="Arial" w:cs="Arial"/>
                <w:b/>
                <w:sz w:val="18"/>
                <w:szCs w:val="18"/>
              </w:rPr>
              <w:t>(2010 $</w:t>
            </w:r>
            <w:r w:rsidR="00655EA5" w:rsidRPr="00405706">
              <w:rPr>
                <w:rFonts w:ascii="Arial" w:hAnsi="Arial" w:cs="Arial"/>
                <w:b/>
                <w:sz w:val="18"/>
                <w:szCs w:val="18"/>
              </w:rPr>
              <w:t>/kW</w:t>
            </w:r>
            <w:r w:rsidRPr="00405706">
              <w:rPr>
                <w:rFonts w:ascii="Arial" w:hAnsi="Arial" w:cs="Arial"/>
                <w:b/>
                <w:sz w:val="18"/>
                <w:szCs w:val="18"/>
              </w:rPr>
              <w:t>)</w:t>
            </w:r>
            <w:r w:rsidR="00BB7E2B" w:rsidRPr="00405706">
              <w:rPr>
                <w:rFonts w:ascii="Arial" w:hAnsi="Arial" w:cs="Arial"/>
                <w:b/>
                <w:sz w:val="18"/>
                <w:szCs w:val="18"/>
                <w:vertAlign w:val="superscript"/>
              </w:rPr>
              <w:t>(b)</w:t>
            </w:r>
          </w:p>
        </w:tc>
        <w:tc>
          <w:tcPr>
            <w:tcW w:w="2898" w:type="dxa"/>
            <w:shd w:val="clear" w:color="auto" w:fill="FBCE76" w:themeFill="background2" w:themeFillTint="99"/>
            <w:tcMar>
              <w:top w:w="72" w:type="dxa"/>
              <w:bottom w:w="72" w:type="dxa"/>
            </w:tcMar>
            <w:vAlign w:val="center"/>
          </w:tcPr>
          <w:p w:rsidR="00B83739" w:rsidRPr="00193AC6" w:rsidRDefault="00B83739" w:rsidP="00193AC6">
            <w:pPr>
              <w:keepNext/>
              <w:keepLines/>
              <w:spacing w:after="0" w:line="240" w:lineRule="auto"/>
              <w:jc w:val="center"/>
              <w:rPr>
                <w:rFonts w:ascii="Arial" w:hAnsi="Arial" w:cs="Arial"/>
                <w:b/>
                <w:sz w:val="18"/>
                <w:szCs w:val="18"/>
              </w:rPr>
            </w:pPr>
            <w:r w:rsidRPr="00193AC6">
              <w:rPr>
                <w:rFonts w:ascii="Arial" w:hAnsi="Arial" w:cs="Arial"/>
                <w:b/>
                <w:sz w:val="18"/>
                <w:szCs w:val="18"/>
              </w:rPr>
              <w:t xml:space="preserve">CT </w:t>
            </w:r>
            <w:r w:rsidR="002427AA">
              <w:rPr>
                <w:rFonts w:ascii="Arial" w:hAnsi="Arial" w:cs="Arial"/>
                <w:b/>
                <w:sz w:val="18"/>
                <w:szCs w:val="18"/>
              </w:rPr>
              <w:t>Integrated Resource Plan</w:t>
            </w:r>
            <w:r w:rsidRPr="00193AC6">
              <w:rPr>
                <w:rFonts w:ascii="Arial" w:hAnsi="Arial" w:cs="Arial"/>
                <w:b/>
                <w:sz w:val="18"/>
                <w:szCs w:val="18"/>
                <w:vertAlign w:val="superscript"/>
              </w:rPr>
              <w:t>(</w:t>
            </w:r>
            <w:r w:rsidR="00D869BE">
              <w:rPr>
                <w:rFonts w:ascii="Arial" w:hAnsi="Arial" w:cs="Arial"/>
                <w:b/>
                <w:sz w:val="18"/>
                <w:szCs w:val="18"/>
                <w:vertAlign w:val="superscript"/>
              </w:rPr>
              <w:t>c</w:t>
            </w:r>
            <w:r w:rsidRPr="00193AC6">
              <w:rPr>
                <w:rFonts w:ascii="Arial" w:hAnsi="Arial" w:cs="Arial"/>
                <w:b/>
                <w:sz w:val="18"/>
                <w:szCs w:val="18"/>
                <w:vertAlign w:val="superscript"/>
              </w:rPr>
              <w:t>)</w:t>
            </w:r>
          </w:p>
          <w:p w:rsidR="002B257B" w:rsidRDefault="00B83739">
            <w:pPr>
              <w:keepNext/>
              <w:keepLines/>
              <w:spacing w:after="0" w:line="240" w:lineRule="auto"/>
              <w:jc w:val="center"/>
              <w:rPr>
                <w:rFonts w:ascii="Arial" w:hAnsi="Arial" w:cs="Arial"/>
                <w:b/>
                <w:sz w:val="18"/>
                <w:szCs w:val="18"/>
              </w:rPr>
            </w:pPr>
            <w:r w:rsidRPr="00193AC6">
              <w:rPr>
                <w:rFonts w:ascii="Arial" w:hAnsi="Arial" w:cs="Arial"/>
                <w:b/>
                <w:sz w:val="18"/>
                <w:szCs w:val="18"/>
              </w:rPr>
              <w:t xml:space="preserve">(2010 </w:t>
            </w:r>
            <w:r w:rsidR="00244101">
              <w:rPr>
                <w:rFonts w:ascii="Arial" w:hAnsi="Arial" w:cs="Arial"/>
                <w:b/>
                <w:sz w:val="18"/>
                <w:szCs w:val="18"/>
              </w:rPr>
              <w:t>$</w:t>
            </w:r>
            <w:r w:rsidR="00655EA5">
              <w:rPr>
                <w:rFonts w:ascii="Arial" w:hAnsi="Arial" w:cs="Arial"/>
                <w:b/>
                <w:sz w:val="18"/>
                <w:szCs w:val="18"/>
              </w:rPr>
              <w:t>/kW</w:t>
            </w:r>
            <w:r w:rsidRPr="00193AC6">
              <w:rPr>
                <w:rFonts w:ascii="Arial" w:hAnsi="Arial" w:cs="Arial"/>
                <w:b/>
                <w:sz w:val="18"/>
                <w:szCs w:val="18"/>
              </w:rPr>
              <w:t>)</w:t>
            </w:r>
          </w:p>
        </w:tc>
      </w:tr>
      <w:tr w:rsidR="00B83739" w:rsidRPr="003D1293" w:rsidTr="00455B04">
        <w:trPr>
          <w:cantSplit/>
          <w:jc w:val="center"/>
        </w:trPr>
        <w:tc>
          <w:tcPr>
            <w:tcW w:w="3168" w:type="dxa"/>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 xml:space="preserve">Wind onshore </w:t>
            </w:r>
          </w:p>
        </w:tc>
        <w:tc>
          <w:tcPr>
            <w:tcW w:w="3150"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1,600–2,140</w:t>
            </w:r>
          </w:p>
        </w:tc>
        <w:tc>
          <w:tcPr>
            <w:tcW w:w="2898"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2,000–2,550</w:t>
            </w:r>
          </w:p>
        </w:tc>
      </w:tr>
      <w:tr w:rsidR="00B83739" w:rsidRPr="003D1293" w:rsidTr="00455B04">
        <w:trPr>
          <w:cantSplit/>
          <w:jc w:val="center"/>
        </w:trPr>
        <w:tc>
          <w:tcPr>
            <w:tcW w:w="3168" w:type="dxa"/>
            <w:shd w:val="clear" w:color="auto" w:fill="FDEED1" w:themeFill="background2" w:themeFillTint="33"/>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 xml:space="preserve">Wind offshore </w:t>
            </w:r>
          </w:p>
        </w:tc>
        <w:tc>
          <w:tcPr>
            <w:tcW w:w="3150"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2,140–2,670</w:t>
            </w:r>
          </w:p>
        </w:tc>
        <w:tc>
          <w:tcPr>
            <w:tcW w:w="2898"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4,500–5,500</w:t>
            </w:r>
          </w:p>
        </w:tc>
      </w:tr>
      <w:tr w:rsidR="00B83739" w:rsidRPr="003D1293" w:rsidTr="00455B04">
        <w:trPr>
          <w:cantSplit/>
          <w:jc w:val="center"/>
        </w:trPr>
        <w:tc>
          <w:tcPr>
            <w:tcW w:w="3168" w:type="dxa"/>
            <w:tcMar>
              <w:top w:w="72" w:type="dxa"/>
              <w:bottom w:w="72" w:type="dxa"/>
            </w:tcMar>
            <w:vAlign w:val="center"/>
          </w:tcPr>
          <w:p w:rsidR="00B83739" w:rsidRPr="00193AC6" w:rsidRDefault="003174D8" w:rsidP="00CD0762">
            <w:pPr>
              <w:keepNext/>
              <w:keepLines/>
              <w:spacing w:after="0" w:line="240" w:lineRule="auto"/>
              <w:rPr>
                <w:rFonts w:ascii="Arial" w:hAnsi="Arial" w:cs="Arial"/>
                <w:b/>
                <w:sz w:val="18"/>
                <w:szCs w:val="18"/>
              </w:rPr>
            </w:pPr>
            <w:r w:rsidRPr="00CD0762">
              <w:rPr>
                <w:rFonts w:ascii="Arial" w:hAnsi="Arial" w:cs="Arial"/>
                <w:b/>
                <w:sz w:val="18"/>
                <w:szCs w:val="18"/>
              </w:rPr>
              <w:t xml:space="preserve">Natural </w:t>
            </w:r>
            <w:r w:rsidR="00CD0762" w:rsidRPr="00CD0762">
              <w:rPr>
                <w:rFonts w:ascii="Arial" w:hAnsi="Arial" w:cs="Arial"/>
                <w:b/>
                <w:sz w:val="18"/>
                <w:szCs w:val="18"/>
              </w:rPr>
              <w:t>g</w:t>
            </w:r>
            <w:r w:rsidRPr="00CD0762">
              <w:rPr>
                <w:rFonts w:ascii="Arial" w:hAnsi="Arial" w:cs="Arial"/>
                <w:b/>
                <w:sz w:val="18"/>
                <w:szCs w:val="18"/>
              </w:rPr>
              <w:t xml:space="preserve">as </w:t>
            </w:r>
            <w:r w:rsidR="00CD0762" w:rsidRPr="00CD0762">
              <w:rPr>
                <w:rFonts w:ascii="Arial" w:hAnsi="Arial" w:cs="Arial"/>
                <w:b/>
                <w:sz w:val="18"/>
                <w:szCs w:val="18"/>
              </w:rPr>
              <w:t>c</w:t>
            </w:r>
            <w:r w:rsidRPr="00CD0762">
              <w:rPr>
                <w:rFonts w:ascii="Arial" w:hAnsi="Arial" w:cs="Arial"/>
                <w:b/>
                <w:sz w:val="18"/>
                <w:szCs w:val="18"/>
              </w:rPr>
              <w:t xml:space="preserve">ombined </w:t>
            </w:r>
            <w:r w:rsidR="00CD0762" w:rsidRPr="00CD0762">
              <w:rPr>
                <w:rFonts w:ascii="Arial" w:hAnsi="Arial" w:cs="Arial"/>
                <w:b/>
                <w:sz w:val="18"/>
                <w:szCs w:val="18"/>
              </w:rPr>
              <w:t>c</w:t>
            </w:r>
            <w:r w:rsidRPr="00CD0762">
              <w:rPr>
                <w:rFonts w:ascii="Arial" w:hAnsi="Arial" w:cs="Arial"/>
                <w:b/>
                <w:sz w:val="18"/>
                <w:szCs w:val="18"/>
              </w:rPr>
              <w:t>ycle (NGCC)</w:t>
            </w:r>
            <w:r w:rsidR="00B83739" w:rsidRPr="00193AC6">
              <w:rPr>
                <w:rFonts w:ascii="Arial" w:hAnsi="Arial" w:cs="Arial"/>
                <w:b/>
                <w:sz w:val="18"/>
                <w:szCs w:val="18"/>
              </w:rPr>
              <w:t xml:space="preserve"> </w:t>
            </w:r>
          </w:p>
        </w:tc>
        <w:tc>
          <w:tcPr>
            <w:tcW w:w="3150"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850–1,070</w:t>
            </w:r>
          </w:p>
        </w:tc>
        <w:tc>
          <w:tcPr>
            <w:tcW w:w="2898"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906</w:t>
            </w:r>
          </w:p>
        </w:tc>
      </w:tr>
      <w:tr w:rsidR="00B83739" w:rsidRPr="003D1293" w:rsidTr="00455B04">
        <w:trPr>
          <w:cantSplit/>
          <w:jc w:val="center"/>
        </w:trPr>
        <w:tc>
          <w:tcPr>
            <w:tcW w:w="3168" w:type="dxa"/>
            <w:shd w:val="clear" w:color="auto" w:fill="FDEED1" w:themeFill="background2" w:themeFillTint="33"/>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Combustion turbine</w:t>
            </w:r>
          </w:p>
        </w:tc>
        <w:tc>
          <w:tcPr>
            <w:tcW w:w="3150"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530–750</w:t>
            </w:r>
          </w:p>
        </w:tc>
        <w:tc>
          <w:tcPr>
            <w:tcW w:w="2898"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576</w:t>
            </w:r>
          </w:p>
        </w:tc>
      </w:tr>
      <w:tr w:rsidR="00B83739" w:rsidRPr="003D1293" w:rsidTr="00455B04">
        <w:trPr>
          <w:cantSplit/>
          <w:trHeight w:val="287"/>
          <w:jc w:val="center"/>
        </w:trPr>
        <w:tc>
          <w:tcPr>
            <w:tcW w:w="3168" w:type="dxa"/>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 xml:space="preserve">Biomass </w:t>
            </w:r>
          </w:p>
        </w:tc>
        <w:tc>
          <w:tcPr>
            <w:tcW w:w="3150"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2,670–3,740</w:t>
            </w:r>
          </w:p>
        </w:tc>
        <w:tc>
          <w:tcPr>
            <w:tcW w:w="2898" w:type="dxa"/>
            <w:tcMar>
              <w:top w:w="72" w:type="dxa"/>
              <w:bottom w:w="72" w:type="dxa"/>
            </w:tcMar>
            <w:vAlign w:val="center"/>
          </w:tcPr>
          <w:p w:rsidR="006A7038" w:rsidRDefault="00B83739">
            <w:pPr>
              <w:keepNext/>
              <w:keepLines/>
              <w:spacing w:after="0" w:line="240" w:lineRule="auto"/>
              <w:jc w:val="center"/>
              <w:rPr>
                <w:rFonts w:ascii="Arial" w:hAnsi="Arial" w:cs="Arial"/>
                <w:sz w:val="18"/>
                <w:szCs w:val="18"/>
              </w:rPr>
            </w:pPr>
            <w:r w:rsidRPr="003D1293">
              <w:rPr>
                <w:rFonts w:ascii="Arial" w:hAnsi="Arial" w:cs="Arial"/>
                <w:sz w:val="18"/>
                <w:szCs w:val="18"/>
              </w:rPr>
              <w:t>500–3,500</w:t>
            </w:r>
          </w:p>
        </w:tc>
      </w:tr>
      <w:tr w:rsidR="00B83739" w:rsidRPr="003D1293" w:rsidTr="00455B04">
        <w:trPr>
          <w:cantSplit/>
          <w:jc w:val="center"/>
        </w:trPr>
        <w:tc>
          <w:tcPr>
            <w:tcW w:w="3168" w:type="dxa"/>
            <w:shd w:val="clear" w:color="auto" w:fill="FDEED1" w:themeFill="background2" w:themeFillTint="33"/>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 xml:space="preserve">Solar photovoltaic </w:t>
            </w:r>
          </w:p>
        </w:tc>
        <w:tc>
          <w:tcPr>
            <w:tcW w:w="3150"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4,270–6,410</w:t>
            </w:r>
          </w:p>
        </w:tc>
        <w:tc>
          <w:tcPr>
            <w:tcW w:w="2898"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5,200–6,200</w:t>
            </w:r>
          </w:p>
        </w:tc>
      </w:tr>
      <w:tr w:rsidR="00B83739" w:rsidRPr="003D1293" w:rsidTr="00455B04">
        <w:trPr>
          <w:cantSplit/>
          <w:jc w:val="center"/>
        </w:trPr>
        <w:tc>
          <w:tcPr>
            <w:tcW w:w="3168" w:type="dxa"/>
            <w:tcMar>
              <w:top w:w="72" w:type="dxa"/>
              <w:bottom w:w="72" w:type="dxa"/>
            </w:tcMar>
            <w:vAlign w:val="center"/>
          </w:tcPr>
          <w:p w:rsidR="00B83739" w:rsidRPr="00193AC6" w:rsidRDefault="003248D3" w:rsidP="003248D3">
            <w:pPr>
              <w:keepNext/>
              <w:keepLines/>
              <w:spacing w:after="0" w:line="240" w:lineRule="auto"/>
              <w:rPr>
                <w:rFonts w:ascii="Arial" w:hAnsi="Arial" w:cs="Arial"/>
                <w:b/>
                <w:sz w:val="18"/>
                <w:szCs w:val="18"/>
              </w:rPr>
            </w:pPr>
            <w:r w:rsidRPr="003248D3">
              <w:rPr>
                <w:rFonts w:ascii="Arial" w:hAnsi="Arial" w:cs="Arial"/>
                <w:b/>
                <w:sz w:val="18"/>
                <w:szCs w:val="18"/>
              </w:rPr>
              <w:t>Passive d</w:t>
            </w:r>
            <w:r w:rsidR="00B83739" w:rsidRPr="003248D3">
              <w:rPr>
                <w:rFonts w:ascii="Arial" w:hAnsi="Arial" w:cs="Arial"/>
                <w:b/>
                <w:sz w:val="18"/>
                <w:szCs w:val="18"/>
              </w:rPr>
              <w:t>emand resources</w:t>
            </w:r>
          </w:p>
        </w:tc>
        <w:tc>
          <w:tcPr>
            <w:tcW w:w="3150"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2,000–3,000</w:t>
            </w:r>
          </w:p>
        </w:tc>
        <w:tc>
          <w:tcPr>
            <w:tcW w:w="2898" w:type="dxa"/>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2,160</w:t>
            </w:r>
          </w:p>
        </w:tc>
      </w:tr>
      <w:tr w:rsidR="00B83739" w:rsidRPr="003D1293" w:rsidTr="00455B04">
        <w:trPr>
          <w:cantSplit/>
          <w:jc w:val="center"/>
        </w:trPr>
        <w:tc>
          <w:tcPr>
            <w:tcW w:w="3168" w:type="dxa"/>
            <w:shd w:val="clear" w:color="auto" w:fill="FDEED1" w:themeFill="background2" w:themeFillTint="33"/>
            <w:tcMar>
              <w:top w:w="72" w:type="dxa"/>
              <w:bottom w:w="72" w:type="dxa"/>
            </w:tcMar>
            <w:vAlign w:val="center"/>
          </w:tcPr>
          <w:p w:rsidR="00B83739" w:rsidRPr="00193AC6" w:rsidRDefault="00B83739" w:rsidP="00193AC6">
            <w:pPr>
              <w:keepNext/>
              <w:keepLines/>
              <w:spacing w:after="0" w:line="240" w:lineRule="auto"/>
              <w:rPr>
                <w:rFonts w:ascii="Arial" w:hAnsi="Arial" w:cs="Arial"/>
                <w:b/>
                <w:sz w:val="18"/>
                <w:szCs w:val="18"/>
              </w:rPr>
            </w:pPr>
            <w:r w:rsidRPr="00193AC6">
              <w:rPr>
                <w:rFonts w:ascii="Arial" w:hAnsi="Arial" w:cs="Arial"/>
                <w:b/>
                <w:sz w:val="18"/>
                <w:szCs w:val="18"/>
              </w:rPr>
              <w:t>Distributed resources (CHP)</w:t>
            </w:r>
          </w:p>
        </w:tc>
        <w:tc>
          <w:tcPr>
            <w:tcW w:w="3150"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1,070–1,600</w:t>
            </w:r>
          </w:p>
        </w:tc>
        <w:tc>
          <w:tcPr>
            <w:tcW w:w="2898" w:type="dxa"/>
            <w:shd w:val="clear" w:color="auto" w:fill="FDEED1" w:themeFill="background2" w:themeFillTint="33"/>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Not provided</w:t>
            </w:r>
          </w:p>
        </w:tc>
      </w:tr>
      <w:tr w:rsidR="00B83739" w:rsidRPr="003D1293" w:rsidTr="00455B04">
        <w:trPr>
          <w:cantSplit/>
          <w:jc w:val="center"/>
        </w:trPr>
        <w:tc>
          <w:tcPr>
            <w:tcW w:w="3168" w:type="dxa"/>
            <w:shd w:val="clear" w:color="auto" w:fill="auto"/>
            <w:tcMar>
              <w:top w:w="72" w:type="dxa"/>
              <w:bottom w:w="72" w:type="dxa"/>
            </w:tcMar>
            <w:vAlign w:val="center"/>
          </w:tcPr>
          <w:p w:rsidR="00B83739" w:rsidRPr="00193AC6" w:rsidRDefault="00B83739" w:rsidP="00455B04">
            <w:pPr>
              <w:keepNext/>
              <w:keepLines/>
              <w:spacing w:after="0" w:line="240" w:lineRule="auto"/>
              <w:rPr>
                <w:rFonts w:ascii="Arial" w:hAnsi="Arial" w:cs="Arial"/>
                <w:b/>
                <w:sz w:val="18"/>
                <w:szCs w:val="18"/>
              </w:rPr>
            </w:pPr>
            <w:r w:rsidRPr="00193AC6">
              <w:rPr>
                <w:rFonts w:ascii="Arial" w:hAnsi="Arial" w:cs="Arial"/>
                <w:b/>
                <w:sz w:val="18"/>
                <w:szCs w:val="18"/>
              </w:rPr>
              <w:t>Distributed resources</w:t>
            </w:r>
            <w:r w:rsidR="00455B04">
              <w:rPr>
                <w:rFonts w:ascii="Arial" w:hAnsi="Arial" w:cs="Arial"/>
                <w:b/>
                <w:sz w:val="18"/>
                <w:szCs w:val="18"/>
              </w:rPr>
              <w:t xml:space="preserve"> </w:t>
            </w:r>
            <w:r w:rsidRPr="00193AC6">
              <w:rPr>
                <w:rFonts w:ascii="Arial" w:hAnsi="Arial" w:cs="Arial"/>
                <w:b/>
                <w:sz w:val="18"/>
                <w:szCs w:val="18"/>
              </w:rPr>
              <w:t>(fuel cell</w:t>
            </w:r>
            <w:r w:rsidR="00D87591">
              <w:rPr>
                <w:rFonts w:ascii="Arial" w:hAnsi="Arial" w:cs="Arial"/>
                <w:b/>
                <w:sz w:val="18"/>
                <w:szCs w:val="18"/>
              </w:rPr>
              <w:t>s</w:t>
            </w:r>
            <w:r w:rsidRPr="00193AC6">
              <w:rPr>
                <w:rFonts w:ascii="Arial" w:hAnsi="Arial" w:cs="Arial"/>
                <w:b/>
                <w:sz w:val="18"/>
                <w:szCs w:val="18"/>
              </w:rPr>
              <w:t>)</w:t>
            </w:r>
          </w:p>
        </w:tc>
        <w:tc>
          <w:tcPr>
            <w:tcW w:w="3150" w:type="dxa"/>
            <w:shd w:val="clear" w:color="auto" w:fill="auto"/>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3,740–4,270</w:t>
            </w:r>
          </w:p>
        </w:tc>
        <w:tc>
          <w:tcPr>
            <w:tcW w:w="2898" w:type="dxa"/>
            <w:shd w:val="clear" w:color="auto" w:fill="auto"/>
            <w:tcMar>
              <w:top w:w="72" w:type="dxa"/>
              <w:bottom w:w="72" w:type="dxa"/>
            </w:tcMar>
            <w:vAlign w:val="center"/>
          </w:tcPr>
          <w:p w:rsidR="00B83739" w:rsidRPr="003D1293" w:rsidRDefault="00B83739" w:rsidP="00193AC6">
            <w:pPr>
              <w:keepNext/>
              <w:keepLines/>
              <w:spacing w:after="0" w:line="240" w:lineRule="auto"/>
              <w:jc w:val="center"/>
              <w:rPr>
                <w:rFonts w:ascii="Arial" w:hAnsi="Arial" w:cs="Arial"/>
                <w:sz w:val="18"/>
                <w:szCs w:val="18"/>
              </w:rPr>
            </w:pPr>
            <w:r w:rsidRPr="003D1293">
              <w:rPr>
                <w:rFonts w:ascii="Arial" w:hAnsi="Arial" w:cs="Arial"/>
                <w:sz w:val="18"/>
                <w:szCs w:val="18"/>
              </w:rPr>
              <w:t>3,500–4,600</w:t>
            </w:r>
          </w:p>
        </w:tc>
      </w:tr>
    </w:tbl>
    <w:p w:rsidR="00D869BE" w:rsidRDefault="00D869BE" w:rsidP="008D08FC">
      <w:pPr>
        <w:keepNext/>
        <w:keepLines/>
        <w:spacing w:before="120" w:after="80" w:line="240" w:lineRule="auto"/>
        <w:ind w:left="360" w:right="90" w:hanging="270"/>
        <w:rPr>
          <w:rFonts w:ascii="Arial" w:hAnsi="Arial" w:cs="Arial"/>
          <w:sz w:val="16"/>
          <w:szCs w:val="16"/>
        </w:rPr>
      </w:pPr>
      <w:r>
        <w:rPr>
          <w:rFonts w:ascii="Arial" w:hAnsi="Arial" w:cs="Arial"/>
          <w:sz w:val="16"/>
          <w:szCs w:val="16"/>
        </w:rPr>
        <w:t xml:space="preserve">(a) </w:t>
      </w:r>
      <w:r w:rsidR="008D08FC">
        <w:rPr>
          <w:rFonts w:ascii="Arial" w:hAnsi="Arial" w:cs="Arial"/>
          <w:sz w:val="16"/>
          <w:szCs w:val="16"/>
        </w:rPr>
        <w:tab/>
      </w:r>
      <w:r w:rsidR="00722D63">
        <w:rPr>
          <w:rFonts w:ascii="Arial" w:hAnsi="Arial" w:cs="Arial"/>
          <w:sz w:val="16"/>
          <w:szCs w:val="16"/>
        </w:rPr>
        <w:t xml:space="preserve">According to </w:t>
      </w:r>
      <w:r>
        <w:rPr>
          <w:rFonts w:ascii="Arial" w:hAnsi="Arial" w:cs="Arial"/>
          <w:sz w:val="16"/>
          <w:szCs w:val="16"/>
        </w:rPr>
        <w:t xml:space="preserve">input from the PAC, generators in New England would </w:t>
      </w:r>
      <w:r w:rsidR="00A52D4B">
        <w:rPr>
          <w:rFonts w:ascii="Arial" w:hAnsi="Arial" w:cs="Arial"/>
          <w:sz w:val="16"/>
          <w:szCs w:val="16"/>
        </w:rPr>
        <w:t xml:space="preserve">not likely </w:t>
      </w:r>
      <w:r>
        <w:rPr>
          <w:rFonts w:ascii="Arial" w:hAnsi="Arial" w:cs="Arial"/>
          <w:sz w:val="16"/>
          <w:szCs w:val="16"/>
        </w:rPr>
        <w:t>be able to develop resources that use nuclear or coal fuels.</w:t>
      </w:r>
    </w:p>
    <w:p w:rsidR="00B83739" w:rsidRPr="00FB2283" w:rsidRDefault="00B83739" w:rsidP="008D08FC">
      <w:pPr>
        <w:keepNext/>
        <w:keepLines/>
        <w:spacing w:before="120" w:after="80" w:line="240" w:lineRule="auto"/>
        <w:ind w:left="360" w:right="90" w:hanging="270"/>
        <w:rPr>
          <w:rFonts w:ascii="Arial" w:hAnsi="Arial" w:cs="Arial"/>
          <w:sz w:val="16"/>
          <w:szCs w:val="16"/>
        </w:rPr>
      </w:pPr>
      <w:r w:rsidRPr="00FB2283">
        <w:rPr>
          <w:rFonts w:ascii="Arial" w:hAnsi="Arial" w:cs="Arial"/>
          <w:sz w:val="16"/>
          <w:szCs w:val="16"/>
        </w:rPr>
        <w:t>(</w:t>
      </w:r>
      <w:r w:rsidR="00D869BE">
        <w:rPr>
          <w:rFonts w:ascii="Arial" w:hAnsi="Arial" w:cs="Arial"/>
          <w:sz w:val="16"/>
          <w:szCs w:val="16"/>
        </w:rPr>
        <w:t>b</w:t>
      </w:r>
      <w:r w:rsidRPr="00FB2283">
        <w:rPr>
          <w:rFonts w:ascii="Arial" w:hAnsi="Arial" w:cs="Arial"/>
          <w:sz w:val="16"/>
          <w:szCs w:val="16"/>
        </w:rPr>
        <w:t xml:space="preserve">) </w:t>
      </w:r>
      <w:r w:rsidR="008D08FC">
        <w:rPr>
          <w:rFonts w:ascii="Arial" w:hAnsi="Arial" w:cs="Arial"/>
          <w:sz w:val="16"/>
          <w:szCs w:val="16"/>
        </w:rPr>
        <w:tab/>
      </w:r>
      <w:r w:rsidRPr="00FB2283">
        <w:rPr>
          <w:rFonts w:ascii="Arial" w:hAnsi="Arial" w:cs="Arial"/>
          <w:sz w:val="16"/>
          <w:szCs w:val="16"/>
        </w:rPr>
        <w:t xml:space="preserve">Scenario Analysis costs were in 2006 dollars and </w:t>
      </w:r>
      <w:r w:rsidRPr="00405706">
        <w:rPr>
          <w:rFonts w:ascii="Arial" w:hAnsi="Arial" w:cs="Arial"/>
          <w:sz w:val="16"/>
          <w:szCs w:val="16"/>
        </w:rPr>
        <w:t xml:space="preserve">escalated </w:t>
      </w:r>
      <w:r w:rsidR="00BB7E2B" w:rsidRPr="00405706">
        <w:rPr>
          <w:rFonts w:ascii="Arial" w:hAnsi="Arial" w:cs="Arial"/>
          <w:sz w:val="16"/>
          <w:szCs w:val="16"/>
        </w:rPr>
        <w:t>to 2010</w:t>
      </w:r>
      <w:r w:rsidRPr="00405706">
        <w:rPr>
          <w:rFonts w:ascii="Arial" w:hAnsi="Arial" w:cs="Arial"/>
          <w:sz w:val="16"/>
          <w:szCs w:val="16"/>
        </w:rPr>
        <w:t xml:space="preserve"> dollars</w:t>
      </w:r>
      <w:r w:rsidRPr="00FB2283">
        <w:rPr>
          <w:rFonts w:ascii="Arial" w:hAnsi="Arial" w:cs="Arial"/>
          <w:sz w:val="16"/>
          <w:szCs w:val="16"/>
        </w:rPr>
        <w:t xml:space="preserve"> </w:t>
      </w:r>
      <w:r w:rsidRPr="00D87591">
        <w:rPr>
          <w:rFonts w:ascii="Arial" w:hAnsi="Arial" w:cs="Arial"/>
          <w:sz w:val="16"/>
          <w:szCs w:val="16"/>
        </w:rPr>
        <w:t xml:space="preserve">by </w:t>
      </w:r>
      <w:r w:rsidR="00D87591" w:rsidRPr="00D87591">
        <w:rPr>
          <w:rFonts w:ascii="Arial" w:hAnsi="Arial" w:cs="Arial"/>
          <w:sz w:val="16"/>
          <w:szCs w:val="16"/>
        </w:rPr>
        <w:t xml:space="preserve">a </w:t>
      </w:r>
      <w:r w:rsidRPr="00D87591">
        <w:rPr>
          <w:rFonts w:ascii="Arial" w:hAnsi="Arial" w:cs="Arial"/>
          <w:sz w:val="16"/>
          <w:szCs w:val="16"/>
        </w:rPr>
        <w:t xml:space="preserve">GDP </w:t>
      </w:r>
      <w:r w:rsidR="003174D8" w:rsidRPr="00D87591">
        <w:rPr>
          <w:rFonts w:ascii="Arial" w:hAnsi="Arial" w:cs="Arial"/>
          <w:sz w:val="16"/>
          <w:szCs w:val="16"/>
        </w:rPr>
        <w:t>inflator (</w:t>
      </w:r>
      <w:r w:rsidR="003174D8" w:rsidRPr="003174D8">
        <w:rPr>
          <w:rFonts w:ascii="Arial" w:hAnsi="Arial" w:cs="Arial"/>
          <w:sz w:val="16"/>
          <w:szCs w:val="16"/>
        </w:rPr>
        <w:t>1.068).</w:t>
      </w:r>
    </w:p>
    <w:p w:rsidR="00C73E33" w:rsidRDefault="00B83739" w:rsidP="008D08FC">
      <w:pPr>
        <w:spacing w:after="0" w:line="240" w:lineRule="auto"/>
        <w:ind w:left="360" w:right="86" w:hanging="270"/>
        <w:rPr>
          <w:rFonts w:ascii="Arial" w:hAnsi="Arial" w:cs="Arial"/>
          <w:sz w:val="16"/>
          <w:szCs w:val="16"/>
        </w:rPr>
      </w:pPr>
      <w:r w:rsidRPr="00FB2283">
        <w:rPr>
          <w:rFonts w:ascii="Arial" w:hAnsi="Arial" w:cs="Arial"/>
          <w:sz w:val="16"/>
          <w:szCs w:val="16"/>
        </w:rPr>
        <w:t>(</w:t>
      </w:r>
      <w:r w:rsidR="00D869BE">
        <w:rPr>
          <w:rFonts w:ascii="Arial" w:hAnsi="Arial" w:cs="Arial"/>
          <w:sz w:val="16"/>
          <w:szCs w:val="16"/>
        </w:rPr>
        <w:t>c</w:t>
      </w:r>
      <w:r w:rsidRPr="00FB2283">
        <w:rPr>
          <w:rFonts w:ascii="Arial" w:hAnsi="Arial" w:cs="Arial"/>
          <w:sz w:val="16"/>
          <w:szCs w:val="16"/>
        </w:rPr>
        <w:t>)</w:t>
      </w:r>
      <w:r w:rsidR="000C2D2F">
        <w:rPr>
          <w:rFonts w:ascii="Arial" w:hAnsi="Arial" w:cs="Arial"/>
          <w:sz w:val="16"/>
          <w:szCs w:val="16"/>
        </w:rPr>
        <w:t xml:space="preserve"> </w:t>
      </w:r>
      <w:r w:rsidR="008D08FC">
        <w:rPr>
          <w:rFonts w:ascii="Arial" w:hAnsi="Arial" w:cs="Arial"/>
          <w:sz w:val="16"/>
          <w:szCs w:val="16"/>
        </w:rPr>
        <w:tab/>
      </w:r>
      <w:r w:rsidR="007353DD">
        <w:rPr>
          <w:rFonts w:ascii="Arial" w:hAnsi="Arial" w:cs="Arial"/>
          <w:sz w:val="16"/>
          <w:szCs w:val="16"/>
        </w:rPr>
        <w:t xml:space="preserve">The </w:t>
      </w:r>
      <w:r w:rsidR="007353DD" w:rsidRPr="00FB2283">
        <w:rPr>
          <w:rFonts w:ascii="Arial" w:hAnsi="Arial" w:cs="Arial"/>
          <w:sz w:val="16"/>
          <w:szCs w:val="16"/>
        </w:rPr>
        <w:t>Brattle Group, Connecticut Light and Power, and</w:t>
      </w:r>
      <w:r w:rsidR="007353DD">
        <w:rPr>
          <w:rFonts w:ascii="Arial" w:hAnsi="Arial" w:cs="Arial"/>
          <w:sz w:val="16"/>
          <w:szCs w:val="16"/>
        </w:rPr>
        <w:t xml:space="preserve"> t</w:t>
      </w:r>
      <w:r w:rsidR="007353DD" w:rsidRPr="00FB2283">
        <w:rPr>
          <w:rFonts w:ascii="Arial" w:hAnsi="Arial" w:cs="Arial"/>
          <w:sz w:val="16"/>
          <w:szCs w:val="16"/>
        </w:rPr>
        <w:t>he United Illuminating Company</w:t>
      </w:r>
      <w:r w:rsidR="007353DD">
        <w:rPr>
          <w:rFonts w:ascii="Arial" w:hAnsi="Arial" w:cs="Arial"/>
          <w:sz w:val="16"/>
          <w:szCs w:val="16"/>
        </w:rPr>
        <w:t xml:space="preserve">, </w:t>
      </w:r>
      <w:r w:rsidR="003174D8" w:rsidRPr="003174D8">
        <w:rPr>
          <w:rFonts w:ascii="Arial" w:hAnsi="Arial" w:cs="Arial"/>
          <w:i/>
          <w:sz w:val="16"/>
          <w:szCs w:val="16"/>
        </w:rPr>
        <w:t>Integrated Resource Plan for Connecticut</w:t>
      </w:r>
      <w:r w:rsidR="00E43704">
        <w:rPr>
          <w:rFonts w:ascii="Arial" w:hAnsi="Arial" w:cs="Arial"/>
          <w:i/>
          <w:sz w:val="16"/>
          <w:szCs w:val="16"/>
        </w:rPr>
        <w:t xml:space="preserve"> </w:t>
      </w:r>
      <w:r w:rsidR="000C2D2F">
        <w:rPr>
          <w:rFonts w:ascii="Arial" w:hAnsi="Arial" w:cs="Arial"/>
          <w:sz w:val="16"/>
          <w:szCs w:val="16"/>
        </w:rPr>
        <w:t>(</w:t>
      </w:r>
      <w:r w:rsidRPr="00FB2283">
        <w:rPr>
          <w:rFonts w:ascii="Arial" w:hAnsi="Arial" w:cs="Arial"/>
          <w:sz w:val="16"/>
          <w:szCs w:val="16"/>
        </w:rPr>
        <w:t>January 1, 2010</w:t>
      </w:r>
      <w:r w:rsidR="000C2D2F">
        <w:rPr>
          <w:rFonts w:ascii="Arial" w:hAnsi="Arial" w:cs="Arial"/>
          <w:sz w:val="16"/>
          <w:szCs w:val="16"/>
        </w:rPr>
        <w:t>)</w:t>
      </w:r>
      <w:r w:rsidRPr="00FB2283">
        <w:rPr>
          <w:rFonts w:ascii="Arial" w:hAnsi="Arial" w:cs="Arial"/>
          <w:sz w:val="16"/>
          <w:szCs w:val="16"/>
        </w:rPr>
        <w:t>.</w:t>
      </w:r>
    </w:p>
    <w:p w:rsidR="001B3090" w:rsidRDefault="00B83739" w:rsidP="00DE0861">
      <w:pPr>
        <w:pStyle w:val="Heading2"/>
        <w:keepNext w:val="0"/>
        <w:keepLines w:val="0"/>
      </w:pPr>
      <w:bookmarkStart w:id="799" w:name="_Toc271632320"/>
      <w:r>
        <w:t>Observations</w:t>
      </w:r>
      <w:bookmarkEnd w:id="799"/>
      <w:r>
        <w:t xml:space="preserve"> </w:t>
      </w:r>
    </w:p>
    <w:p w:rsidR="00B83739" w:rsidRDefault="00B83739" w:rsidP="00073277">
      <w:r w:rsidRPr="004D7AEA">
        <w:t xml:space="preserve">This section provides an overview of the </w:t>
      </w:r>
      <w:r>
        <w:t xml:space="preserve">production costs </w:t>
      </w:r>
      <w:r w:rsidRPr="004D7AEA">
        <w:t>and environmental</w:t>
      </w:r>
      <w:r>
        <w:t xml:space="preserve"> results of the economic </w:t>
      </w:r>
      <w:r w:rsidRPr="000339A1">
        <w:t xml:space="preserve">studies </w:t>
      </w:r>
      <w:r w:rsidRPr="001E5580">
        <w:t>conducted in 2009, within New England and interregionally</w:t>
      </w:r>
      <w:r w:rsidRPr="000339A1">
        <w:t>.</w:t>
      </w:r>
      <w:r>
        <w:t xml:space="preserve"> Additional details and discussion of these simulations, assumptions, and results are documented in supplemental </w:t>
      </w:r>
      <w:r w:rsidRPr="00A13D3E">
        <w:t>report</w:t>
      </w:r>
      <w:r>
        <w:t>s, as indicated</w:t>
      </w:r>
      <w:r w:rsidRPr="000339A1">
        <w:t xml:space="preserve">. </w:t>
      </w:r>
    </w:p>
    <w:p w:rsidR="00E34D81" w:rsidRDefault="00B83739" w:rsidP="00073277">
      <w:pPr>
        <w:sectPr w:rsidR="00E34D81" w:rsidSect="00015282">
          <w:footerReference w:type="default" r:id="rId80"/>
          <w:pgSz w:w="12240" w:h="15840"/>
          <w:pgMar w:top="1350" w:right="1440" w:bottom="1440" w:left="1440" w:header="720" w:footer="720" w:gutter="0"/>
          <w:cols w:space="720"/>
          <w:docGrid w:linePitch="360"/>
        </w:sectPr>
      </w:pPr>
      <w:r>
        <w:t>The purpose of these studies is to</w:t>
      </w:r>
      <w:r w:rsidRPr="00B26D2A">
        <w:t xml:space="preserve"> </w:t>
      </w:r>
      <w:r>
        <w:t xml:space="preserve">“test” future resource supplies, transmission upgrades, and the effect of transmission constraints in a </w:t>
      </w:r>
      <w:r w:rsidRPr="00B26D2A">
        <w:t xml:space="preserve">“what-if” </w:t>
      </w:r>
      <w:r>
        <w:t xml:space="preserve">context. </w:t>
      </w:r>
      <w:r w:rsidRPr="00AC5D7A">
        <w:t>While the</w:t>
      </w:r>
      <w:r>
        <w:t xml:space="preserve">se studies </w:t>
      </w:r>
      <w:r w:rsidR="00CE16D8">
        <w:t xml:space="preserve">do not identify </w:t>
      </w:r>
      <w:r w:rsidRPr="00B26D2A">
        <w:t>specific Market Efficiency Transmission</w:t>
      </w:r>
      <w:r w:rsidR="003C6294">
        <w:t xml:space="preserve"> </w:t>
      </w:r>
      <w:r w:rsidRPr="00B26D2A">
        <w:t>Upgrade</w:t>
      </w:r>
      <w:r w:rsidR="001450AA">
        <w:t>s</w:t>
      </w:r>
      <w:r w:rsidR="002427AA">
        <w:t xml:space="preserve"> (see Section </w:t>
      </w:r>
      <w:r w:rsidR="00832C7A">
        <w:fldChar w:fldCharType="begin"/>
      </w:r>
      <w:r w:rsidR="00663230">
        <w:instrText xml:space="preserve"> REF _Ref262119775 \r \h </w:instrText>
      </w:r>
      <w:r w:rsidR="00832C7A">
        <w:fldChar w:fldCharType="separate"/>
      </w:r>
      <w:r w:rsidR="00E5699E">
        <w:t>6.2.3.2</w:t>
      </w:r>
      <w:r w:rsidR="00832C7A">
        <w:fldChar w:fldCharType="end"/>
      </w:r>
      <w:r w:rsidR="002427AA">
        <w:t>)</w:t>
      </w:r>
      <w:r>
        <w:t>,</w:t>
      </w:r>
      <w:r w:rsidRPr="00B26D2A">
        <w:t xml:space="preserve"> </w:t>
      </w:r>
      <w:r>
        <w:t xml:space="preserve">the results can be used to identify the need for additional targeted studies. Although the analyses are based on uncertain assumptions and thus provide only general trends for particular scenarios, the economic study results </w:t>
      </w:r>
      <w:r w:rsidRPr="000339A1">
        <w:t xml:space="preserve">provide </w:t>
      </w:r>
      <w:r w:rsidRPr="001E5580">
        <w:t>useful</w:t>
      </w:r>
      <w:r>
        <w:t xml:space="preserve"> information to stakeholders and policymakers</w:t>
      </w:r>
      <w:r w:rsidRPr="002069D8">
        <w:t>.</w:t>
      </w:r>
    </w:p>
    <w:p w:rsidR="007B66C3" w:rsidRPr="000C7834" w:rsidRDefault="00832C7A" w:rsidP="00DF39BB">
      <w:pPr>
        <w:pStyle w:val="Heading1"/>
      </w:pPr>
      <w:bookmarkStart w:id="800" w:name="_Ref266560742"/>
      <w:bookmarkStart w:id="801" w:name="_Ref267384688"/>
      <w:r>
        <w:rPr>
          <w:noProof/>
        </w:rPr>
        <w:pict>
          <v:shape id="_x0000_s1036" type="#_x0000_t202" style="position:absolute;left:0;text-align:left;margin-left:15892.9pt;margin-top:67pt;width:251.85pt;height:261.2pt;z-index:251718656;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36" inset="8.64pt,8.64pt,8.64pt,8.64pt">
              <w:txbxContent>
                <w:p w:rsidR="003C78A4" w:rsidRPr="008D163C" w:rsidRDefault="003C78A4">
                  <w:pPr>
                    <w:pStyle w:val="BodyText1"/>
                  </w:pPr>
                  <w:r w:rsidRPr="008D163C">
                    <w:t xml:space="preserve">“The RSP shall also describe the coordination of the ISO’s regional system plans with regional, local and inter-area planning activities.” (Attachment K, Overview) </w:t>
                  </w:r>
                </w:p>
                <w:p w:rsidR="003C78A4" w:rsidRPr="008D163C" w:rsidRDefault="003C78A4">
                  <w:pPr>
                    <w:pStyle w:val="BodyText1"/>
                  </w:pPr>
                  <w:r w:rsidRPr="008D163C">
                    <w:t>“The RSP shall be designed and implemented to:</w:t>
                  </w:r>
                  <w:r>
                    <w:t xml:space="preserve"> . . .</w:t>
                  </w:r>
                  <w:r w:rsidRPr="008D163C">
                    <w:t xml:space="preserve"> (ii) identify facilities that are necessary to meet Planning and Reliability Criteria </w:t>
                  </w:r>
                  <w:r>
                    <w:t xml:space="preserve">. . . (v) </w:t>
                  </w:r>
                  <w:r w:rsidRPr="008D163C">
                    <w:t>provide for coordination with existing transmission systems and with appropriate inter-area and local expansion plans</w:t>
                  </w:r>
                  <w:r>
                    <w:t xml:space="preserve"> . . .</w:t>
                  </w:r>
                  <w:r w:rsidRPr="008D163C">
                    <w:t>” (Attachment K, §</w:t>
                  </w:r>
                  <w:r>
                    <w:t xml:space="preserve"> </w:t>
                  </w:r>
                  <w:r w:rsidRPr="008D163C">
                    <w:t xml:space="preserve">3.4) </w:t>
                  </w:r>
                </w:p>
                <w:p w:rsidR="003C78A4" w:rsidRPr="008D163C" w:rsidRDefault="003C78A4">
                  <w:pPr>
                    <w:pStyle w:val="BodyText1"/>
                  </w:pPr>
                  <w:r w:rsidRPr="008D163C">
                    <w:t>“A Needs Assessment shall analyze whether the PTF in the New England Transmission System:  (i) meet applicable reliability standards; (ii) have adequate transfer capability to support local, regional, and inter-regional reliability</w:t>
                  </w:r>
                  <w:r>
                    <w:t xml:space="preserve"> . . .</w:t>
                  </w:r>
                  <w:r w:rsidRPr="008D163C">
                    <w:t>” (Attachment K, §</w:t>
                  </w:r>
                  <w:r>
                    <w:t xml:space="preserve"> </w:t>
                  </w:r>
                  <w:r w:rsidRPr="008D163C">
                    <w:t xml:space="preserve">4.1) </w:t>
                  </w:r>
                </w:p>
                <w:p w:rsidR="003C78A4" w:rsidRPr="008D163C" w:rsidRDefault="003C78A4">
                  <w:pPr>
                    <w:pStyle w:val="BodyText1"/>
                  </w:pPr>
                  <w:r w:rsidRPr="008D163C">
                    <w:t>“The regional system planning process shall be conducted and the annual RSP shall be developed in coordination with the similar plans of the surrounding ISOs/RTOs and Control Areas pursuant to the Northeastern ISO/RTO Planning Coordination Protocol and other agreements with neighboring systems and NPCC</w:t>
                  </w:r>
                  <w:r>
                    <w:t xml:space="preserve">. </w:t>
                  </w:r>
                  <w:r w:rsidRPr="008D163C">
                    <w:t xml:space="preserve">Inter-area planning studies shall be conducted over as broad a region as feasible, including adjacent Canadian systems who are members of NPCC, or its successor organization, and, as </w:t>
                  </w:r>
                  <w:r w:rsidRPr="00A73FE0">
                    <w:t>appropriate, MAAC and Reliability</w:t>
                  </w:r>
                  <w:r w:rsidRPr="008D163C">
                    <w:t xml:space="preserve"> First, or their successor</w:t>
                  </w:r>
                  <w:r w:rsidRPr="008D163C">
                    <w:rPr>
                      <w:i/>
                      <w:sz w:val="14"/>
                      <w:szCs w:val="14"/>
                    </w:rPr>
                    <w:t xml:space="preserve"> </w:t>
                  </w:r>
                  <w:r w:rsidRPr="008D163C">
                    <w:t>organizations</w:t>
                  </w:r>
                  <w:r>
                    <w:t xml:space="preserve"> . . . </w:t>
                  </w:r>
                  <w:r w:rsidRPr="008D163C">
                    <w:t>” (Attachment K, §</w:t>
                  </w:r>
                  <w:r>
                    <w:t xml:space="preserve"> </w:t>
                  </w:r>
                  <w:r w:rsidRPr="008D163C">
                    <w:t>6.3)</w:t>
                  </w:r>
                </w:p>
                <w:p w:rsidR="003C78A4" w:rsidRPr="00217100" w:rsidRDefault="003C78A4" w:rsidP="00D50D49">
                  <w:pPr>
                    <w:rPr>
                      <w:i/>
                      <w:szCs w:val="14"/>
                    </w:rPr>
                  </w:pPr>
                </w:p>
              </w:txbxContent>
            </v:textbox>
            <w10:wrap type="square" anchorx="margin" anchory="margin"/>
          </v:shape>
        </w:pict>
      </w:r>
      <w:r w:rsidR="007B66C3">
        <w:br/>
      </w:r>
      <w:bookmarkStart w:id="802" w:name="_Toc201670003"/>
      <w:bookmarkStart w:id="803" w:name="_Ref202110601"/>
      <w:bookmarkStart w:id="804" w:name="_Ref202177738"/>
      <w:bookmarkStart w:id="805" w:name="_Toc207531906"/>
      <w:bookmarkStart w:id="806" w:name="_Toc239157158"/>
      <w:bookmarkStart w:id="807" w:name="_Ref262118418"/>
      <w:bookmarkStart w:id="808" w:name="_Toc271632321"/>
      <w:r w:rsidR="007B66C3" w:rsidRPr="000C7834">
        <w:t>Interregional Planning</w:t>
      </w:r>
      <w:bookmarkEnd w:id="800"/>
      <w:bookmarkEnd w:id="802"/>
      <w:bookmarkEnd w:id="803"/>
      <w:bookmarkEnd w:id="804"/>
      <w:bookmarkEnd w:id="805"/>
      <w:bookmarkEnd w:id="806"/>
      <w:bookmarkEnd w:id="807"/>
      <w:r w:rsidR="00F74D56">
        <w:t xml:space="preserve"> and Studies</w:t>
      </w:r>
      <w:bookmarkEnd w:id="801"/>
      <w:bookmarkEnd w:id="808"/>
    </w:p>
    <w:p w:rsidR="007B66C3" w:rsidRPr="00F74D56" w:rsidRDefault="007B66C3" w:rsidP="00073277">
      <w:r>
        <w:t xml:space="preserve">The ISO is participating in numerous national and interregional planning activities with the U.S. Department of </w:t>
      </w:r>
      <w:r w:rsidRPr="008D3E1B">
        <w:t>Energy, the</w:t>
      </w:r>
      <w:r>
        <w:t xml:space="preserve"> Northeast Power Coordinating Council, and other balancing authority areas in the United States and Canada. The aim of these projects, as described in this section, is to ensure the coordination of planning efforts to enhance the widespread </w:t>
      </w:r>
      <w:r w:rsidRPr="00F74D56">
        <w:t xml:space="preserve">reliability of the </w:t>
      </w:r>
      <w:r w:rsidR="00ED48BE">
        <w:t xml:space="preserve">interregional </w:t>
      </w:r>
      <w:r w:rsidRPr="00F74D56">
        <w:t xml:space="preserve">electric power system. </w:t>
      </w:r>
      <w:r w:rsidR="00821C68" w:rsidRPr="00F74D56">
        <w:t xml:space="preserve">The ISO also </w:t>
      </w:r>
      <w:r w:rsidR="00F74D56" w:rsidRPr="00F74D56">
        <w:t xml:space="preserve">conducts studies </w:t>
      </w:r>
      <w:r w:rsidR="00821C68" w:rsidRPr="00F74D56">
        <w:t xml:space="preserve">with other entities within </w:t>
      </w:r>
      <w:r w:rsidR="00F74D56" w:rsidRPr="00F74D56">
        <w:t xml:space="preserve">and outside </w:t>
      </w:r>
      <w:r w:rsidR="00821C68" w:rsidRPr="00F74D56">
        <w:t xml:space="preserve">the region </w:t>
      </w:r>
      <w:r w:rsidRPr="00F74D56">
        <w:t>and with neighboring areas to conduct production cost studies, to investigate the challenges to and possibilities for integrating renewable resources</w:t>
      </w:r>
      <w:bookmarkStart w:id="809" w:name="_Toc176245068"/>
      <w:r w:rsidRPr="00F74D56">
        <w:t>, and to address other common issues affecting the planning of the overall system.</w:t>
      </w:r>
    </w:p>
    <w:p w:rsidR="007B66C3" w:rsidRPr="00F74D56" w:rsidRDefault="00205075" w:rsidP="00073277">
      <w:r w:rsidRPr="00F74D56">
        <w:t>The OATT Attachment K</w:t>
      </w:r>
      <w:r w:rsidR="007B66C3" w:rsidRPr="00F74D56">
        <w:t xml:space="preserve"> requires the ISO to identify and resolve interregional planning issues, as identified in Needs Assessments and Solution Studies.</w:t>
      </w:r>
    </w:p>
    <w:p w:rsidR="001B3090" w:rsidRDefault="00F74D56">
      <w:pPr>
        <w:pStyle w:val="Heading2"/>
      </w:pPr>
      <w:bookmarkStart w:id="810" w:name="_Toc207531907"/>
      <w:bookmarkStart w:id="811" w:name="_Toc239157159"/>
      <w:bookmarkStart w:id="812" w:name="_Toc271632322"/>
      <w:r w:rsidRPr="00F74D56">
        <w:t>Studies of the Eastern Interconnection</w:t>
      </w:r>
      <w:bookmarkEnd w:id="810"/>
      <w:bookmarkEnd w:id="811"/>
      <w:bookmarkEnd w:id="812"/>
    </w:p>
    <w:p w:rsidR="007B66C3" w:rsidRPr="00D06976" w:rsidRDefault="007B66C3" w:rsidP="00073277">
      <w:r w:rsidRPr="00F74D56">
        <w:t xml:space="preserve">The </w:t>
      </w:r>
      <w:r w:rsidRPr="00F74D56">
        <w:rPr>
          <w:i/>
        </w:rPr>
        <w:t>Energy Policy Act of 2005</w:t>
      </w:r>
      <w:r w:rsidRPr="00F74D56">
        <w:t xml:space="preserve"> (EPAct) (which among other things amends the </w:t>
      </w:r>
      <w:r w:rsidRPr="00F74D56">
        <w:rPr>
          <w:i/>
        </w:rPr>
        <w:t>Federal Power Act</w:t>
      </w:r>
      <w:r w:rsidRPr="00F74D56">
        <w:t>) requires the DOE and FERC to implement several reliability provisions.</w:t>
      </w:r>
      <w:r w:rsidR="00940268" w:rsidRPr="00F74D56">
        <w:rPr>
          <w:rStyle w:val="FootnoteReference"/>
          <w:sz w:val="22"/>
        </w:rPr>
        <w:footnoteReference w:id="317"/>
      </w:r>
      <w:r w:rsidRPr="00F74D56">
        <w:t xml:space="preserve"> The requirements include ensuring the reliability of the transmission infrastructure by the establishment of National Interest Electric Transmission Corridors (NIETCs) and the implementation of enforceable reliability standards administered by the North American Electric Reliability Corporation.</w:t>
      </w:r>
    </w:p>
    <w:p w:rsidR="00B462A6" w:rsidRDefault="007B66C3">
      <w:pPr>
        <w:pStyle w:val="Heading3"/>
      </w:pPr>
      <w:bookmarkStart w:id="813" w:name="_Toc207531908"/>
      <w:bookmarkStart w:id="814" w:name="_Toc239157160"/>
      <w:bookmarkStart w:id="815" w:name="_Ref266111354"/>
      <w:bookmarkStart w:id="816" w:name="_Toc271632323"/>
      <w:r w:rsidRPr="00D93D8A">
        <w:t>U.S. DOE Study of National Interest Electric Transmission Corridors</w:t>
      </w:r>
      <w:bookmarkEnd w:id="813"/>
      <w:bookmarkEnd w:id="814"/>
      <w:bookmarkEnd w:id="815"/>
      <w:bookmarkEnd w:id="816"/>
    </w:p>
    <w:p w:rsidR="007B66C3" w:rsidRDefault="007B66C3" w:rsidP="00073277">
      <w:r>
        <w:t xml:space="preserve">Based in </w:t>
      </w:r>
      <w:r w:rsidRPr="00B15B2D">
        <w:t xml:space="preserve">part on the </w:t>
      </w:r>
      <w:r w:rsidRPr="00B15B2D">
        <w:rPr>
          <w:i/>
        </w:rPr>
        <w:t>2006 Congestion Study of the Eastern Interconnection</w:t>
      </w:r>
      <w:r w:rsidRPr="00B15B2D">
        <w:t>,</w:t>
      </w:r>
      <w:r>
        <w:t xml:space="preserve"> DOE </w:t>
      </w:r>
      <w:r w:rsidRPr="0093472B">
        <w:t xml:space="preserve">designated the Mid-Atlantic Area National Corridor from south of the Washington, DC, area, </w:t>
      </w:r>
      <w:r>
        <w:t xml:space="preserve">to </w:t>
      </w:r>
      <w:r w:rsidRPr="0093472B">
        <w:t xml:space="preserve">north </w:t>
      </w:r>
      <w:r>
        <w:t>of</w:t>
      </w:r>
      <w:r w:rsidRPr="0093472B">
        <w:t xml:space="preserve"> the area </w:t>
      </w:r>
      <w:r>
        <w:t xml:space="preserve">between </w:t>
      </w:r>
      <w:r w:rsidRPr="0093472B">
        <w:t xml:space="preserve">Utica </w:t>
      </w:r>
      <w:r>
        <w:t>and</w:t>
      </w:r>
      <w:r w:rsidRPr="0093472B">
        <w:t xml:space="preserve"> Albany, New York</w:t>
      </w:r>
      <w:r>
        <w:t>.</w:t>
      </w:r>
      <w:r w:rsidRPr="00382BF6">
        <w:rPr>
          <w:rStyle w:val="FootnoteReference"/>
          <w:sz w:val="22"/>
        </w:rPr>
        <w:footnoteReference w:id="318"/>
      </w:r>
      <w:r w:rsidRPr="00382BF6">
        <w:t xml:space="preserve"> </w:t>
      </w:r>
      <w:r>
        <w:t xml:space="preserve">That corridor </w:t>
      </w:r>
      <w:r w:rsidRPr="0093472B">
        <w:t xml:space="preserve">omits all areas of </w:t>
      </w:r>
      <w:smartTag w:uri="urn:schemas-microsoft-com:office:smarttags" w:element="place">
        <w:r w:rsidRPr="0093472B">
          <w:t>New England</w:t>
        </w:r>
      </w:smartTag>
      <w:r w:rsidRPr="0093472B">
        <w:t>.</w:t>
      </w:r>
      <w:r w:rsidRPr="00382BF6">
        <w:rPr>
          <w:rStyle w:val="FootnoteReference"/>
          <w:sz w:val="22"/>
        </w:rPr>
        <w:footnoteReference w:id="319"/>
      </w:r>
    </w:p>
    <w:p w:rsidR="007B66C3" w:rsidRPr="00B15B2D" w:rsidRDefault="007B66C3" w:rsidP="00073277">
      <w:r w:rsidRPr="00B15B2D">
        <w:t>Section 216(h)(9)(C) of EPAct requires DOE to consult regularly with, among others, transmission organizations (i.e., ISOs, RTOs, independent transmission providers</w:t>
      </w:r>
      <w:r w:rsidR="00924C53">
        <w:t xml:space="preserve"> </w:t>
      </w:r>
      <w:r w:rsidR="004E5379">
        <w:t>[</w:t>
      </w:r>
      <w:r w:rsidR="00924C53">
        <w:t>TPs</w:t>
      </w:r>
      <w:r w:rsidR="004E5379">
        <w:t>]</w:t>
      </w:r>
      <w:r w:rsidRPr="00B15B2D">
        <w:t xml:space="preserve">, or other FERC-approved </w:t>
      </w:r>
      <w:r w:rsidRPr="00CE16D8">
        <w:t xml:space="preserve">transmission organizations). DOE was required to study the congestion of the U.S. </w:t>
      </w:r>
      <w:r w:rsidR="00ED48BE" w:rsidRPr="00CE16D8">
        <w:t xml:space="preserve">electric </w:t>
      </w:r>
      <w:r w:rsidRPr="00CE16D8">
        <w:t>power system</w:t>
      </w:r>
      <w:r w:rsidR="001450AA">
        <w:t xml:space="preserve"> </w:t>
      </w:r>
      <w:r w:rsidRPr="00CE16D8">
        <w:t>and issued a December 2009</w:t>
      </w:r>
      <w:r w:rsidR="0084253E">
        <w:t xml:space="preserve"> report</w:t>
      </w:r>
      <w:r w:rsidR="00440C95" w:rsidRPr="00CE16D8">
        <w:t>.</w:t>
      </w:r>
      <w:r w:rsidRPr="0084253E">
        <w:rPr>
          <w:rStyle w:val="FootnoteReference"/>
          <w:sz w:val="22"/>
        </w:rPr>
        <w:footnoteReference w:id="320"/>
      </w:r>
      <w:r w:rsidR="00C7417B">
        <w:t xml:space="preserve"> </w:t>
      </w:r>
      <w:r w:rsidRPr="00B15B2D">
        <w:t>The report shows little congestion in New England, and DOE removed New England as “an area of concern</w:t>
      </w:r>
      <w:r w:rsidR="00890D42" w:rsidRPr="00890D42">
        <w:t>.” According to DOE, this is the</w:t>
      </w:r>
      <w:r w:rsidRPr="00B15B2D">
        <w:t xml:space="preserve"> result of the successful development of resources and transmission facilities, where and when they are needed. As of April 2010, DOE did not designate new NIETCs</w:t>
      </w:r>
      <w:r w:rsidR="00662103">
        <w:t xml:space="preserve">. </w:t>
      </w:r>
      <w:r w:rsidRPr="00B15B2D">
        <w:t xml:space="preserve">Further, a NIETC provision in the </w:t>
      </w:r>
      <w:r w:rsidRPr="00B15B2D">
        <w:rPr>
          <w:i/>
        </w:rPr>
        <w:t>American Recovery and Reinvestment Act of 2009</w:t>
      </w:r>
      <w:r w:rsidRPr="00B15B2D">
        <w:t xml:space="preserve"> (i.e., the federal </w:t>
      </w:r>
      <w:r w:rsidR="003832F9">
        <w:t xml:space="preserve">economic </w:t>
      </w:r>
      <w:r w:rsidRPr="00B15B2D">
        <w:t>stimulus bill), Section 409, requires an analysis of significant areas of renewable resources constrained by lack of access to adequate transmission capacity.</w:t>
      </w:r>
      <w:r w:rsidRPr="0084253E">
        <w:rPr>
          <w:rStyle w:val="FootnoteReference"/>
          <w:sz w:val="22"/>
        </w:rPr>
        <w:footnoteReference w:id="321"/>
      </w:r>
      <w:r>
        <w:t xml:space="preserve"> </w:t>
      </w:r>
    </w:p>
    <w:p w:rsidR="007B66C3" w:rsidRPr="002040F0" w:rsidRDefault="007B66C3" w:rsidP="00073277">
      <w:r>
        <w:t>ISO New England and other planning authorities have participated in several DOE workshops on NIETCs.</w:t>
      </w:r>
      <w:r w:rsidRPr="009068AE">
        <w:rPr>
          <w:rStyle w:val="FootnoteReference"/>
          <w:sz w:val="22"/>
        </w:rPr>
        <w:footnoteReference w:id="322"/>
      </w:r>
      <w:r w:rsidRPr="009068AE">
        <w:t xml:space="preserve"> </w:t>
      </w:r>
      <w:r>
        <w:t>The ISO supported a DOE study of the Eastern Interconnection that showed that New England has less congestion than other areas of the country.</w:t>
      </w:r>
      <w:r w:rsidRPr="009068AE">
        <w:rPr>
          <w:rStyle w:val="FootnoteReference"/>
          <w:sz w:val="22"/>
        </w:rPr>
        <w:footnoteReference w:id="323"/>
      </w:r>
      <w:r>
        <w:t xml:space="preserve"> The ISO will continue to monitor future DOE studies and coordinate activities with other </w:t>
      </w:r>
      <w:r w:rsidRPr="00046C89">
        <w:t>ISOs and RTOs as well as</w:t>
      </w:r>
      <w:r w:rsidRPr="00F75EA9">
        <w:t xml:space="preserve"> policymakers</w:t>
      </w:r>
      <w:r>
        <w:t xml:space="preserve"> and electric </w:t>
      </w:r>
      <w:r w:rsidRPr="002040F0">
        <w:t xml:space="preserve">power industry stakeholders in New England. </w:t>
      </w:r>
      <w:bookmarkStart w:id="817" w:name="_Ref204395299"/>
      <w:bookmarkStart w:id="818" w:name="_Toc207531909"/>
    </w:p>
    <w:p w:rsidR="00B462A6" w:rsidRDefault="007B66C3">
      <w:pPr>
        <w:pStyle w:val="Heading3"/>
      </w:pPr>
      <w:bookmarkStart w:id="819" w:name="_Toc239157161"/>
      <w:bookmarkStart w:id="820" w:name="_Ref266614877"/>
      <w:bookmarkStart w:id="821" w:name="_Ref266631684"/>
      <w:bookmarkStart w:id="822" w:name="_Toc271632324"/>
      <w:r w:rsidRPr="002040F0">
        <w:t>Eastern Interconnection Planning Collaborative</w:t>
      </w:r>
      <w:bookmarkEnd w:id="819"/>
      <w:bookmarkEnd w:id="820"/>
      <w:bookmarkEnd w:id="821"/>
      <w:bookmarkEnd w:id="822"/>
    </w:p>
    <w:p w:rsidR="007B66C3" w:rsidRPr="00967A97" w:rsidRDefault="007B66C3" w:rsidP="00073277">
      <w:r w:rsidRPr="002040F0">
        <w:t>In August 2009, an agreement to form the Eastern Interconnection Planning Collaborative was implemented</w:t>
      </w:r>
      <w:r w:rsidR="00102016" w:rsidRPr="002040F0">
        <w:t>, for which 26</w:t>
      </w:r>
      <w:r w:rsidR="002A6A04" w:rsidRPr="002040F0">
        <w:t xml:space="preserve"> planning authorities in </w:t>
      </w:r>
      <w:r w:rsidRPr="002040F0">
        <w:t>the Eastern Interconnection</w:t>
      </w:r>
      <w:r w:rsidR="002A6A04" w:rsidRPr="002040F0">
        <w:t xml:space="preserve">, </w:t>
      </w:r>
      <w:r w:rsidR="00821C68" w:rsidRPr="002040F0">
        <w:t>representing over 95% of the</w:t>
      </w:r>
      <w:r w:rsidR="00AA4D61" w:rsidRPr="002040F0">
        <w:t xml:space="preserve"> Eastern Interconnection load</w:t>
      </w:r>
      <w:r w:rsidR="002A6A04" w:rsidRPr="002040F0">
        <w:t>, have now signed on</w:t>
      </w:r>
      <w:r w:rsidR="00821C68" w:rsidRPr="002040F0">
        <w:t>.</w:t>
      </w:r>
      <w:r w:rsidR="00307C00" w:rsidRPr="0084253E">
        <w:rPr>
          <w:rStyle w:val="FootnoteReference"/>
          <w:sz w:val="22"/>
        </w:rPr>
        <w:footnoteReference w:id="324"/>
      </w:r>
      <w:r w:rsidRPr="002040F0">
        <w:t xml:space="preserve"> At the same time </w:t>
      </w:r>
      <w:r w:rsidR="00821C68" w:rsidRPr="002040F0">
        <w:t>the EIPC was</w:t>
      </w:r>
      <w:r w:rsidRPr="002040F0">
        <w:t xml:space="preserve"> forming, DOE issued a Funding Opportunity Announcement (FOA) for analysis work for the Eastern Interconnection. The FOA funding was allocated to two categories</w:t>
      </w:r>
      <w:r w:rsidRPr="002040F0">
        <w:rPr>
          <w:rFonts w:cs="Times New Roman"/>
        </w:rPr>
        <w:t>—</w:t>
      </w:r>
      <w:r w:rsidRPr="002040F0">
        <w:t>Topic A funding is for analysis work, and Topic B funding is providing grants for state participation.</w:t>
      </w:r>
      <w:r w:rsidR="002040F0" w:rsidRPr="0084253E">
        <w:rPr>
          <w:rStyle w:val="FootnoteReference"/>
          <w:sz w:val="22"/>
        </w:rPr>
        <w:footnoteReference w:id="325"/>
      </w:r>
      <w:r w:rsidR="000721BA" w:rsidRPr="002040F0">
        <w:t xml:space="preserve"> </w:t>
      </w:r>
      <w:r w:rsidRPr="002040F0">
        <w:t xml:space="preserve">The EIPC submitted a proposal in </w:t>
      </w:r>
      <w:r w:rsidR="00E539EF">
        <w:t>fall 2009,</w:t>
      </w:r>
      <w:r w:rsidR="00391A5A">
        <w:t xml:space="preserve"> </w:t>
      </w:r>
      <w:r w:rsidRPr="002040F0">
        <w:t xml:space="preserve">and </w:t>
      </w:r>
      <w:r w:rsidR="00E539EF">
        <w:t xml:space="preserve">that </w:t>
      </w:r>
      <w:r w:rsidRPr="002040F0">
        <w:t>December</w:t>
      </w:r>
      <w:r w:rsidR="00E539EF">
        <w:t xml:space="preserve">, DOE </w:t>
      </w:r>
      <w:r w:rsidRPr="002040F0">
        <w:t xml:space="preserve">selected </w:t>
      </w:r>
      <w:r w:rsidR="00E539EF">
        <w:t xml:space="preserve">the EIPC </w:t>
      </w:r>
      <w:r w:rsidRPr="002040F0">
        <w:t xml:space="preserve">to perform the work under </w:t>
      </w:r>
      <w:r w:rsidR="00E539EF" w:rsidRPr="002040F0">
        <w:t>Topic</w:t>
      </w:r>
      <w:r w:rsidR="00E539EF">
        <w:t> </w:t>
      </w:r>
      <w:r w:rsidRPr="002040F0">
        <w:t>A. In response to the funding under Topic B, the states formed the Eastern Interconnection States Planning Council (EISPC) and submitted a proposal that DOE</w:t>
      </w:r>
      <w:r w:rsidR="0084253E">
        <w:t xml:space="preserve"> also selected</w:t>
      </w:r>
      <w:r w:rsidRPr="002040F0">
        <w:t>.</w:t>
      </w:r>
    </w:p>
    <w:p w:rsidR="007B66C3" w:rsidRPr="00967A97" w:rsidRDefault="007B66C3" w:rsidP="00073277">
      <w:r w:rsidRPr="00967A97">
        <w:t>The entire EIPC membership will support the Topic A analysis work</w:t>
      </w:r>
      <w:r w:rsidR="001D0B5C">
        <w:t>,</w:t>
      </w:r>
      <w:r w:rsidRPr="00967A97">
        <w:t xml:space="preserve"> with eight of the </w:t>
      </w:r>
      <w:r w:rsidR="00821C68" w:rsidRPr="00967A97">
        <w:t>2</w:t>
      </w:r>
      <w:r w:rsidR="003832F9" w:rsidRPr="00967A97">
        <w:t>6</w:t>
      </w:r>
      <w:r w:rsidRPr="00967A97">
        <w:t xml:space="preserve"> EIPC members taking on a role of principle investigator, which reflects a lead role in the contractual arrangements under the FOA. The EIPC has contracted with Charles River Associates to support the analysis work and with The Keystone Center to manage the stakeholder process.</w:t>
      </w:r>
    </w:p>
    <w:p w:rsidR="00A91095" w:rsidRDefault="007B66C3" w:rsidP="00073277">
      <w:r w:rsidRPr="00967A97">
        <w:t xml:space="preserve">The EIPC proposal was founded on the established planning expertise existing in the EIPC membership and will use the individual Regional System Plans as a basis for building an interconnection-wide model for the analysis work. The work in 2010 is </w:t>
      </w:r>
      <w:r w:rsidR="00CA4D1C" w:rsidRPr="00967A97">
        <w:t xml:space="preserve">focusing </w:t>
      </w:r>
      <w:r w:rsidRPr="00967A97">
        <w:t>on develop</w:t>
      </w:r>
      <w:r w:rsidR="00CA4D1C" w:rsidRPr="00967A97">
        <w:t>ing</w:t>
      </w:r>
      <w:r w:rsidRPr="00967A97">
        <w:t xml:space="preserve"> the model in preparation for scenario analysis work and on the formation of the Stakeholder Steering Committee, which is required under </w:t>
      </w:r>
      <w:r w:rsidR="00627FB4">
        <w:t xml:space="preserve">the FOA </w:t>
      </w:r>
      <w:r w:rsidRPr="00967A97">
        <w:t xml:space="preserve">to drive the inputs for the analysis work. </w:t>
      </w:r>
      <w:r w:rsidR="00821C68" w:rsidRPr="00967A97">
        <w:t xml:space="preserve">The EIPC proposal calls for the analysis to be discussed in a final report to be </w:t>
      </w:r>
      <w:r w:rsidR="00890D42" w:rsidRPr="00890D42">
        <w:t>issued by summer</w:t>
      </w:r>
      <w:r w:rsidR="00821C68" w:rsidRPr="00967A97">
        <w:t xml:space="preserve"> 2012.</w:t>
      </w:r>
      <w:r w:rsidR="003832F9" w:rsidRPr="00967A97">
        <w:t xml:space="preserve"> </w:t>
      </w:r>
      <w:r w:rsidR="00CA4D1C" w:rsidRPr="00967A97">
        <w:t xml:space="preserve">The Stakeholder Steering Committee </w:t>
      </w:r>
      <w:r w:rsidR="00821C68" w:rsidRPr="00967A97">
        <w:t>w</w:t>
      </w:r>
      <w:r w:rsidR="00967A97" w:rsidRPr="00967A97">
        <w:t xml:space="preserve">as </w:t>
      </w:r>
      <w:r w:rsidR="00821C68" w:rsidRPr="00967A97">
        <w:t>announced in July</w:t>
      </w:r>
      <w:r w:rsidR="00CA4D1C" w:rsidRPr="00967A97">
        <w:t xml:space="preserve"> and will meet to agree on assumptions for inputs to the analysis</w:t>
      </w:r>
      <w:r w:rsidR="00FA6F65" w:rsidRPr="00967A97">
        <w:t>, which is</w:t>
      </w:r>
      <w:r w:rsidR="00CA4D1C" w:rsidRPr="00967A97">
        <w:t xml:space="preserve"> scheduled to begin in late 2010.</w:t>
      </w:r>
      <w:r w:rsidR="00411426">
        <w:t xml:space="preserve"> </w:t>
      </w:r>
    </w:p>
    <w:p w:rsidR="00B462A6" w:rsidRDefault="007B66C3">
      <w:pPr>
        <w:pStyle w:val="Heading3"/>
      </w:pPr>
      <w:bookmarkStart w:id="823" w:name="_Toc239157162"/>
      <w:bookmarkStart w:id="824" w:name="_Toc271632325"/>
      <w:r>
        <w:t>Electric Reliability Organization Overview</w:t>
      </w:r>
      <w:bookmarkEnd w:id="817"/>
      <w:bookmarkEnd w:id="818"/>
      <w:bookmarkEnd w:id="823"/>
      <w:bookmarkEnd w:id="824"/>
    </w:p>
    <w:p w:rsidR="000119AB" w:rsidRDefault="007B66C3" w:rsidP="00073277">
      <w:r>
        <w:t xml:space="preserve">The </w:t>
      </w:r>
      <w:r w:rsidRPr="00A43092">
        <w:rPr>
          <w:i/>
        </w:rPr>
        <w:t>Federal Power Act</w:t>
      </w:r>
      <w:r>
        <w:t xml:space="preserve"> directed FERC to establish one Electric Reliability </w:t>
      </w:r>
      <w:r w:rsidRPr="00C1453F">
        <w:t>Organization (ERO)</w:t>
      </w:r>
      <w:r>
        <w:t xml:space="preserve"> with the statutory responsibilities to establish and enforce standards for the North </w:t>
      </w:r>
      <w:r w:rsidRPr="00967A97">
        <w:t>American power</w:t>
      </w:r>
      <w:r>
        <w:t xml:space="preserve"> system </w:t>
      </w:r>
      <w:r w:rsidRPr="005E16C8">
        <w:t>and periodically publish reliability reports.</w:t>
      </w:r>
      <w:r w:rsidRPr="00382BF6">
        <w:rPr>
          <w:rStyle w:val="FootnoteReference"/>
          <w:sz w:val="22"/>
        </w:rPr>
        <w:footnoteReference w:id="326"/>
      </w:r>
      <w:r w:rsidRPr="00382BF6">
        <w:t xml:space="preserve"> </w:t>
      </w:r>
      <w:r w:rsidRPr="005E16C8">
        <w:t xml:space="preserve">FERC designated the North American Electric Reliability Corporation </w:t>
      </w:r>
      <w:r w:rsidRPr="00C1453F">
        <w:t>as the ERO. As</w:t>
      </w:r>
      <w:r w:rsidRPr="005E16C8">
        <w:t xml:space="preserve"> the RTO for New England, the ISO is charged with making sure its operations comply with applicable NERC standards</w:t>
      </w:r>
      <w:r>
        <w:t xml:space="preserve">. </w:t>
      </w:r>
      <w:r w:rsidRPr="005E16C8">
        <w:t>In addition, the ISO has participated in regional and interregional studies required for compliance</w:t>
      </w:r>
      <w:r>
        <w:t xml:space="preserve">. </w:t>
      </w:r>
    </w:p>
    <w:p w:rsidR="007B66C3" w:rsidRDefault="007B66C3" w:rsidP="00073277">
      <w:r>
        <w:t xml:space="preserve">Through its committee structure, </w:t>
      </w:r>
      <w:r w:rsidRPr="0095664B">
        <w:t xml:space="preserve">NERC regularly </w:t>
      </w:r>
      <w:r w:rsidRPr="00967A97">
        <w:t xml:space="preserve">publishes </w:t>
      </w:r>
      <w:r w:rsidR="00821C68" w:rsidRPr="00967A97">
        <w:t>reports</w:t>
      </w:r>
      <w:r w:rsidRPr="00967A97">
        <w:t xml:space="preserve"> that</w:t>
      </w:r>
      <w:r w:rsidRPr="0095664B">
        <w:t xml:space="preserve"> assess the reliability of the North </w:t>
      </w:r>
      <w:r w:rsidRPr="00967A97">
        <w:t xml:space="preserve">American electric power system. Annual long-term reliability assessments evaluate the future adequacy of the </w:t>
      </w:r>
      <w:r>
        <w:t xml:space="preserve">power </w:t>
      </w:r>
      <w:r w:rsidRPr="0095664B">
        <w:t xml:space="preserve">system in the United States and Canada </w:t>
      </w:r>
      <w:r>
        <w:t xml:space="preserve">for </w:t>
      </w:r>
      <w:r w:rsidRPr="0095664B">
        <w:t xml:space="preserve">a </w:t>
      </w:r>
      <w:r>
        <w:t>10</w:t>
      </w:r>
      <w:r w:rsidRPr="0095664B">
        <w:t xml:space="preserve">-year period. The </w:t>
      </w:r>
      <w:r w:rsidR="00821C68" w:rsidRPr="00CB0C41">
        <w:t>reports</w:t>
      </w:r>
      <w:r w:rsidRPr="00CB0C41">
        <w:t xml:space="preserve"> project</w:t>
      </w:r>
      <w:r w:rsidRPr="0095664B">
        <w:t xml:space="preserve"> electricity supply and demand, evaluate </w:t>
      </w:r>
      <w:r>
        <w:t xml:space="preserve">resource and </w:t>
      </w:r>
      <w:r w:rsidRPr="0095664B">
        <w:t xml:space="preserve">transmission system adequacy, and discuss key issues and trends that could affect reliability. Summer and </w:t>
      </w:r>
      <w:r>
        <w:t>w</w:t>
      </w:r>
      <w:r w:rsidRPr="0095664B">
        <w:t xml:space="preserve">inter </w:t>
      </w:r>
      <w:r>
        <w:t>a</w:t>
      </w:r>
      <w:r w:rsidRPr="0095664B">
        <w:t xml:space="preserve">ssessments </w:t>
      </w:r>
      <w:r>
        <w:t>evaluate</w:t>
      </w:r>
      <w:r w:rsidRPr="0095664B">
        <w:t xml:space="preserve"> the adequacy of electricity supplies in the </w:t>
      </w:r>
      <w:smartTag w:uri="urn:schemas-microsoft-com:office:smarttags" w:element="country-region">
        <w:r w:rsidRPr="0095664B">
          <w:t>United States</w:t>
        </w:r>
      </w:smartTag>
      <w:r w:rsidRPr="0095664B">
        <w:t xml:space="preserve"> and </w:t>
      </w:r>
      <w:smartTag w:uri="urn:schemas-microsoft-com:office:smarttags" w:element="place">
        <w:smartTag w:uri="urn:schemas-microsoft-com:office:smarttags" w:element="country-region">
          <w:r w:rsidRPr="0095664B">
            <w:t>Canada</w:t>
          </w:r>
        </w:smartTag>
      </w:smartTag>
      <w:r w:rsidRPr="0095664B">
        <w:t xml:space="preserve"> for the upcoming summer and winter peak</w:t>
      </w:r>
      <w:r>
        <w:t>-</w:t>
      </w:r>
      <w:r w:rsidRPr="0095664B">
        <w:t xml:space="preserve">demand periods. Special regional, interregional, or interconnection-wide </w:t>
      </w:r>
      <w:r>
        <w:t>a</w:t>
      </w:r>
      <w:r w:rsidRPr="0095664B">
        <w:t>ssessments are conducted as</w:t>
      </w:r>
      <w:r>
        <w:t> </w:t>
      </w:r>
      <w:r w:rsidRPr="0095664B">
        <w:t>needed.</w:t>
      </w:r>
    </w:p>
    <w:p w:rsidR="001B3090" w:rsidRDefault="007B66C3">
      <w:pPr>
        <w:pStyle w:val="Heading2"/>
      </w:pPr>
      <w:bookmarkStart w:id="825" w:name="_Toc201670004"/>
      <w:bookmarkStart w:id="826" w:name="_Ref202442696"/>
      <w:bookmarkStart w:id="827" w:name="_Toc207531911"/>
      <w:bookmarkStart w:id="828" w:name="_Toc239157163"/>
      <w:bookmarkStart w:id="829" w:name="_Toc271632326"/>
      <w:r>
        <w:t>Interregional Coordinati</w:t>
      </w:r>
      <w:bookmarkEnd w:id="809"/>
      <w:r>
        <w:t>on</w:t>
      </w:r>
      <w:bookmarkEnd w:id="825"/>
      <w:bookmarkEnd w:id="826"/>
      <w:bookmarkEnd w:id="827"/>
      <w:bookmarkEnd w:id="828"/>
      <w:bookmarkEnd w:id="829"/>
    </w:p>
    <w:p w:rsidR="007B66C3" w:rsidRDefault="007B66C3" w:rsidP="00073277">
      <w:r>
        <w:t xml:space="preserve">The ISO is participating in the ISO/RTO </w:t>
      </w:r>
      <w:r w:rsidRPr="00657238">
        <w:t>Council</w:t>
      </w:r>
      <w:r w:rsidR="00205075" w:rsidRPr="00657238">
        <w:t>,</w:t>
      </w:r>
      <w:r w:rsidRPr="00657238">
        <w:t xml:space="preserve"> an</w:t>
      </w:r>
      <w:r>
        <w:t xml:space="preserve"> association of the North American Independent System Operators and Regional Transmission Organizations. The ISO also is actively participating in NPCC interregional planning activities, the Joint ISO/RTO Planning Committee (JIPC), and a number of other activities designed to reduce seams issues with other ISOs and RTOs</w:t>
      </w:r>
      <w:bookmarkStart w:id="830" w:name="_Toc176245069"/>
      <w:r>
        <w:t>.</w:t>
      </w:r>
    </w:p>
    <w:p w:rsidR="00B462A6" w:rsidRDefault="007B66C3">
      <w:pPr>
        <w:pStyle w:val="Heading3"/>
      </w:pPr>
      <w:bookmarkStart w:id="831" w:name="_Toc201670005"/>
      <w:bookmarkStart w:id="832" w:name="_Toc207531912"/>
      <w:bookmarkStart w:id="833" w:name="_Toc239157164"/>
      <w:bookmarkStart w:id="834" w:name="_Ref266623010"/>
      <w:bookmarkStart w:id="835" w:name="_Toc271632327"/>
      <w:r>
        <w:t>IRC Activiti</w:t>
      </w:r>
      <w:bookmarkEnd w:id="830"/>
      <w:r>
        <w:t>es</w:t>
      </w:r>
      <w:bookmarkEnd w:id="831"/>
      <w:bookmarkEnd w:id="832"/>
      <w:bookmarkEnd w:id="833"/>
      <w:bookmarkEnd w:id="834"/>
      <w:bookmarkEnd w:id="835"/>
    </w:p>
    <w:p w:rsidR="007B66C3" w:rsidRDefault="007B66C3" w:rsidP="00073277">
      <w:r>
        <w:t xml:space="preserve">Created in April 2003, the ISO/RTO Council is an industry group consisting of the 10 functioning ISOs and RTOs in North America. These ISOs and RTOs serve two-thirds of the electricity customers in the </w:t>
      </w:r>
      <w:smartTag w:uri="urn:schemas-microsoft-com:office:smarttags" w:element="country-region">
        <w:r>
          <w:t>United States</w:t>
        </w:r>
      </w:smartTag>
      <w:r>
        <w:t xml:space="preserve"> and more than 50% of </w:t>
      </w:r>
      <w:smartTag w:uri="urn:schemas-microsoft-com:office:smarttags" w:element="place">
        <w:smartTag w:uri="urn:schemas-microsoft-com:office:smarttags" w:element="country-region">
          <w:r>
            <w:t>Canada</w:t>
          </w:r>
        </w:smartTag>
      </w:smartTag>
      <w:r>
        <w:t xml:space="preserve">’s population. The IRC works collaboratively to develop effective processes, tools, and standard methods for improving competitive electricity markets across </w:t>
      </w:r>
      <w:smartTag w:uri="urn:schemas-microsoft-com:office:smarttags" w:element="place">
        <w:r>
          <w:t>North America</w:t>
        </w:r>
      </w:smartTag>
      <w:r>
        <w:t xml:space="preserve">. In fulfilling this mission, the IRC balances reliability considerations with market practices that </w:t>
      </w:r>
      <w:r w:rsidRPr="00870600">
        <w:t>encourage</w:t>
      </w:r>
      <w:r>
        <w:t xml:space="preserve"> the addition of needed resources. As a result, each ISO/RTO manages efficient, robust markets that provide competitive and reliable electricity service, consistent with its individual market and reliability criteria.</w:t>
      </w:r>
    </w:p>
    <w:p w:rsidR="007B66C3" w:rsidRDefault="007B66C3" w:rsidP="00073277">
      <w:r>
        <w:t>While the IRC members have different authorities, they have many planning responsibilities in common because of their similar missions to independently and fairly administer an open, transparent planning process consistent with established FERC policy. As part of the ISO/RTO authorization to operate, each ISO/RTO has led a</w:t>
      </w:r>
      <w:r w:rsidR="004E487D">
        <w:t>n open, transparent</w:t>
      </w:r>
      <w:r>
        <w:t xml:space="preserve"> planning effort among its participants. In addition, with the implementation of Order No. 890, ISOs/RTOs have upgraded their planning processes to meet FERC’s objectives.</w:t>
      </w:r>
      <w:r w:rsidRPr="00443106">
        <w:rPr>
          <w:rStyle w:val="FootnoteReference"/>
          <w:sz w:val="22"/>
        </w:rPr>
        <w:footnoteReference w:id="327"/>
      </w:r>
      <w:r w:rsidRPr="007123AC">
        <w:t xml:space="preserve"> </w:t>
      </w:r>
      <w:r w:rsidRPr="00C9355D">
        <w:t xml:space="preserve">Specifically, the transmission planning process must provide for coordination, openness, transparency, information exchange, </w:t>
      </w:r>
      <w:r w:rsidR="00821C68" w:rsidRPr="00821C68">
        <w:t xml:space="preserve">comparability, dispute resolution, regional coordination, economic planning studies, and cost allocation (see Section </w:t>
      </w:r>
      <w:fldSimple w:instr=" REF _Ref266623511 \r \h  \* MERGEFORMAT ">
        <w:r w:rsidR="00E5699E">
          <w:t>2.1</w:t>
        </w:r>
      </w:fldSimple>
      <w:r w:rsidR="00821C68" w:rsidRPr="00821C68">
        <w:t>). This</w:t>
      </w:r>
      <w:r>
        <w:t xml:space="preserve"> ensures a level playing field for infrastructure </w:t>
      </w:r>
      <w:r w:rsidRPr="00D93D8A">
        <w:t xml:space="preserve">development efficiently </w:t>
      </w:r>
      <w:r w:rsidR="00443106" w:rsidRPr="00D93D8A">
        <w:t xml:space="preserve">driven </w:t>
      </w:r>
      <w:r w:rsidRPr="00D93D8A">
        <w:t>by competition</w:t>
      </w:r>
      <w:r>
        <w:t xml:space="preserve"> and meeting all reliability requirements.</w:t>
      </w:r>
    </w:p>
    <w:p w:rsidR="007B66C3" w:rsidRPr="002040F0" w:rsidRDefault="007B66C3" w:rsidP="00073277">
      <w:r>
        <w:t xml:space="preserve">The IRC has coordinated filings with FERC on many issues, such as those concerning the administration </w:t>
      </w:r>
      <w:r w:rsidRPr="002040F0">
        <w:t xml:space="preserve">of the ISO’s Generator Interconnection Queue and other technical issues. For example, the IRC has identified issues and is acting to address the challenges of integrating demand resources and wind generation and, through its representatives, is leveraging the efforts of NERC’s Integrating Variable Generation Task </w:t>
      </w:r>
      <w:r w:rsidR="003174D8" w:rsidRPr="002040F0">
        <w:t xml:space="preserve">Force (see Sections </w:t>
      </w:r>
      <w:fldSimple w:instr=" REF _Ref266623871 \r \h  \* MERGEFORMAT ">
        <w:r w:rsidR="00E5699E">
          <w:t>9.1.2</w:t>
        </w:r>
      </w:fldSimple>
      <w:r w:rsidR="003174D8" w:rsidRPr="002040F0">
        <w:t xml:space="preserve"> and </w:t>
      </w:r>
      <w:r w:rsidR="00832C7A">
        <w:fldChar w:fldCharType="begin"/>
      </w:r>
      <w:r w:rsidR="001A72C2">
        <w:instrText xml:space="preserve"> REF _Ref271204085 \r \h </w:instrText>
      </w:r>
      <w:r w:rsidR="00832C7A">
        <w:fldChar w:fldCharType="separate"/>
      </w:r>
      <w:r w:rsidR="00E5699E">
        <w:t>9.3.1.1</w:t>
      </w:r>
      <w:r w:rsidR="00832C7A">
        <w:fldChar w:fldCharType="end"/>
      </w:r>
      <w:r w:rsidR="003174D8" w:rsidRPr="002040F0">
        <w:t>). The</w:t>
      </w:r>
      <w:r w:rsidRPr="002040F0">
        <w:t xml:space="preserve"> IRC has representation on other NERC task forces and committees.</w:t>
      </w:r>
    </w:p>
    <w:p w:rsidR="007B66C3" w:rsidRDefault="007B66C3" w:rsidP="00073277">
      <w:r w:rsidRPr="002040F0">
        <w:t xml:space="preserve">In response to a FERC request, the </w:t>
      </w:r>
      <w:r w:rsidR="00890D42" w:rsidRPr="00890D42">
        <w:t>IRC is preparing a report</w:t>
      </w:r>
      <w:r w:rsidRPr="002040F0">
        <w:t xml:space="preserve"> summarizing the performance metrics the ISOs and RTOs use for compliance with national and regional reliability standards, market administration and performance, </w:t>
      </w:r>
      <w:r w:rsidR="00513A4E" w:rsidRPr="002040F0">
        <w:t xml:space="preserve">and </w:t>
      </w:r>
      <w:r w:rsidRPr="002040F0">
        <w:t>organizational effectiveness</w:t>
      </w:r>
      <w:r w:rsidR="00A73FE0" w:rsidRPr="002040F0">
        <w:t>.</w:t>
      </w:r>
    </w:p>
    <w:p w:rsidR="00B462A6" w:rsidRDefault="007B66C3">
      <w:pPr>
        <w:pStyle w:val="Heading3"/>
      </w:pPr>
      <w:bookmarkStart w:id="836" w:name="_Toc176245070"/>
      <w:bookmarkStart w:id="837" w:name="_Toc201670006"/>
      <w:bookmarkStart w:id="838" w:name="_Toc207531913"/>
      <w:bookmarkStart w:id="839" w:name="_Toc239157165"/>
      <w:bookmarkStart w:id="840" w:name="_Toc271632328"/>
      <w:r w:rsidRPr="005930B5">
        <w:t>Northeast Power Coordinating Counc</w:t>
      </w:r>
      <w:bookmarkEnd w:id="836"/>
      <w:r w:rsidRPr="005930B5">
        <w:t>il</w:t>
      </w:r>
      <w:bookmarkEnd w:id="837"/>
      <w:bookmarkEnd w:id="838"/>
      <w:bookmarkEnd w:id="839"/>
      <w:bookmarkEnd w:id="840"/>
    </w:p>
    <w:p w:rsidR="007B66C3" w:rsidRPr="00950B77" w:rsidRDefault="007B66C3" w:rsidP="00073277">
      <w:r w:rsidRPr="00950B77">
        <w:t xml:space="preserve">The Northeast Power Coordinating Council </w:t>
      </w:r>
      <w:r w:rsidRPr="00EB44C7">
        <w:t>is one of eight</w:t>
      </w:r>
      <w:r w:rsidRPr="00950B77">
        <w:t xml:space="preserve"> r</w:t>
      </w:r>
      <w:r w:rsidRPr="00EB44C7">
        <w:t xml:space="preserve">egional </w:t>
      </w:r>
      <w:r w:rsidRPr="00950B77">
        <w:t>e</w:t>
      </w:r>
      <w:r w:rsidRPr="00EB44C7">
        <w:t>ntities located throughout the United States, Canada</w:t>
      </w:r>
      <w:r w:rsidRPr="00950B77">
        <w:t>,</w:t>
      </w:r>
      <w:r w:rsidRPr="00EB44C7">
        <w:t xml:space="preserve"> and portions of Mexico</w:t>
      </w:r>
      <w:r w:rsidRPr="00950B77">
        <w:t xml:space="preserve"> responsible for enhancing and promoting the reliable and efficient operation of the </w:t>
      </w:r>
      <w:r w:rsidR="00A73FE0" w:rsidRPr="00A73FE0">
        <w:t>interconnected power</w:t>
      </w:r>
      <w:r w:rsidRPr="00950B77">
        <w:t xml:space="preserve"> system</w:t>
      </w:r>
      <w:r>
        <w:t xml:space="preserve">. The </w:t>
      </w:r>
      <w:r w:rsidRPr="00EB44C7">
        <w:t xml:space="preserve">NPCC’s geographic area </w:t>
      </w:r>
      <w:r>
        <w:t xml:space="preserve">is northeastern North America and </w:t>
      </w:r>
      <w:r w:rsidRPr="00EB44C7">
        <w:t>includes New York, the six New England states, Ontario, Québec, and the</w:t>
      </w:r>
      <w:r w:rsidRPr="00950B77">
        <w:t xml:space="preserve"> </w:t>
      </w:r>
      <w:r w:rsidRPr="00EB44C7">
        <w:t xml:space="preserve">Maritime </w:t>
      </w:r>
      <w:r w:rsidRPr="00950B77">
        <w:t>p</w:t>
      </w:r>
      <w:r w:rsidRPr="00EB44C7">
        <w:t>rovinces in Canada</w:t>
      </w:r>
      <w:r>
        <w:t>.</w:t>
      </w:r>
      <w:r w:rsidRPr="009A0259">
        <w:rPr>
          <w:rStyle w:val="FootnoteReference"/>
          <w:sz w:val="22"/>
        </w:rPr>
        <w:footnoteReference w:id="328"/>
      </w:r>
      <w:r w:rsidRPr="009A0259">
        <w:t xml:space="preserve"> </w:t>
      </w:r>
      <w:r w:rsidRPr="00EB44C7">
        <w:t xml:space="preserve">Pursuant to </w:t>
      </w:r>
      <w:r>
        <w:t xml:space="preserve">separate </w:t>
      </w:r>
      <w:r w:rsidRPr="00EB44C7">
        <w:t>agreement</w:t>
      </w:r>
      <w:r>
        <w:t>s</w:t>
      </w:r>
      <w:r w:rsidRPr="00EB44C7">
        <w:t xml:space="preserve"> </w:t>
      </w:r>
      <w:r>
        <w:t xml:space="preserve">NPCC has </w:t>
      </w:r>
      <w:r w:rsidRPr="00EB44C7">
        <w:t xml:space="preserve">with </w:t>
      </w:r>
      <w:r>
        <w:t xml:space="preserve">its members and </w:t>
      </w:r>
      <w:r w:rsidRPr="00EB44C7">
        <w:t>NERC</w:t>
      </w:r>
      <w:r>
        <w:t xml:space="preserve"> </w:t>
      </w:r>
      <w:r w:rsidRPr="00EB44C7">
        <w:t>and by a Memorandum of Understanding with the applicable Canadian authorities</w:t>
      </w:r>
      <w:r>
        <w:t xml:space="preserve">, the </w:t>
      </w:r>
      <w:r w:rsidRPr="00950B77">
        <w:t>NPCC</w:t>
      </w:r>
      <w:r w:rsidRPr="00EB44C7">
        <w:t xml:space="preserve"> provides the </w:t>
      </w:r>
      <w:r w:rsidRPr="00950B77">
        <w:t xml:space="preserve">following </w:t>
      </w:r>
      <w:r>
        <w:t>activities</w:t>
      </w:r>
      <w:r w:rsidRPr="00EB44C7">
        <w:t xml:space="preserve"> and services </w:t>
      </w:r>
      <w:r>
        <w:t>to</w:t>
      </w:r>
      <w:r w:rsidRPr="00EB44C7">
        <w:t xml:space="preserve"> </w:t>
      </w:r>
      <w:r w:rsidRPr="00950B77">
        <w:t>its geographic area:</w:t>
      </w:r>
    </w:p>
    <w:p w:rsidR="007B66C3" w:rsidRDefault="007B66C3" w:rsidP="00073277">
      <w:pPr>
        <w:pStyle w:val="Bullet-Solid"/>
      </w:pPr>
      <w:r>
        <w:t>Statutory activities—develop regional reliability standards; assess compliance with and enforce these standards; coordinate system planning, design, and operation; and assess reliability</w:t>
      </w:r>
    </w:p>
    <w:p w:rsidR="007B66C3" w:rsidRDefault="007B66C3" w:rsidP="002068C0">
      <w:pPr>
        <w:pStyle w:val="Bullet-Solid"/>
        <w:spacing w:after="240"/>
      </w:pPr>
      <w:r>
        <w:t>Nonstatutory criteria services—establish regionally specific criteria and monitor and enforce compliance with these criteria</w:t>
      </w:r>
    </w:p>
    <w:p w:rsidR="007B66C3" w:rsidRDefault="007B66C3" w:rsidP="00073277">
      <w:r>
        <w:t>ISO New England plans and operates the New England system in compliance with NPCC criteria, standards, guidelines, and procedures</w:t>
      </w:r>
      <w:r w:rsidR="00662103">
        <w:t xml:space="preserve">. </w:t>
      </w:r>
      <w:r>
        <w:t>The ISO also participates in NPCC interregional studies and planning initiatives.</w:t>
      </w:r>
    </w:p>
    <w:p w:rsidR="00FC0261" w:rsidRDefault="007B66C3" w:rsidP="00235A65">
      <w:pPr>
        <w:pStyle w:val="Heading4"/>
      </w:pPr>
      <w:r w:rsidRPr="00EA4263">
        <w:t>NPCC Criteria and NERC Standards</w:t>
      </w:r>
    </w:p>
    <w:p w:rsidR="007B66C3" w:rsidRDefault="007B66C3" w:rsidP="00073277">
      <w:r w:rsidRPr="0080599F">
        <w:t xml:space="preserve">To meet all reliability objectives for the Northeast, the </w:t>
      </w:r>
      <w:r>
        <w:t xml:space="preserve">NPCC </w:t>
      </w:r>
      <w:r w:rsidRPr="0080599F">
        <w:t xml:space="preserve">criteria </w:t>
      </w:r>
      <w:r>
        <w:t xml:space="preserve">must be at least as </w:t>
      </w:r>
      <w:r w:rsidRPr="0080599F">
        <w:t xml:space="preserve">stringent </w:t>
      </w:r>
      <w:r>
        <w:t xml:space="preserve">as </w:t>
      </w:r>
      <w:r w:rsidRPr="00FE3AFD">
        <w:t xml:space="preserve">the NERC </w:t>
      </w:r>
      <w:r>
        <w:t>requirements</w:t>
      </w:r>
      <w:r w:rsidRPr="00FE3AFD">
        <w:t>.</w:t>
      </w:r>
      <w:r>
        <w:t xml:space="preserve"> The NPCC membership currently is bound through the execution of the NPCC </w:t>
      </w:r>
      <w:r w:rsidRPr="00DD7631">
        <w:t>Membership Agreement</w:t>
      </w:r>
      <w:r>
        <w:t xml:space="preserve"> to adhere to these criteria, and ISO New England also includes, by reference, NPCC criteria in its governing documents (e.g., Transmission Operating Agreement). In addition, NERC has delegated to NPCC </w:t>
      </w:r>
      <w:r w:rsidRPr="00F70650">
        <w:t xml:space="preserve">the authority </w:t>
      </w:r>
      <w:r w:rsidRPr="00B36252">
        <w:t>to</w:t>
      </w:r>
      <w:r w:rsidRPr="00F70650">
        <w:t xml:space="preserve"> create </w:t>
      </w:r>
      <w:r>
        <w:t>r</w:t>
      </w:r>
      <w:r w:rsidRPr="00F70650">
        <w:t xml:space="preserve">egional </w:t>
      </w:r>
      <w:r>
        <w:t>s</w:t>
      </w:r>
      <w:r w:rsidRPr="00F70650">
        <w:t xml:space="preserve">tandards to enhance the reliability of the international </w:t>
      </w:r>
      <w:r w:rsidRPr="00CB0C41">
        <w:t>interconnected power</w:t>
      </w:r>
      <w:r w:rsidRPr="00F70650">
        <w:t xml:space="preserve"> system in </w:t>
      </w:r>
      <w:r>
        <w:t>n</w:t>
      </w:r>
      <w:r w:rsidRPr="00F70650">
        <w:t>ortheastern North America.</w:t>
      </w:r>
    </w:p>
    <w:p w:rsidR="007B66C3" w:rsidRDefault="007B66C3" w:rsidP="00073277">
      <w:r>
        <w:t xml:space="preserve">The </w:t>
      </w:r>
      <w:r w:rsidRPr="00713C40">
        <w:t>NPCC</w:t>
      </w:r>
      <w:r>
        <w:t xml:space="preserve"> enforces the ISO’s compliance with NPCC criteria. Using NERC’s Uniform Compliance Monitoring and Enforcement Program, the NPCC also assesses and enforces the ISO’s compliance with NERC’s reliability standards. Additionally, the NPCC monitors and enforces registered entities’ (e.g., generator owners, transmission owners, </w:t>
      </w:r>
      <w:r w:rsidR="00C96E7D">
        <w:t xml:space="preserve">and </w:t>
      </w:r>
      <w:r>
        <w:t xml:space="preserve">load-serving entities) compliance with NERC standards within New England. This includes the need </w:t>
      </w:r>
      <w:r w:rsidRPr="00D93D8A">
        <w:t>for system protection</w:t>
      </w:r>
      <w:r>
        <w:t xml:space="preserve"> and other equipment upgrades required </w:t>
      </w:r>
      <w:r w:rsidRPr="00CB0C41">
        <w:t xml:space="preserve">of </w:t>
      </w:r>
      <w:r>
        <w:t>power system facilities.</w:t>
      </w:r>
    </w:p>
    <w:p w:rsidR="00FC0261" w:rsidRDefault="007B66C3" w:rsidP="00235A65">
      <w:pPr>
        <w:pStyle w:val="Heading4"/>
      </w:pPr>
      <w:r>
        <w:t>Coordinated Planning</w:t>
      </w:r>
    </w:p>
    <w:p w:rsidR="007B66C3" w:rsidRDefault="007B66C3" w:rsidP="00073277">
      <w:r>
        <w:t xml:space="preserve">The NPCC </w:t>
      </w:r>
      <w:r w:rsidRPr="0030676B">
        <w:t>initiates studies of</w:t>
      </w:r>
      <w:r>
        <w:t xml:space="preserve"> its geographic areas and coordinates member-</w:t>
      </w:r>
      <w:r w:rsidRPr="0030676B">
        <w:t>system plans to</w:t>
      </w:r>
      <w:r>
        <w:t xml:space="preserve"> facilitate interregional improvements to reliability. The </w:t>
      </w:r>
      <w:r w:rsidRPr="00EB44C7">
        <w:t xml:space="preserve">NPCC </w:t>
      </w:r>
      <w:r w:rsidRPr="0030676B">
        <w:t>also evaluates its</w:t>
      </w:r>
      <w:r w:rsidRPr="00EB44C7">
        <w:t xml:space="preserve"> areas</w:t>
      </w:r>
      <w:r>
        <w:t>’</w:t>
      </w:r>
      <w:r w:rsidRPr="00EB44C7">
        <w:t xml:space="preserve"> </w:t>
      </w:r>
      <w:r w:rsidRPr="0030676B">
        <w:t>assessments, resource reviews,</w:t>
      </w:r>
      <w:r>
        <w:t xml:space="preserve"> and interim and </w:t>
      </w:r>
      <w:r w:rsidRPr="0030676B">
        <w:t xml:space="preserve">comprehensive </w:t>
      </w:r>
      <w:r>
        <w:t xml:space="preserve">transmission system </w:t>
      </w:r>
      <w:r w:rsidRPr="0030676B">
        <w:t>reviews</w:t>
      </w:r>
      <w:r>
        <w:t xml:space="preserve">. The NPCC conducts short-term </w:t>
      </w:r>
      <w:r w:rsidRPr="0030676B">
        <w:t>assessments to</w:t>
      </w:r>
      <w:r>
        <w:t xml:space="preserve"> ensure that developments in one region do not have significant adverse effects on other regions. As a member of NPCC, ISO New England fully participates in NPCC-coordinated </w:t>
      </w:r>
      <w:r w:rsidRPr="0030676B">
        <w:t>interregional studies</w:t>
      </w:r>
      <w:r>
        <w:t xml:space="preserve"> with its neighboring areas.</w:t>
      </w:r>
    </w:p>
    <w:p w:rsidR="00B462A6" w:rsidRDefault="007B66C3">
      <w:pPr>
        <w:pStyle w:val="Heading3"/>
      </w:pPr>
      <w:bookmarkStart w:id="841" w:name="_Ref174421916"/>
      <w:bookmarkStart w:id="842" w:name="_Toc176245071"/>
      <w:bookmarkStart w:id="843" w:name="_Toc201670007"/>
      <w:bookmarkStart w:id="844" w:name="_Ref204999707"/>
      <w:bookmarkStart w:id="845" w:name="_Toc207531914"/>
      <w:bookmarkStart w:id="846" w:name="_Toc239157166"/>
      <w:bookmarkStart w:id="847" w:name="_Ref270346418"/>
      <w:bookmarkStart w:id="848" w:name="_Toc271632329"/>
      <w:r>
        <w:t>Northeastern ISO/RTO Planning Coordination Protoc</w:t>
      </w:r>
      <w:bookmarkEnd w:id="841"/>
      <w:bookmarkEnd w:id="842"/>
      <w:r>
        <w:t>ol</w:t>
      </w:r>
      <w:bookmarkEnd w:id="843"/>
      <w:bookmarkEnd w:id="844"/>
      <w:bookmarkEnd w:id="845"/>
      <w:bookmarkEnd w:id="846"/>
      <w:bookmarkEnd w:id="847"/>
      <w:bookmarkEnd w:id="848"/>
    </w:p>
    <w:p w:rsidR="007B66C3" w:rsidRDefault="007B66C3" w:rsidP="00073277">
      <w:r>
        <w:t>ISO New England, NYISO, and PJM follow a planning protocol to enhance the coordination of planning activities and address planning seams issues among the interregional balancing authority areas.</w:t>
      </w:r>
      <w:r w:rsidRPr="005E0926">
        <w:rPr>
          <w:rStyle w:val="FootnoteReference"/>
          <w:sz w:val="22"/>
        </w:rPr>
        <w:footnoteReference w:id="329"/>
      </w:r>
      <w:r>
        <w:t xml:space="preserve"> Hydro-Québec TransÉnergie, </w:t>
      </w:r>
      <w:r w:rsidR="005E0926">
        <w:t xml:space="preserve">the </w:t>
      </w:r>
      <w:r>
        <w:t xml:space="preserve">Independent Electric System </w:t>
      </w:r>
      <w:r w:rsidRPr="0007110C">
        <w:t>Operator (IESO)</w:t>
      </w:r>
      <w:r>
        <w:t xml:space="preserve"> of Ontario, </w:t>
      </w:r>
      <w:r w:rsidR="005E0926">
        <w:t xml:space="preserve">the </w:t>
      </w:r>
      <w:r>
        <w:t>New Brunswick System Operator (NBSO), and New Brunswick Power participate on a limited basis to share data and information. The key elements of the protocol are to establish procedures that accomplish the following tasks:</w:t>
      </w:r>
    </w:p>
    <w:p w:rsidR="007B66C3" w:rsidRDefault="007B66C3" w:rsidP="00073277">
      <w:pPr>
        <w:pStyle w:val="Bullet-Solid"/>
      </w:pPr>
      <w:r>
        <w:t>Exchange data and information to ensure the proper coordination of databases and planning models for both individual and joint planning activities conducted by all parties</w:t>
      </w:r>
    </w:p>
    <w:p w:rsidR="007B66C3" w:rsidRDefault="007B66C3" w:rsidP="00073277">
      <w:pPr>
        <w:pStyle w:val="Bullet-Solid"/>
      </w:pPr>
      <w:r>
        <w:t>Coordinate interconnection requests likely to have cross-border impacts</w:t>
      </w:r>
    </w:p>
    <w:p w:rsidR="007B66C3" w:rsidRDefault="007B66C3" w:rsidP="00073277">
      <w:pPr>
        <w:pStyle w:val="Bullet-Solid"/>
      </w:pPr>
      <w:r>
        <w:t>Analyze firm transmission service requests likely to have cross-border impacts</w:t>
      </w:r>
    </w:p>
    <w:p w:rsidR="007B66C3" w:rsidRDefault="007B66C3" w:rsidP="00073277">
      <w:pPr>
        <w:pStyle w:val="Bullet-Solid"/>
      </w:pPr>
      <w:r>
        <w:t>Develop the Northeast Coordinated System Plan</w:t>
      </w:r>
    </w:p>
    <w:p w:rsidR="007B66C3" w:rsidRDefault="007B66C3" w:rsidP="00073277">
      <w:pPr>
        <w:pStyle w:val="Bullet-Solid"/>
      </w:pPr>
      <w:r>
        <w:t>Allocate the costs associated with projects having cross-border impacts consistent with each party’s tariff and applicable federal or provincial regulatory policy</w:t>
      </w:r>
    </w:p>
    <w:p w:rsidR="007B66C3" w:rsidRDefault="007B66C3" w:rsidP="00073277">
      <w:r>
        <w:t xml:space="preserve">To implement the protocol, the group formed the Joint ISO/RTO Planning </w:t>
      </w:r>
      <w:r w:rsidRPr="00E84F0D">
        <w:t>Committee</w:t>
      </w:r>
      <w:r>
        <w:t xml:space="preserve"> and </w:t>
      </w:r>
      <w:r w:rsidR="00FF0DE8">
        <w:t xml:space="preserve">the </w:t>
      </w:r>
      <w:r w:rsidRPr="00966FC7">
        <w:t>Inter-Area</w:t>
      </w:r>
      <w:r>
        <w:t xml:space="preserve"> Planning Stakeholder Advisory Committee</w:t>
      </w:r>
      <w:r w:rsidR="00FF0DE8">
        <w:t xml:space="preserve"> open stakeholder group</w:t>
      </w:r>
      <w:r>
        <w:t>.</w:t>
      </w:r>
      <w:r w:rsidRPr="00382BF6">
        <w:rPr>
          <w:rStyle w:val="FootnoteReference"/>
          <w:sz w:val="22"/>
        </w:rPr>
        <w:footnoteReference w:id="330"/>
      </w:r>
      <w:r>
        <w:t xml:space="preserve"> Through the open stakeholder process, the JIPC has addressed several interregional, balancing authority area issues. The </w:t>
      </w:r>
      <w:r w:rsidRPr="00697178">
        <w:t>Northeast Coordinated System Plan</w:t>
      </w:r>
      <w:r>
        <w:t xml:space="preserve"> summarizes completed and ongoing work activities conducted by the JIPC:</w:t>
      </w:r>
      <w:r w:rsidRPr="00382BF6">
        <w:rPr>
          <w:rStyle w:val="FootnoteReference"/>
          <w:sz w:val="22"/>
        </w:rPr>
        <w:footnoteReference w:id="331"/>
      </w:r>
    </w:p>
    <w:p w:rsidR="007B66C3" w:rsidRDefault="007B66C3" w:rsidP="00E97376">
      <w:pPr>
        <w:pStyle w:val="Bullet-Solid"/>
      </w:pPr>
      <w:r>
        <w:t xml:space="preserve">The </w:t>
      </w:r>
      <w:r w:rsidR="003A3834">
        <w:t xml:space="preserve">study of </w:t>
      </w:r>
      <w:r>
        <w:t xml:space="preserve">transmission upgrades, </w:t>
      </w:r>
      <w:r w:rsidRPr="005F2676">
        <w:t xml:space="preserve">including </w:t>
      </w:r>
      <w:r w:rsidR="003A3834">
        <w:t xml:space="preserve">improvements </w:t>
      </w:r>
      <w:r>
        <w:t xml:space="preserve">in </w:t>
      </w:r>
      <w:r w:rsidRPr="005F2676">
        <w:t>the Plattsburgh</w:t>
      </w:r>
      <w:r>
        <w:t>, NY–</w:t>
      </w:r>
      <w:r w:rsidRPr="005F2676">
        <w:t xml:space="preserve">VT </w:t>
      </w:r>
      <w:r>
        <w:t>area</w:t>
      </w:r>
    </w:p>
    <w:p w:rsidR="007B66C3" w:rsidRDefault="007B66C3" w:rsidP="00E97376">
      <w:pPr>
        <w:pStyle w:val="Bullet-Solid"/>
      </w:pPr>
      <w:r>
        <w:t>The coordination of interconnection queue studies and transmission improvements to ensure reliable interregional planning</w:t>
      </w:r>
    </w:p>
    <w:p w:rsidR="007B66C3" w:rsidRDefault="007B66C3" w:rsidP="00E97376">
      <w:pPr>
        <w:pStyle w:val="Bullet-Solid"/>
      </w:pPr>
      <w:r>
        <w:t xml:space="preserve">Cross-border transmission security issues, including the consideration of </w:t>
      </w:r>
      <w:r w:rsidRPr="00400BB0">
        <w:t>loss-of-</w:t>
      </w:r>
      <w:r w:rsidR="003174D8" w:rsidRPr="003174D8">
        <w:t>source (LOS)</w:t>
      </w:r>
      <w:r>
        <w:t xml:space="preserve"> contingencies in New England</w:t>
      </w:r>
    </w:p>
    <w:p w:rsidR="007B66C3" w:rsidRDefault="007B66C3" w:rsidP="00E97376">
      <w:pPr>
        <w:pStyle w:val="Bullet-Solid"/>
      </w:pPr>
      <w:r>
        <w:t xml:space="preserve">Studies aimed at investigating generator-deliverability and load-deliverability issues </w:t>
      </w:r>
    </w:p>
    <w:p w:rsidR="007B66C3" w:rsidRDefault="007B66C3" w:rsidP="00E97376">
      <w:pPr>
        <w:pStyle w:val="Bullet-Solid"/>
      </w:pPr>
      <w:r>
        <w:t xml:space="preserve">Market efficiency analyses, reflecting coordinated models of the three ISO/RTOs and neighboring regions </w:t>
      </w:r>
    </w:p>
    <w:p w:rsidR="00C73E33" w:rsidRDefault="007B66C3">
      <w:pPr>
        <w:pStyle w:val="Bullet-Solid"/>
        <w:spacing w:after="240"/>
      </w:pPr>
      <w:r>
        <w:t>Reporting on</w:t>
      </w:r>
      <w:r w:rsidRPr="005F2676">
        <w:t xml:space="preserve"> the effects of environmental regulations, </w:t>
      </w:r>
      <w:r>
        <w:t xml:space="preserve">including the </w:t>
      </w:r>
      <w:r w:rsidRPr="005F2676">
        <w:t xml:space="preserve">integration of wind and other renewable resources, </w:t>
      </w:r>
      <w:r>
        <w:t>as well as the effect of</w:t>
      </w:r>
      <w:r w:rsidRPr="005F2676">
        <w:t xml:space="preserve"> demand</w:t>
      </w:r>
      <w:r>
        <w:t>-</w:t>
      </w:r>
      <w:r w:rsidRPr="005F2676">
        <w:t xml:space="preserve">side resources on interregional operations and planning </w:t>
      </w:r>
    </w:p>
    <w:p w:rsidR="007B66C3" w:rsidRDefault="007B66C3" w:rsidP="00073277">
      <w:r>
        <w:t>The JIPC recognizes the need for further work based on input from the IPSAC. Future plans call for conducting additional interregional economic analyses that may identify potential transmission bottlenecks and trigger the need for transmission planning analyses. In addition, cross-border transmission cost allocation discussions are planned for NYISO and PJM. The ISO and its stakeholders are participating in these discussions for informational purposes. The ISO has not received a request to change the OATT and would only do so through the normal regional stakeholder process before engaging with entities outside New England. The need for these discussions would likely be triggered by the need for specific interregional projects or a new order issued by FERC. The ISO/RTOs regularly report on the status of seams issues including the schedules for addressing the cross-border planning issues.</w:t>
      </w:r>
      <w:r w:rsidRPr="00E732AE">
        <w:rPr>
          <w:rStyle w:val="FootnoteCharacters"/>
        </w:rPr>
        <w:footnoteReference w:id="332"/>
      </w:r>
    </w:p>
    <w:p w:rsidR="001B3090" w:rsidRDefault="007B66C3">
      <w:pPr>
        <w:pStyle w:val="Heading2"/>
      </w:pPr>
      <w:bookmarkStart w:id="849" w:name="_Toc271632330"/>
      <w:bookmarkStart w:id="850" w:name="_Toc239157176"/>
      <w:bookmarkStart w:id="851" w:name="_Toc176245073"/>
      <w:r w:rsidRPr="003F5F8A">
        <w:t>Summary</w:t>
      </w:r>
      <w:r w:rsidRPr="00BA12A5">
        <w:t xml:space="preserve"> of Interregional Planning</w:t>
      </w:r>
      <w:bookmarkEnd w:id="849"/>
      <w:r w:rsidRPr="00BA12A5">
        <w:t xml:space="preserve"> </w:t>
      </w:r>
      <w:bookmarkEnd w:id="850"/>
    </w:p>
    <w:p w:rsidR="008632D3" w:rsidRDefault="007B66C3" w:rsidP="00073277">
      <w:pPr>
        <w:sectPr w:rsidR="008632D3" w:rsidSect="00015282">
          <w:pgSz w:w="12240" w:h="15840"/>
          <w:pgMar w:top="1350" w:right="1440" w:bottom="1440" w:left="1440" w:header="720" w:footer="720" w:gutter="0"/>
          <w:cols w:space="720"/>
          <w:docGrid w:linePitch="360"/>
        </w:sectPr>
      </w:pPr>
      <w:r>
        <w:t xml:space="preserve">ISO New England’s planning activities are closely coordinated </w:t>
      </w:r>
      <w:r w:rsidRPr="00046C89">
        <w:t xml:space="preserve">with neighboring systems and </w:t>
      </w:r>
      <w:r w:rsidR="00CB0C41">
        <w:t>across the Eastern Interconnection</w:t>
      </w:r>
      <w:r w:rsidRPr="00046C89">
        <w:t>. The ISO has achieved full complia</w:t>
      </w:r>
      <w:r>
        <w:t>nce with all required planning standards and has successfully implemented the northeastern ISO/RTO Planning Protocol, which has further improved interregional planning among neighboring areas. Sharing capacity resources with other systems, particularly to meet environmental emission requirements, will likely become increasingly necessary. Thus, identifying the potential impacts that proposed resources and transmission projects could have on both New England and neighboring systems is beneficial to support the reliable and economic performance of the overall system.</w:t>
      </w:r>
      <w:bookmarkEnd w:id="851"/>
    </w:p>
    <w:p w:rsidR="00F507AA" w:rsidRDefault="008632D3" w:rsidP="00DF39BB">
      <w:pPr>
        <w:pStyle w:val="Heading1"/>
      </w:pPr>
      <w:r>
        <w:br/>
      </w:r>
      <w:bookmarkStart w:id="852" w:name="_Ref262118436"/>
      <w:bookmarkStart w:id="853" w:name="_Toc271632331"/>
      <w:bookmarkStart w:id="854" w:name="_Ref266552486"/>
      <w:r w:rsidR="00E1106B">
        <w:t xml:space="preserve">State, </w:t>
      </w:r>
      <w:r>
        <w:t xml:space="preserve">Regional and </w:t>
      </w:r>
      <w:r w:rsidR="00E1106B">
        <w:t>Federal</w:t>
      </w:r>
      <w:r>
        <w:t xml:space="preserve"> Initiatives</w:t>
      </w:r>
      <w:bookmarkEnd w:id="852"/>
      <w:bookmarkEnd w:id="853"/>
      <w:r w:rsidR="009C52F8">
        <w:t xml:space="preserve"> </w:t>
      </w:r>
      <w:bookmarkEnd w:id="854"/>
    </w:p>
    <w:p w:rsidR="00183EEB" w:rsidRDefault="00832C7A" w:rsidP="00183EEB">
      <w:r>
        <w:rPr>
          <w:noProof/>
        </w:rPr>
        <w:pict>
          <v:shape id="_x0000_s1048" type="#_x0000_t202" style="position:absolute;margin-left:11213.3pt;margin-top:63pt;width:247.65pt;height:144.2pt;z-index:251756544;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48" inset="8.64pt,8.64pt,8.64pt,8.64pt">
              <w:txbxContent>
                <w:p w:rsidR="003C78A4" w:rsidRPr="006F4C06" w:rsidRDefault="003C78A4" w:rsidP="0055553A">
                  <w:pPr>
                    <w:pStyle w:val="BodyText1"/>
                  </w:pPr>
                  <w:r w:rsidRPr="00890D42">
                    <w:t xml:space="preserve">“In addition, the RSP shall also provide information on a broad variety of power system requirements that serves as input for reviewing the design of the markets and the overall economic performance of the system.” (Attachment K, Overview) </w:t>
                  </w:r>
                </w:p>
                <w:p w:rsidR="003C78A4" w:rsidRDefault="003C78A4" w:rsidP="0055553A">
                  <w:pPr>
                    <w:pStyle w:val="BodyText1"/>
                  </w:pPr>
                  <w:r w:rsidRPr="00890D42">
                    <w:t>“The ISO shall reflect proposed market responses in the regional system planning process</w:t>
                  </w:r>
                  <w:r>
                    <w:t xml:space="preserve"> . </w:t>
                  </w:r>
                  <w:r w:rsidRPr="00890D42">
                    <w:t>. . Specifically, the ISO shall incorporate or update information regarding resources in Needs Assessments that have been proposed and (i) have cleared in a Forward Capacity Auction pursuant to Market Rule 1 of the ISO Tariff, (ii) have been selected in, and are contractually bound by, a state-sponsored Request for Proposals . . .</w:t>
                  </w:r>
                  <w:r>
                    <w:t>”</w:t>
                  </w:r>
                  <w:r w:rsidRPr="00890D42">
                    <w:t xml:space="preserve"> (Attac</w:t>
                  </w:r>
                  <w:r>
                    <w:t>h</w:t>
                  </w:r>
                  <w:r w:rsidRPr="00890D42">
                    <w:t xml:space="preserve">ment K, </w:t>
                  </w:r>
                  <w:r>
                    <w:t xml:space="preserve"> </w:t>
                  </w:r>
                  <w:r>
                    <w:rPr>
                      <w:rFonts w:cs="Arial"/>
                    </w:rPr>
                    <w:t>§</w:t>
                  </w:r>
                  <w:r>
                    <w:t> </w:t>
                  </w:r>
                  <w:r w:rsidRPr="00890D42">
                    <w:t>4.2(a))</w:t>
                  </w:r>
                </w:p>
                <w:p w:rsidR="003C78A4" w:rsidRPr="00CF6EBD" w:rsidRDefault="003C78A4" w:rsidP="0055553A">
                  <w:pPr>
                    <w:rPr>
                      <w:szCs w:val="14"/>
                    </w:rPr>
                  </w:pPr>
                </w:p>
              </w:txbxContent>
            </v:textbox>
            <w10:wrap type="square" anchorx="margin" anchory="margin"/>
          </v:shape>
        </w:pict>
      </w:r>
      <w:r w:rsidR="00DC7DFE" w:rsidRPr="00F71D6B">
        <w:t xml:space="preserve">State, regional, and federal initiatives and policies have a significant impact on the electricity markets, specifically influencing the timing, type, and location of resources and transmission infrastructure developed to meet system needs. The New England states have continually worked together to identify, discuss and work on energy issues of common interest. Even with this history of cooperation, each state has a unique set of energy policy objectives and goals. This </w:t>
      </w:r>
      <w:r w:rsidR="00663230">
        <w:t>section</w:t>
      </w:r>
      <w:r w:rsidR="00DC7DFE" w:rsidRPr="00F71D6B">
        <w:t xml:space="preserve"> presents recently implemented laws, policies, and initiatives that affect regional </w:t>
      </w:r>
      <w:r w:rsidR="00DC7DFE" w:rsidRPr="00183EEB">
        <w:t>system planning.</w:t>
      </w:r>
    </w:p>
    <w:p w:rsidR="001B3090" w:rsidRDefault="008632D3">
      <w:pPr>
        <w:pStyle w:val="Heading2"/>
      </w:pPr>
      <w:bookmarkStart w:id="855" w:name="_Toc271632332"/>
      <w:r w:rsidRPr="00B433DF">
        <w:t>State Initiatives, Activities, and Policies</w:t>
      </w:r>
      <w:bookmarkEnd w:id="855"/>
      <w:r w:rsidR="00655EA5" w:rsidRPr="00B433DF">
        <w:t xml:space="preserve"> </w:t>
      </w:r>
    </w:p>
    <w:p w:rsidR="008632D3" w:rsidRPr="00EC35DD" w:rsidRDefault="008632D3" w:rsidP="00073277">
      <w:r w:rsidRPr="00B433DF">
        <w:t xml:space="preserve">Over the past few years, the New England states have implemented numerous energy policies and initiatives. Though each state is unique, the states have consistently focused on policies and initiatives that advance energy efficiency, increase </w:t>
      </w:r>
      <w:r w:rsidR="00916C5D">
        <w:t xml:space="preserve">the </w:t>
      </w:r>
      <w:r w:rsidRPr="00B433DF">
        <w:t>development of renewable resources, and reduce pollutants from certain generating facilities.</w:t>
      </w:r>
      <w:r>
        <w:t xml:space="preserve"> </w:t>
      </w:r>
    </w:p>
    <w:p w:rsidR="00B462A6" w:rsidRDefault="008632D3">
      <w:pPr>
        <w:pStyle w:val="Heading3"/>
      </w:pPr>
      <w:bookmarkStart w:id="856" w:name="_Ref266617406"/>
      <w:bookmarkStart w:id="857" w:name="_Toc271632333"/>
      <w:r w:rsidRPr="00D61F47">
        <w:t>Connecticut</w:t>
      </w:r>
      <w:bookmarkEnd w:id="856"/>
      <w:bookmarkEnd w:id="857"/>
    </w:p>
    <w:p w:rsidR="008632D3" w:rsidRPr="00EC35DD" w:rsidRDefault="008632D3" w:rsidP="00073277">
      <w:r w:rsidRPr="00EC35DD">
        <w:t>In</w:t>
      </w:r>
      <w:r w:rsidR="00A34BA0">
        <w:t xml:space="preserve"> August </w:t>
      </w:r>
      <w:r w:rsidRPr="00EC35DD">
        <w:t xml:space="preserve">2010, the Connecticut Department of Public Utility Control approved the second </w:t>
      </w:r>
      <w:r w:rsidR="000C2D2F">
        <w:t>I</w:t>
      </w:r>
      <w:r w:rsidRPr="00EC35DD">
        <w:t xml:space="preserve">ntegrated </w:t>
      </w:r>
      <w:r w:rsidR="000C2D2F">
        <w:t>R</w:t>
      </w:r>
      <w:r w:rsidRPr="00EC35DD">
        <w:t xml:space="preserve">esource </w:t>
      </w:r>
      <w:r w:rsidR="003174D8" w:rsidRPr="003174D8">
        <w:t>Plan developed</w:t>
      </w:r>
      <w:r w:rsidRPr="00EC35DD">
        <w:t xml:space="preserve"> by the state’s electric utilities and the Connecticut Energy Advisory Board pursuant to legislation passed in 2007.</w:t>
      </w:r>
      <w:r w:rsidRPr="00EC35DD">
        <w:rPr>
          <w:vertAlign w:val="superscript"/>
        </w:rPr>
        <w:footnoteReference w:id="333"/>
      </w:r>
      <w:r w:rsidRPr="00EC35DD">
        <w:rPr>
          <w:vertAlign w:val="superscript"/>
        </w:rPr>
        <w:t xml:space="preserve"> </w:t>
      </w:r>
      <w:r w:rsidRPr="00EC35DD">
        <w:t>The DPUC determined that Connecticut meets regional reliability requirements</w:t>
      </w:r>
      <w:r>
        <w:t xml:space="preserve"> and </w:t>
      </w:r>
      <w:r w:rsidRPr="00EC35DD">
        <w:t xml:space="preserve">will have sufficient resources during the </w:t>
      </w:r>
      <w:r w:rsidR="00B433DF">
        <w:t>plan</w:t>
      </w:r>
      <w:r w:rsidRPr="00EC35DD">
        <w:t>’s 10-year planning horizon</w:t>
      </w:r>
      <w:r>
        <w:t xml:space="preserve">; </w:t>
      </w:r>
      <w:r w:rsidRPr="00EC35DD">
        <w:t>thus</w:t>
      </w:r>
      <w:r>
        <w:t xml:space="preserve">, it </w:t>
      </w:r>
      <w:r w:rsidRPr="00EC35DD">
        <w:t xml:space="preserve">should not procure additional resources at this time. However, the </w:t>
      </w:r>
      <w:r w:rsidR="00B433DF">
        <w:t>integrated resource planning</w:t>
      </w:r>
      <w:r w:rsidRPr="00EC35DD">
        <w:t xml:space="preserve"> process is considering near-term options for additional investment in demand-side management and long-term options for developing nuclear power in the region as an overall strategy to promote non-carbon-emitting resources. The state’s utilities are required to submit plans biennially to the </w:t>
      </w:r>
      <w:r w:rsidR="00B433DF">
        <w:t>Connecticut Energy Advisory Board (</w:t>
      </w:r>
      <w:r w:rsidRPr="00EC35DD">
        <w:t>CEAB</w:t>
      </w:r>
      <w:r w:rsidR="00B433DF">
        <w:t>)</w:t>
      </w:r>
      <w:r w:rsidRPr="00EC35DD">
        <w:t xml:space="preserve">. </w:t>
      </w:r>
    </w:p>
    <w:p w:rsidR="008632D3" w:rsidRDefault="008632D3" w:rsidP="00073277">
      <w:r w:rsidRPr="00EC35DD">
        <w:t>In recent years, Connecticut has issued several RFPs</w:t>
      </w:r>
      <w:r>
        <w:t xml:space="preserve"> for </w:t>
      </w:r>
      <w:r w:rsidRPr="00EC35DD">
        <w:t>providing financial incentives for the development of capacity and peaking resources in the state, which requires these resources to participate in the New England wholesale electricity market. This participation has contributed</w:t>
      </w:r>
      <w:r w:rsidRPr="00B30EE8">
        <w:t xml:space="preserve"> </w:t>
      </w:r>
      <w:r>
        <w:t xml:space="preserve">to the large amount of generating resources clearing in the FCM in </w:t>
      </w:r>
      <w:r w:rsidR="00BC6F21" w:rsidRPr="00B433DF">
        <w:t>Connecticut (see Section </w:t>
      </w:r>
      <w:fldSimple w:instr=" REF _Ref266125289 \r \h  \* MERGEFORMAT ">
        <w:r w:rsidR="00E5699E">
          <w:t>4.2.2</w:t>
        </w:r>
      </w:fldSimple>
      <w:r w:rsidR="00BC6F21" w:rsidRPr="00B433DF">
        <w:t>).</w:t>
      </w:r>
    </w:p>
    <w:p w:rsidR="00B462A6" w:rsidRDefault="008632D3">
      <w:pPr>
        <w:pStyle w:val="Heading3"/>
      </w:pPr>
      <w:bookmarkStart w:id="858" w:name="_Toc271632334"/>
      <w:r w:rsidRPr="00D61F47">
        <w:t>Maine</w:t>
      </w:r>
      <w:bookmarkEnd w:id="858"/>
    </w:p>
    <w:p w:rsidR="008632D3" w:rsidRDefault="008632D3" w:rsidP="00073277">
      <w:r w:rsidRPr="00EC35DD">
        <w:t xml:space="preserve">Over the past few years, </w:t>
      </w:r>
      <w:r w:rsidR="00671D87">
        <w:t xml:space="preserve">Maine has </w:t>
      </w:r>
      <w:r w:rsidRPr="00EC35DD">
        <w:t>established aggressive wind generation goals for the state:</w:t>
      </w:r>
      <w:r w:rsidR="00B433DF" w:rsidRPr="00B433DF">
        <w:rPr>
          <w:rStyle w:val="FootnoteReference"/>
          <w:sz w:val="22"/>
        </w:rPr>
        <w:t xml:space="preserve"> </w:t>
      </w:r>
      <w:r w:rsidR="00B433DF" w:rsidRPr="00EC35DD">
        <w:rPr>
          <w:rStyle w:val="FootnoteReference"/>
          <w:sz w:val="22"/>
        </w:rPr>
        <w:footnoteReference w:id="334"/>
      </w:r>
    </w:p>
    <w:p w:rsidR="00671D87" w:rsidRDefault="00671D87" w:rsidP="00465800">
      <w:pPr>
        <w:pStyle w:val="ListParagraph"/>
        <w:numPr>
          <w:ilvl w:val="0"/>
          <w:numId w:val="43"/>
        </w:numPr>
        <w:spacing w:before="0" w:after="120" w:line="260" w:lineRule="atLeast"/>
        <w:ind w:left="720"/>
        <w:contextualSpacing w:val="0"/>
      </w:pPr>
      <w:r>
        <w:t xml:space="preserve">2,000 </w:t>
      </w:r>
      <w:r w:rsidR="00465800">
        <w:t xml:space="preserve">MW </w:t>
      </w:r>
      <w:r>
        <w:t>of installed capacity by 2015</w:t>
      </w:r>
    </w:p>
    <w:p w:rsidR="00465800" w:rsidRDefault="00671D87" w:rsidP="00465800">
      <w:pPr>
        <w:pStyle w:val="ListParagraph"/>
        <w:numPr>
          <w:ilvl w:val="0"/>
          <w:numId w:val="43"/>
        </w:numPr>
        <w:spacing w:before="0" w:after="120" w:line="260" w:lineRule="atLeast"/>
        <w:ind w:left="720"/>
        <w:contextualSpacing w:val="0"/>
      </w:pPr>
      <w:r>
        <w:t xml:space="preserve">3,000 </w:t>
      </w:r>
      <w:r w:rsidR="00465800">
        <w:t xml:space="preserve">MW </w:t>
      </w:r>
      <w:r>
        <w:t xml:space="preserve"> of installed capacity by 2020, including 300 </w:t>
      </w:r>
      <w:r w:rsidR="00465800">
        <w:t xml:space="preserve">MW </w:t>
      </w:r>
      <w:r>
        <w:t>or more from offshore generation</w:t>
      </w:r>
    </w:p>
    <w:p w:rsidR="00671D87" w:rsidRDefault="00671D87" w:rsidP="00465800">
      <w:pPr>
        <w:pStyle w:val="ListParagraph"/>
        <w:numPr>
          <w:ilvl w:val="0"/>
          <w:numId w:val="43"/>
        </w:numPr>
        <w:spacing w:before="0" w:after="120" w:line="260" w:lineRule="atLeast"/>
        <w:ind w:left="720"/>
        <w:contextualSpacing w:val="0"/>
      </w:pPr>
      <w:r>
        <w:t xml:space="preserve">8,000 </w:t>
      </w:r>
      <w:r w:rsidR="00465800">
        <w:t xml:space="preserve">MW </w:t>
      </w:r>
      <w:r>
        <w:t xml:space="preserve">of installed capacity by 2030, including 5,000 </w:t>
      </w:r>
      <w:r w:rsidR="00465800">
        <w:t xml:space="preserve">MW </w:t>
      </w:r>
      <w:r>
        <w:t>from generation facilities located offshore</w:t>
      </w:r>
    </w:p>
    <w:p w:rsidR="00671D87" w:rsidRDefault="00671D87">
      <w:pPr>
        <w:widowControl w:val="0"/>
        <w:autoSpaceDE w:val="0"/>
        <w:autoSpaceDN w:val="0"/>
        <w:adjustRightInd w:val="0"/>
        <w:spacing w:after="0" w:line="240" w:lineRule="auto"/>
      </w:pPr>
    </w:p>
    <w:p w:rsidR="00825060" w:rsidRDefault="008632D3">
      <w:pPr>
        <w:widowControl w:val="0"/>
        <w:autoSpaceDE w:val="0"/>
        <w:autoSpaceDN w:val="0"/>
        <w:adjustRightInd w:val="0"/>
        <w:spacing w:after="0" w:line="240" w:lineRule="auto"/>
        <w:rPr>
          <w:rFonts w:cs="Times New Roman"/>
          <w:color w:val="000000"/>
        </w:rPr>
      </w:pPr>
      <w:r w:rsidRPr="00EC35DD">
        <w:t>In 2006, the M</w:t>
      </w:r>
      <w:r w:rsidR="00836BB1">
        <w:t>PUC</w:t>
      </w:r>
      <w:r w:rsidRPr="00EC35DD">
        <w:t xml:space="preserve"> was given the authority to direct electric utilities to enter into long-term electric generation contracts to bring benefits to Maine ratepayers by providing</w:t>
      </w:r>
      <w:r>
        <w:t>,</w:t>
      </w:r>
      <w:r w:rsidRPr="00EC35DD">
        <w:t xml:space="preserve"> among other things</w:t>
      </w:r>
      <w:r>
        <w:t>,</w:t>
      </w:r>
      <w:r w:rsidRPr="00EC35DD">
        <w:t xml:space="preserve"> renewable capacity and energy fuel diversity. Last year, the Maine PUC approved a long-term contract</w:t>
      </w:r>
      <w:r>
        <w:t xml:space="preserve">. </w:t>
      </w:r>
      <w:r w:rsidRPr="00EC35DD">
        <w:t xml:space="preserve">The contract is for </w:t>
      </w:r>
      <w:r w:rsidR="00AC1661">
        <w:t xml:space="preserve">electric </w:t>
      </w:r>
      <w:r w:rsidRPr="00EC35DD">
        <w:t xml:space="preserve">energy and capacity from an in-state wind project for a </w:t>
      </w:r>
      <w:r>
        <w:t>20</w:t>
      </w:r>
      <w:r w:rsidRPr="00EC35DD">
        <w:t>-year term.</w:t>
      </w:r>
      <w:r w:rsidRPr="00EC35DD">
        <w:rPr>
          <w:rStyle w:val="FootnoteReference"/>
          <w:sz w:val="22"/>
        </w:rPr>
        <w:footnoteReference w:id="335"/>
      </w:r>
      <w:r w:rsidR="003A0E55">
        <w:t xml:space="preserve"> </w:t>
      </w:r>
      <w:r w:rsidR="003A0E55" w:rsidRPr="00AA284B">
        <w:t xml:space="preserve">Similarly, legislation was passed in 2010 </w:t>
      </w:r>
      <w:r w:rsidR="003A0E55">
        <w:t xml:space="preserve">that </w:t>
      </w:r>
      <w:r w:rsidR="003A0E55" w:rsidRPr="00AA284B">
        <w:t xml:space="preserve">provides the Maine PUC with the ability to </w:t>
      </w:r>
      <w:r w:rsidR="003A0E55" w:rsidRPr="00AA284B">
        <w:rPr>
          <w:rFonts w:cs="Times New Roman"/>
          <w:color w:val="000000"/>
        </w:rPr>
        <w:t>direct one or more electric utilities to enter into a contract of up to 20 years for the installed capacity</w:t>
      </w:r>
      <w:r w:rsidR="003A0E55">
        <w:rPr>
          <w:rFonts w:cs="Times New Roman"/>
          <w:color w:val="000000"/>
        </w:rPr>
        <w:t>,</w:t>
      </w:r>
      <w:r w:rsidR="003A0E55" w:rsidRPr="00AA284B">
        <w:rPr>
          <w:rFonts w:cs="Times New Roman"/>
          <w:color w:val="000000"/>
        </w:rPr>
        <w:t xml:space="preserve"> associated renewable energy</w:t>
      </w:r>
      <w:r w:rsidR="003A0E55">
        <w:rPr>
          <w:rFonts w:cs="Times New Roman"/>
          <w:color w:val="000000"/>
        </w:rPr>
        <w:t>,</w:t>
      </w:r>
      <w:r w:rsidR="003A0E55" w:rsidRPr="00AA284B">
        <w:rPr>
          <w:rFonts w:cs="Times New Roman"/>
          <w:color w:val="000000"/>
        </w:rPr>
        <w:t xml:space="preserve"> </w:t>
      </w:r>
      <w:r w:rsidR="003A0E55">
        <w:rPr>
          <w:rFonts w:cs="Times New Roman"/>
          <w:color w:val="000000"/>
        </w:rPr>
        <w:t xml:space="preserve">and </w:t>
      </w:r>
      <w:r w:rsidR="003A0E55" w:rsidRPr="00AA284B">
        <w:rPr>
          <w:rFonts w:cs="Times New Roman"/>
          <w:color w:val="000000"/>
        </w:rPr>
        <w:t xml:space="preserve">renewable energy credits of one or more deep-water offshore wind </w:t>
      </w:r>
      <w:r w:rsidR="003A0E55" w:rsidRPr="00995515">
        <w:rPr>
          <w:rFonts w:cs="Times New Roman"/>
          <w:color w:val="000000"/>
        </w:rPr>
        <w:t xml:space="preserve">energy pilot </w:t>
      </w:r>
      <w:r w:rsidR="00C25911">
        <w:rPr>
          <w:rFonts w:cs="Times New Roman"/>
          <w:color w:val="000000"/>
        </w:rPr>
        <w:t xml:space="preserve">projects </w:t>
      </w:r>
      <w:r w:rsidR="003A0E55" w:rsidRPr="00995515">
        <w:rPr>
          <w:rFonts w:cs="Times New Roman"/>
          <w:color w:val="000000"/>
        </w:rPr>
        <w:t>or tidal energy demonstration projects.</w:t>
      </w:r>
      <w:r w:rsidR="003A0E55" w:rsidRPr="00995515">
        <w:rPr>
          <w:rStyle w:val="FootnoteReference"/>
          <w:color w:val="000000"/>
          <w:sz w:val="22"/>
        </w:rPr>
        <w:footnoteReference w:id="336"/>
      </w:r>
    </w:p>
    <w:p w:rsidR="00825060" w:rsidRDefault="00825060">
      <w:pPr>
        <w:widowControl w:val="0"/>
        <w:autoSpaceDE w:val="0"/>
        <w:autoSpaceDN w:val="0"/>
        <w:adjustRightInd w:val="0"/>
        <w:spacing w:after="0" w:line="240" w:lineRule="auto"/>
        <w:rPr>
          <w:rFonts w:cs="Times New Roman"/>
          <w:color w:val="000000"/>
        </w:rPr>
      </w:pPr>
    </w:p>
    <w:p w:rsidR="00C25911" w:rsidRDefault="00C25911" w:rsidP="00C25911">
      <w:pPr>
        <w:widowControl w:val="0"/>
        <w:autoSpaceDE w:val="0"/>
        <w:autoSpaceDN w:val="0"/>
        <w:adjustRightInd w:val="0"/>
        <w:spacing w:after="0" w:line="240" w:lineRule="auto"/>
      </w:pPr>
      <w:r w:rsidRPr="00995515">
        <w:rPr>
          <w:rFonts w:cs="Times New Roman"/>
        </w:rPr>
        <w:t xml:space="preserve">Earlier this year, Efficiency Maine Trust released the </w:t>
      </w:r>
      <w:r w:rsidRPr="00995515">
        <w:rPr>
          <w:rFonts w:cs="Times New Roman"/>
          <w:i/>
        </w:rPr>
        <w:t>Triennial Plan of the Efficiency Maine Trust 2011</w:t>
      </w:r>
      <w:r w:rsidR="00530E4D">
        <w:rPr>
          <w:rFonts w:cs="Times New Roman"/>
          <w:i/>
        </w:rPr>
        <w:t>–</w:t>
      </w:r>
      <w:r w:rsidRPr="00995515">
        <w:rPr>
          <w:rFonts w:cs="Times New Roman"/>
          <w:i/>
        </w:rPr>
        <w:t>2013</w:t>
      </w:r>
      <w:r>
        <w:rPr>
          <w:rFonts w:cs="Times New Roman"/>
        </w:rPr>
        <w:t>.</w:t>
      </w:r>
      <w:r w:rsidRPr="00995515">
        <w:rPr>
          <w:rStyle w:val="FootnoteReference"/>
          <w:sz w:val="22"/>
        </w:rPr>
        <w:footnoteReference w:id="337"/>
      </w:r>
      <w:r>
        <w:rPr>
          <w:rFonts w:cs="Times New Roman"/>
        </w:rPr>
        <w:t xml:space="preserve"> This </w:t>
      </w:r>
      <w:r w:rsidRPr="00995515">
        <w:rPr>
          <w:rFonts w:cs="Times New Roman"/>
        </w:rPr>
        <w:t>three</w:t>
      </w:r>
      <w:r w:rsidR="009F6F2D">
        <w:rPr>
          <w:rFonts w:cs="Times New Roman"/>
        </w:rPr>
        <w:t>-</w:t>
      </w:r>
      <w:r w:rsidRPr="00995515">
        <w:rPr>
          <w:rFonts w:cs="Times New Roman"/>
        </w:rPr>
        <w:t xml:space="preserve">year plan </w:t>
      </w:r>
      <w:r w:rsidR="00EC29E4">
        <w:rPr>
          <w:rFonts w:cs="Times New Roman"/>
        </w:rPr>
        <w:t xml:space="preserve">is </w:t>
      </w:r>
      <w:r w:rsidRPr="00995515">
        <w:rPr>
          <w:rFonts w:cs="Times New Roman"/>
        </w:rPr>
        <w:t>designed to help Maine’s consumers save energy and money, meet environmental goals</w:t>
      </w:r>
      <w:r>
        <w:rPr>
          <w:rFonts w:cs="Times New Roman"/>
        </w:rPr>
        <w:t>,</w:t>
      </w:r>
      <w:r w:rsidRPr="00995515">
        <w:rPr>
          <w:rFonts w:cs="Times New Roman"/>
        </w:rPr>
        <w:t xml:space="preserve"> and stimulate the state’s economy.</w:t>
      </w:r>
      <w:r w:rsidRPr="00995515">
        <w:t xml:space="preserve"> To achieve these objectives, EMT plans to launch a public</w:t>
      </w:r>
      <w:r>
        <w:t>-</w:t>
      </w:r>
      <w:r w:rsidRPr="00995515">
        <w:t>awareness campaign for energy conservation; provide incenti</w:t>
      </w:r>
      <w:r>
        <w:t>ves for consumers to use energy-</w:t>
      </w:r>
      <w:r w:rsidRPr="00995515">
        <w:t>efficient devices; promote renewable energy heating options, such as biomass instead of heating oil; and continue to support customer-side wind and solar facilities.</w:t>
      </w:r>
      <w:r>
        <w:t xml:space="preserve"> </w:t>
      </w:r>
      <w:r w:rsidRPr="00995515">
        <w:t>The plan</w:t>
      </w:r>
      <w:r>
        <w:t xml:space="preserve">’s goal </w:t>
      </w:r>
      <w:r w:rsidRPr="00995515">
        <w:t xml:space="preserve">is to </w:t>
      </w:r>
      <w:r>
        <w:t>achieve the following</w:t>
      </w:r>
      <w:r w:rsidRPr="00995515">
        <w:t>:</w:t>
      </w:r>
    </w:p>
    <w:p w:rsidR="00C25911" w:rsidRPr="00995515" w:rsidRDefault="00C25911" w:rsidP="00C25911">
      <w:pPr>
        <w:pStyle w:val="Default"/>
        <w:rPr>
          <w:rFonts w:cstheme="minorBidi"/>
          <w:color w:val="auto"/>
          <w:sz w:val="22"/>
          <w:szCs w:val="22"/>
        </w:rPr>
      </w:pPr>
    </w:p>
    <w:p w:rsidR="00825060" w:rsidRDefault="00C25911" w:rsidP="00BB34F0">
      <w:pPr>
        <w:pStyle w:val="ListParagraph"/>
        <w:numPr>
          <w:ilvl w:val="0"/>
          <w:numId w:val="43"/>
        </w:numPr>
        <w:spacing w:before="0" w:after="120" w:line="260" w:lineRule="atLeast"/>
        <w:ind w:left="720"/>
        <w:contextualSpacing w:val="0"/>
      </w:pPr>
      <w:r w:rsidRPr="00995515">
        <w:t>3.3 trillion Btu of annual energy savings starting in 2013</w:t>
      </w:r>
    </w:p>
    <w:p w:rsidR="00825060" w:rsidRDefault="00C25911" w:rsidP="00BB34F0">
      <w:pPr>
        <w:pStyle w:val="ListParagraph"/>
        <w:numPr>
          <w:ilvl w:val="0"/>
          <w:numId w:val="43"/>
        </w:numPr>
        <w:spacing w:before="0" w:after="120" w:line="260" w:lineRule="atLeast"/>
        <w:ind w:left="720"/>
        <w:contextualSpacing w:val="0"/>
      </w:pPr>
      <w:r>
        <w:t>A</w:t>
      </w:r>
      <w:r w:rsidRPr="00995515">
        <w:t xml:space="preserve"> better than 4:1 benefit</w:t>
      </w:r>
      <w:r>
        <w:t>-</w:t>
      </w:r>
      <w:r w:rsidRPr="00995515">
        <w:t>to</w:t>
      </w:r>
      <w:r>
        <w:t>-</w:t>
      </w:r>
      <w:r w:rsidRPr="00995515">
        <w:t>cost ratio for dollars invested by the EMT</w:t>
      </w:r>
    </w:p>
    <w:p w:rsidR="00825060" w:rsidRDefault="00911622" w:rsidP="00BB34F0">
      <w:pPr>
        <w:pStyle w:val="ListParagraph"/>
        <w:numPr>
          <w:ilvl w:val="0"/>
          <w:numId w:val="43"/>
        </w:numPr>
        <w:spacing w:before="0" w:after="120" w:line="260" w:lineRule="atLeast"/>
        <w:ind w:left="720"/>
        <w:contextualSpacing w:val="0"/>
      </w:pPr>
      <w:r>
        <w:t>R</w:t>
      </w:r>
      <w:r w:rsidR="00C25911" w:rsidRPr="00995515">
        <w:t>eductions in nearly 300,000 tons of carbon dioxide by 2013</w:t>
      </w:r>
    </w:p>
    <w:p w:rsidR="00825060" w:rsidRDefault="00C25911" w:rsidP="00BB34F0">
      <w:pPr>
        <w:pStyle w:val="ListParagraph"/>
        <w:numPr>
          <w:ilvl w:val="0"/>
          <w:numId w:val="43"/>
        </w:numPr>
        <w:spacing w:before="0" w:after="360" w:line="260" w:lineRule="atLeast"/>
        <w:ind w:left="720"/>
        <w:contextualSpacing w:val="0"/>
      </w:pPr>
      <w:r w:rsidRPr="00995515">
        <w:t>$840 million in energy saving to consumers</w:t>
      </w:r>
    </w:p>
    <w:p w:rsidR="00B462A6" w:rsidRDefault="008632D3">
      <w:pPr>
        <w:pStyle w:val="Heading3"/>
      </w:pPr>
      <w:bookmarkStart w:id="859" w:name="_Toc271632335"/>
      <w:r w:rsidRPr="00D61F47">
        <w:t>Massachusetts</w:t>
      </w:r>
      <w:bookmarkEnd w:id="859"/>
    </w:p>
    <w:p w:rsidR="00825060" w:rsidRPr="000425D7" w:rsidRDefault="008632D3">
      <w:r w:rsidRPr="00EC35DD">
        <w:t xml:space="preserve">Pursuant to the </w:t>
      </w:r>
      <w:r w:rsidRPr="005D181F">
        <w:rPr>
          <w:i/>
        </w:rPr>
        <w:t>2008 Green Communities Act</w:t>
      </w:r>
      <w:r w:rsidRPr="00EC35DD">
        <w:t>, electric</w:t>
      </w:r>
      <w:r>
        <w:t>ity</w:t>
      </w:r>
      <w:r w:rsidRPr="00EC35DD">
        <w:t xml:space="preserve"> distribution companies </w:t>
      </w:r>
      <w:r w:rsidR="007C6504">
        <w:t xml:space="preserve">in the state </w:t>
      </w:r>
      <w:r w:rsidRPr="005D181F">
        <w:t>are</w:t>
      </w:r>
      <w:r w:rsidRPr="00EC35DD">
        <w:t xml:space="preserve"> required to develop three-year plans that promote energy efficiency.</w:t>
      </w:r>
      <w:r w:rsidRPr="0066627F">
        <w:rPr>
          <w:rStyle w:val="FootnoteReference"/>
          <w:sz w:val="22"/>
        </w:rPr>
        <w:footnoteReference w:id="338"/>
      </w:r>
      <w:r w:rsidRPr="00EC35DD">
        <w:t xml:space="preserve"> These plans were </w:t>
      </w:r>
      <w:r w:rsidRPr="005D181F">
        <w:t xml:space="preserve">filed with the Massachusetts </w:t>
      </w:r>
      <w:r w:rsidRPr="009F6F2D">
        <w:t>DPU in</w:t>
      </w:r>
      <w:r w:rsidRPr="005D181F">
        <w:t xml:space="preserve"> 2</w:t>
      </w:r>
      <w:r w:rsidRPr="00EC35DD">
        <w:t>009 and were approved in early 2010.</w:t>
      </w:r>
      <w:r w:rsidRPr="0066627F">
        <w:rPr>
          <w:rStyle w:val="FootnoteReference"/>
          <w:sz w:val="22"/>
        </w:rPr>
        <w:footnoteReference w:id="339"/>
      </w:r>
      <w:r w:rsidRPr="0066627F">
        <w:t xml:space="preserve"> </w:t>
      </w:r>
      <w:r w:rsidRPr="00EC35DD">
        <w:t>The plans call for the investment of $1.</w:t>
      </w:r>
      <w:r w:rsidR="009F6F2D" w:rsidRPr="00EC35DD">
        <w:t>2</w:t>
      </w:r>
      <w:r w:rsidR="009F6F2D">
        <w:t> </w:t>
      </w:r>
      <w:r w:rsidRPr="00EC35DD">
        <w:t>billion in efficiency measures over three years</w:t>
      </w:r>
      <w:r>
        <w:t xml:space="preserve">, </w:t>
      </w:r>
      <w:r w:rsidRPr="00EC35DD">
        <w:t>with funding coming from system benefit and energy</w:t>
      </w:r>
      <w:r>
        <w:t>-</w:t>
      </w:r>
      <w:r w:rsidRPr="00EC35DD">
        <w:t>efficiency charges on ratepayer bills, RGGI allowances, FCM revenues</w:t>
      </w:r>
      <w:r>
        <w:t>,</w:t>
      </w:r>
      <w:r w:rsidRPr="00EC35DD">
        <w:t xml:space="preserve"> and other funding sources.</w:t>
      </w:r>
      <w:r w:rsidR="003777EC">
        <w:t xml:space="preserve"> </w:t>
      </w:r>
      <w:r w:rsidR="00DC7DFE">
        <w:t>Collectively</w:t>
      </w:r>
      <w:r w:rsidR="001260F8">
        <w:t>, t</w:t>
      </w:r>
      <w:r w:rsidRPr="005D181F">
        <w:t>he utilities</w:t>
      </w:r>
      <w:r w:rsidR="001260F8">
        <w:t>’</w:t>
      </w:r>
      <w:r w:rsidRPr="005D181F">
        <w:t xml:space="preserve"> </w:t>
      </w:r>
      <w:r w:rsidRPr="00EC35DD">
        <w:t>annual energy</w:t>
      </w:r>
      <w:r>
        <w:t>-</w:t>
      </w:r>
      <w:r w:rsidRPr="00EC35DD">
        <w:t>efficiency goals</w:t>
      </w:r>
      <w:r w:rsidR="001260F8">
        <w:t xml:space="preserve"> amount to </w:t>
      </w:r>
      <w:r w:rsidRPr="00EC35DD">
        <w:t xml:space="preserve">a total statewide savings goal of </w:t>
      </w:r>
      <w:r w:rsidRPr="00EC35DD">
        <w:rPr>
          <w:bCs/>
        </w:rPr>
        <w:t>2,649,000 MWh for 2010</w:t>
      </w:r>
      <w:r>
        <w:rPr>
          <w:bCs/>
        </w:rPr>
        <w:t xml:space="preserve"> to </w:t>
      </w:r>
      <w:r w:rsidRPr="00EC35DD">
        <w:rPr>
          <w:bCs/>
        </w:rPr>
        <w:t xml:space="preserve">2012. </w:t>
      </w:r>
      <w:r w:rsidRPr="00EC35DD">
        <w:t>The three-year program</w:t>
      </w:r>
      <w:r>
        <w:t>s</w:t>
      </w:r>
      <w:r w:rsidRPr="00EC35DD">
        <w:t xml:space="preserve"> </w:t>
      </w:r>
      <w:r>
        <w:t>are intended to</w:t>
      </w:r>
      <w:r w:rsidRPr="00EC35DD">
        <w:t xml:space="preserve"> reduce peak electricity </w:t>
      </w:r>
      <w:r w:rsidR="00CE16C8" w:rsidRPr="00CE16C8">
        <w:t>demand by more than 400 MW and reduce greenhouse gas emissions by nearly 15 million tons.</w:t>
      </w:r>
    </w:p>
    <w:p w:rsidR="003777EC" w:rsidRDefault="00CE16C8" w:rsidP="001260F8">
      <w:pPr>
        <w:rPr>
          <w:color w:val="000000"/>
        </w:rPr>
      </w:pPr>
      <w:r w:rsidRPr="00CE16C8">
        <w:rPr>
          <w:color w:val="000000"/>
        </w:rPr>
        <w:t xml:space="preserve">In June 2009, the Massachusetts DPU adopted amended net-metering rules, and in August 2009, it issued its model net-metering tariff and </w:t>
      </w:r>
      <w:r w:rsidR="00C70B1E">
        <w:rPr>
          <w:color w:val="000000"/>
        </w:rPr>
        <w:t xml:space="preserve">the </w:t>
      </w:r>
      <w:r w:rsidRPr="00CE16C8">
        <w:rPr>
          <w:color w:val="000000"/>
        </w:rPr>
        <w:t>net-metering tariffs for the state's investor-owned utilities, which became effective in December 2009.</w:t>
      </w:r>
      <w:r w:rsidRPr="00A91DDE">
        <w:rPr>
          <w:rStyle w:val="FootnoteReference"/>
          <w:color w:val="000000"/>
          <w:sz w:val="22"/>
        </w:rPr>
        <w:footnoteReference w:id="340"/>
      </w:r>
      <w:r w:rsidRPr="00CE16C8">
        <w:rPr>
          <w:color w:val="000000"/>
        </w:rPr>
        <w:t xml:space="preserve"> The state's investor-owned utilities must offer net metering, but municipal utilities are not obligated to do so. The aggregate capacity for all four utilities for net metering is limited to 1% of each utility’s peak load, or 110 MW total.  As of August 2010, the state had 32.3 MW of net metering, which reduces the state’s energy consumption.</w:t>
      </w:r>
    </w:p>
    <w:p w:rsidR="001260F8" w:rsidRDefault="001260F8" w:rsidP="001260F8">
      <w:pPr>
        <w:rPr>
          <w:rFonts w:eastAsia="Times New Roman"/>
          <w:color w:val="000000"/>
        </w:rPr>
      </w:pPr>
      <w:r>
        <w:rPr>
          <w:rFonts w:eastAsia="Times New Roman"/>
          <w:color w:val="000000"/>
        </w:rPr>
        <w:t>In June 2010, the DPU issued an order adopting emergency regulations reversing a rule that state utilities sign long-term renewable energy contracts only with in-state generators.</w:t>
      </w:r>
      <w:r w:rsidR="00821C68" w:rsidRPr="00BD01A7">
        <w:rPr>
          <w:rStyle w:val="FootnoteReference"/>
          <w:rFonts w:eastAsia="Times New Roman"/>
          <w:color w:val="000000"/>
          <w:sz w:val="22"/>
        </w:rPr>
        <w:footnoteReference w:id="341"/>
      </w:r>
      <w:r>
        <w:rPr>
          <w:rFonts w:eastAsia="Times New Roman"/>
          <w:color w:val="000000"/>
        </w:rPr>
        <w:t xml:space="preserve"> As part of the </w:t>
      </w:r>
      <w:r w:rsidRPr="00CF7447">
        <w:rPr>
          <w:rFonts w:eastAsia="Times New Roman"/>
          <w:i/>
          <w:color w:val="000000"/>
        </w:rPr>
        <w:t>Green Communities Act</w:t>
      </w:r>
      <w:r>
        <w:rPr>
          <w:rFonts w:eastAsia="Times New Roman"/>
          <w:color w:val="000000"/>
        </w:rPr>
        <w:t xml:space="preserve">, utilities were required to seek long-term contracts twice in five years from projects within the state to finance the development of renewable energy generation. However, </w:t>
      </w:r>
      <w:r w:rsidR="00916C5D">
        <w:rPr>
          <w:rFonts w:eastAsia="Times New Roman"/>
          <w:color w:val="000000"/>
        </w:rPr>
        <w:t xml:space="preserve">because of </w:t>
      </w:r>
      <w:r>
        <w:rPr>
          <w:rFonts w:eastAsia="Times New Roman"/>
          <w:color w:val="000000"/>
        </w:rPr>
        <w:t xml:space="preserve">a legal challenge claiming the in-state rule violated the Commerce Clause of the U.S. Constitution by discriminating against out-of-state developers, the DPU opened the RFP to bids </w:t>
      </w:r>
      <w:r w:rsidR="009A2573">
        <w:rPr>
          <w:rFonts w:eastAsia="Times New Roman"/>
          <w:color w:val="000000"/>
        </w:rPr>
        <w:t xml:space="preserve">coming from </w:t>
      </w:r>
      <w:r>
        <w:rPr>
          <w:rFonts w:eastAsia="Times New Roman"/>
          <w:color w:val="000000"/>
        </w:rPr>
        <w:t>outside the state’s borders.</w:t>
      </w:r>
    </w:p>
    <w:p w:rsidR="001260F8" w:rsidRDefault="001260F8" w:rsidP="001260F8">
      <w:pPr>
        <w:rPr>
          <w:color w:val="000000"/>
        </w:rPr>
      </w:pPr>
      <w:r>
        <w:rPr>
          <w:color w:val="000000"/>
        </w:rPr>
        <w:t>Since 2002, biomass technology for generating electricity has qualified for incentives under the Massachusetts Renewable Portfolio Standard. However</w:t>
      </w:r>
      <w:r w:rsidR="00916C5D">
        <w:rPr>
          <w:color w:val="000000"/>
        </w:rPr>
        <w:t>,</w:t>
      </w:r>
      <w:r>
        <w:rPr>
          <w:color w:val="000000"/>
        </w:rPr>
        <w:t xml:space="preserve"> in December 2009, the Department of Energy Resources suspended </w:t>
      </w:r>
      <w:r w:rsidR="000A5312">
        <w:rPr>
          <w:color w:val="000000"/>
        </w:rPr>
        <w:t xml:space="preserve">new biomass facilities from </w:t>
      </w:r>
      <w:r>
        <w:rPr>
          <w:color w:val="000000"/>
        </w:rPr>
        <w:t>qualif</w:t>
      </w:r>
      <w:r w:rsidR="000A5312">
        <w:rPr>
          <w:color w:val="000000"/>
        </w:rPr>
        <w:t xml:space="preserve">ying for the </w:t>
      </w:r>
      <w:r>
        <w:rPr>
          <w:color w:val="000000"/>
        </w:rPr>
        <w:t>RPS, pending results of a study of</w:t>
      </w:r>
      <w:r w:rsidR="009A2573">
        <w:rPr>
          <w:color w:val="000000"/>
        </w:rPr>
        <w:t xml:space="preserve"> </w:t>
      </w:r>
      <w:r>
        <w:rPr>
          <w:color w:val="000000"/>
        </w:rPr>
        <w:t xml:space="preserve">greenhouse gas impacts. Under the </w:t>
      </w:r>
      <w:r w:rsidRPr="00CF7447">
        <w:rPr>
          <w:i/>
          <w:color w:val="000000"/>
        </w:rPr>
        <w:t>Global Warming Solutions Act</w:t>
      </w:r>
      <w:r>
        <w:rPr>
          <w:color w:val="000000"/>
        </w:rPr>
        <w:t>, Massachusetts is required to reduce greenhouse gas emissions across the economy 80</w:t>
      </w:r>
      <w:r w:rsidR="000A5312">
        <w:rPr>
          <w:color w:val="000000"/>
        </w:rPr>
        <w:t>%</w:t>
      </w:r>
      <w:r>
        <w:rPr>
          <w:color w:val="000000"/>
        </w:rPr>
        <w:t xml:space="preserve"> by 2050.</w:t>
      </w:r>
      <w:r w:rsidRPr="00BD01A7">
        <w:rPr>
          <w:rStyle w:val="FootnoteReference"/>
          <w:color w:val="000000"/>
          <w:sz w:val="22"/>
        </w:rPr>
        <w:footnoteReference w:id="342"/>
      </w:r>
      <w:r>
        <w:rPr>
          <w:color w:val="000000"/>
        </w:rPr>
        <w:t xml:space="preserve"> </w:t>
      </w:r>
      <w:r w:rsidRPr="00AA284B">
        <w:rPr>
          <w:rFonts w:eastAsia="Times New Roman"/>
          <w:color w:val="000000"/>
        </w:rPr>
        <w:t xml:space="preserve">In June 2010, </w:t>
      </w:r>
      <w:r w:rsidR="000A5312">
        <w:rPr>
          <w:rFonts w:eastAsia="Times New Roman"/>
          <w:color w:val="000000"/>
        </w:rPr>
        <w:t xml:space="preserve">the </w:t>
      </w:r>
      <w:r>
        <w:rPr>
          <w:rFonts w:eastAsia="Times New Roman"/>
          <w:color w:val="000000"/>
        </w:rPr>
        <w:t xml:space="preserve">DOER </w:t>
      </w:r>
      <w:r w:rsidRPr="00AA284B">
        <w:rPr>
          <w:rFonts w:eastAsia="Times New Roman"/>
          <w:color w:val="000000"/>
        </w:rPr>
        <w:t xml:space="preserve">released </w:t>
      </w:r>
      <w:r>
        <w:rPr>
          <w:rFonts w:eastAsia="Times New Roman"/>
          <w:color w:val="000000"/>
        </w:rPr>
        <w:t xml:space="preserve">the </w:t>
      </w:r>
      <w:r w:rsidRPr="00C24505">
        <w:rPr>
          <w:i/>
          <w:color w:val="000000"/>
        </w:rPr>
        <w:t>Biomass Sustainability and Carbon Policy Stud</w:t>
      </w:r>
      <w:r>
        <w:rPr>
          <w:i/>
          <w:color w:val="000000"/>
        </w:rPr>
        <w:t xml:space="preserve">y, </w:t>
      </w:r>
      <w:r>
        <w:rPr>
          <w:color w:val="000000"/>
        </w:rPr>
        <w:t xml:space="preserve">which found that the use of biomass for heating and </w:t>
      </w:r>
      <w:r w:rsidR="009A2573">
        <w:rPr>
          <w:color w:val="000000"/>
        </w:rPr>
        <w:t xml:space="preserve">CHP </w:t>
      </w:r>
      <w:r>
        <w:rPr>
          <w:color w:val="000000"/>
        </w:rPr>
        <w:t>facilities would result in a 25</w:t>
      </w:r>
      <w:r w:rsidR="000A5312">
        <w:rPr>
          <w:color w:val="000000"/>
        </w:rPr>
        <w:t>%</w:t>
      </w:r>
      <w:r>
        <w:rPr>
          <w:color w:val="000000"/>
        </w:rPr>
        <w:t xml:space="preserve"> reduction in greenhouse gas emissions in 2050 relative to oil, but biomass-fired electricity would result in 3</w:t>
      </w:r>
      <w:r w:rsidR="000A5312">
        <w:rPr>
          <w:color w:val="000000"/>
        </w:rPr>
        <w:t>%</w:t>
      </w:r>
      <w:r>
        <w:rPr>
          <w:color w:val="000000"/>
        </w:rPr>
        <w:t xml:space="preserve"> </w:t>
      </w:r>
      <w:r w:rsidRPr="007B53CB">
        <w:rPr>
          <w:color w:val="000000"/>
        </w:rPr>
        <w:t>increase</w:t>
      </w:r>
      <w:r>
        <w:rPr>
          <w:color w:val="000000"/>
        </w:rPr>
        <w:t xml:space="preserve"> in emissions over coal-fired electricity in 2050.</w:t>
      </w:r>
      <w:r w:rsidRPr="00BD01A7">
        <w:rPr>
          <w:rStyle w:val="FootnoteReference"/>
          <w:color w:val="000000"/>
          <w:sz w:val="22"/>
        </w:rPr>
        <w:footnoteReference w:id="343"/>
      </w:r>
      <w:r>
        <w:rPr>
          <w:color w:val="000000"/>
        </w:rPr>
        <w:t xml:space="preserve"> As a result of these findings, DOER will hold public meetings and conduct a policymaking process to discuss potential changes to the state RPS and other policy options concerning biomass and greenhouse gas impacts.</w:t>
      </w:r>
    </w:p>
    <w:p w:rsidR="00975F3F" w:rsidRDefault="00975F3F" w:rsidP="001260F8">
      <w:pPr>
        <w:rPr>
          <w:color w:val="000000"/>
        </w:rPr>
      </w:pPr>
      <w:r>
        <w:rPr>
          <w:color w:val="000000"/>
        </w:rPr>
        <w:t xml:space="preserve">Massachusetts also has a goal to </w:t>
      </w:r>
      <w:r w:rsidRPr="007550BD">
        <w:t>develop 2,000 MW of wind power by 2020</w:t>
      </w:r>
      <w:r w:rsidR="00465800">
        <w:t>.</w:t>
      </w:r>
      <w:r w:rsidRPr="00A91DDE">
        <w:rPr>
          <w:rStyle w:val="FootnoteReference"/>
          <w:sz w:val="22"/>
        </w:rPr>
        <w:footnoteReference w:id="344"/>
      </w:r>
    </w:p>
    <w:p w:rsidR="00B462A6" w:rsidRDefault="008632D3">
      <w:pPr>
        <w:pStyle w:val="Heading3"/>
      </w:pPr>
      <w:bookmarkStart w:id="860" w:name="_Toc271632336"/>
      <w:r w:rsidRPr="00D61F47">
        <w:t>New Hampshire</w:t>
      </w:r>
      <w:bookmarkEnd w:id="860"/>
    </w:p>
    <w:p w:rsidR="00456B9C" w:rsidRDefault="008632D3" w:rsidP="00456B9C">
      <w:r w:rsidRPr="00EC35DD">
        <w:t>In 2008</w:t>
      </w:r>
      <w:r>
        <w:t>,</w:t>
      </w:r>
      <w:r w:rsidRPr="00EC35DD">
        <w:t xml:space="preserve"> Governor Lynch signed legislation forming the North Country Transmission Commission, which urged transmission upgrades to facilitate the development of renewable projects in northern New Hampshire</w:t>
      </w:r>
      <w:r>
        <w:t>.</w:t>
      </w:r>
      <w:r w:rsidRPr="00EC35DD">
        <w:rPr>
          <w:rStyle w:val="FootnoteReference"/>
          <w:sz w:val="22"/>
        </w:rPr>
        <w:footnoteReference w:id="345"/>
      </w:r>
      <w:r w:rsidRPr="00EC35DD">
        <w:t xml:space="preserve"> Last year, the </w:t>
      </w:r>
      <w:r>
        <w:t>g</w:t>
      </w:r>
      <w:r w:rsidRPr="00EC35DD">
        <w:t xml:space="preserve">overnor signed into law legislation that allows the North Country Transmission Commission to develop a proposal </w:t>
      </w:r>
      <w:r w:rsidR="00456B9C">
        <w:t xml:space="preserve">to </w:t>
      </w:r>
      <w:r w:rsidRPr="00EC35DD">
        <w:t>upgrade the transmission system in northernmost New Hampshire</w:t>
      </w:r>
      <w:r>
        <w:t xml:space="preserve">. </w:t>
      </w:r>
      <w:r w:rsidR="00456B9C">
        <w:t>In April 2010</w:t>
      </w:r>
      <w:r w:rsidR="00665F80">
        <w:t>,</w:t>
      </w:r>
      <w:r w:rsidR="00456B9C">
        <w:t xml:space="preserve"> a</w:t>
      </w:r>
      <w:r w:rsidR="00456B9C" w:rsidRPr="00EC35DD">
        <w:t xml:space="preserve"> consultant</w:t>
      </w:r>
      <w:r w:rsidR="00456B9C">
        <w:t xml:space="preserve"> was selected to help </w:t>
      </w:r>
      <w:r w:rsidR="00456B9C" w:rsidRPr="00EC35DD">
        <w:t>develop</w:t>
      </w:r>
      <w:r w:rsidR="00456B9C">
        <w:t xml:space="preserve"> recommendations that will form the basis for</w:t>
      </w:r>
      <w:r w:rsidR="00456B9C" w:rsidRPr="00EC35DD">
        <w:t xml:space="preserve"> </w:t>
      </w:r>
      <w:r w:rsidR="00456B9C">
        <w:t>an action plan to pay for upgrading the transmission system. The plan anticipates the integration of an additional 400 MW of new renewable energy generation on the Coos Loop.</w:t>
      </w:r>
      <w:r w:rsidR="00456B9C" w:rsidRPr="00BD01A7">
        <w:rPr>
          <w:rStyle w:val="FootnoteReference"/>
          <w:sz w:val="22"/>
        </w:rPr>
        <w:footnoteReference w:id="346"/>
      </w:r>
      <w:r w:rsidR="00456B9C" w:rsidRPr="00BD01A7">
        <w:t xml:space="preserve"> </w:t>
      </w:r>
      <w:r w:rsidR="00456B9C">
        <w:t>T</w:t>
      </w:r>
      <w:r w:rsidR="00456B9C" w:rsidRPr="00EC35DD">
        <w:t xml:space="preserve">his </w:t>
      </w:r>
      <w:r w:rsidR="00456B9C">
        <w:t>plan is to be completed by the end of</w:t>
      </w:r>
      <w:r w:rsidR="00456B9C" w:rsidRPr="00EC35DD">
        <w:t xml:space="preserve"> 2010.</w:t>
      </w:r>
      <w:r w:rsidR="00456B9C" w:rsidRPr="00B27B9F">
        <w:t xml:space="preserve"> </w:t>
      </w:r>
    </w:p>
    <w:p w:rsidR="00B462A6" w:rsidRDefault="008632D3">
      <w:pPr>
        <w:pStyle w:val="Heading3"/>
      </w:pPr>
      <w:bookmarkStart w:id="861" w:name="_Toc271632337"/>
      <w:r w:rsidRPr="00D61F47">
        <w:t>Rhode Island</w:t>
      </w:r>
      <w:bookmarkEnd w:id="861"/>
    </w:p>
    <w:p w:rsidR="000A76E4" w:rsidRDefault="008632D3" w:rsidP="00073277">
      <w:r w:rsidRPr="00EC35DD">
        <w:t xml:space="preserve">In recent years, Rhode Island has set aggressive renewable energy goals, such as deriving 15% of the state’s energy from wind. To </w:t>
      </w:r>
      <w:r w:rsidR="000A76E4">
        <w:t xml:space="preserve">achieve </w:t>
      </w:r>
      <w:r w:rsidRPr="00EC35DD">
        <w:t xml:space="preserve">this goal, the state signed a joint development agreement with </w:t>
      </w:r>
      <w:r w:rsidR="000A76E4">
        <w:t xml:space="preserve">Deepwater Wind </w:t>
      </w:r>
      <w:r w:rsidRPr="00EC35DD">
        <w:t>to construct and operate two offshore wind farms</w:t>
      </w:r>
      <w:r w:rsidR="000A76E4">
        <w:t xml:space="preserve">. </w:t>
      </w:r>
      <w:r w:rsidRPr="00EC35DD">
        <w:t xml:space="preserve">In late 2009, National Grid signed a 20-year Power Purchase Agreement (PPA) with </w:t>
      </w:r>
      <w:r w:rsidR="000A76E4">
        <w:t xml:space="preserve">Deep Water </w:t>
      </w:r>
      <w:r w:rsidRPr="00EC35DD">
        <w:t xml:space="preserve">that calls for the utility to purchase the energy generated from the smaller </w:t>
      </w:r>
      <w:r w:rsidR="000A76E4">
        <w:t xml:space="preserve">of the two proposed offshore </w:t>
      </w:r>
      <w:r w:rsidRPr="00EC35DD">
        <w:t>wind farm</w:t>
      </w:r>
      <w:r w:rsidR="000A76E4">
        <w:t>s</w:t>
      </w:r>
      <w:r w:rsidRPr="00EC35DD">
        <w:t xml:space="preserve"> at a cost of 24.</w:t>
      </w:r>
      <w:r w:rsidR="00BC6F21" w:rsidRPr="00BC6F21">
        <w:t>4</w:t>
      </w:r>
      <w:r w:rsidR="00BC6F21" w:rsidRPr="00BC6F21">
        <w:rPr>
          <w:rFonts w:cs="Times New Roman"/>
        </w:rPr>
        <w:t>¢</w:t>
      </w:r>
      <w:r w:rsidR="00BC6F21" w:rsidRPr="00BC6F21">
        <w:t>/kWh</w:t>
      </w:r>
      <w:r w:rsidRPr="00EC35DD">
        <w:t xml:space="preserve"> in the first full year of operation (expected in 2013), and escalating 3.5% per year thereafter. </w:t>
      </w:r>
    </w:p>
    <w:p w:rsidR="000A76E4" w:rsidRDefault="000A76E4" w:rsidP="00073277">
      <w:r>
        <w:t>O</w:t>
      </w:r>
      <w:r w:rsidR="008632D3" w:rsidRPr="00EC35DD">
        <w:t>n March 30, 2010</w:t>
      </w:r>
      <w:r w:rsidR="008632D3">
        <w:t>,</w:t>
      </w:r>
      <w:r w:rsidR="008632D3" w:rsidRPr="00EC35DD">
        <w:t xml:space="preserve"> the </w:t>
      </w:r>
      <w:r>
        <w:t xml:space="preserve">Rhode Island </w:t>
      </w:r>
      <w:r w:rsidR="008632D3" w:rsidRPr="00EC35DD">
        <w:t>Public Utilities Commission rejected the PPA for what it determined was too high a price for the energy output from the proposed wind facility. The PUC also determined that the proposed project</w:t>
      </w:r>
      <w:r w:rsidR="008632D3">
        <w:t>—</w:t>
      </w:r>
      <w:r w:rsidR="008632D3" w:rsidRPr="00EC35DD">
        <w:t>according to long-term contracting standards set in statute</w:t>
      </w:r>
      <w:r w:rsidR="008632D3">
        <w:t>—</w:t>
      </w:r>
      <w:r w:rsidR="008632D3" w:rsidRPr="00EC35DD">
        <w:t>was n</w:t>
      </w:r>
      <w:r w:rsidR="008632D3">
        <w:t>ot “commercially reasonable.”</w:t>
      </w:r>
    </w:p>
    <w:p w:rsidR="000A76E4" w:rsidRDefault="000A76E4" w:rsidP="000A76E4">
      <w:r>
        <w:t>Pursuant to enacted legislation requiring National Grid and Deepwater Wind to amend the original PPA to result in lower prices, a revised agreement was filed with the PUC on June 30, 2010.</w:t>
      </w:r>
      <w:r w:rsidRPr="00BD01A7">
        <w:rPr>
          <w:rStyle w:val="FootnoteReference"/>
          <w:sz w:val="22"/>
        </w:rPr>
        <w:footnoteReference w:id="347"/>
      </w:r>
      <w:r>
        <w:t xml:space="preserve"> Although the new PPA includes the same starting price of 24.4</w:t>
      </w:r>
      <w:r w:rsidR="00C6221B">
        <w:rPr>
          <w:rFonts w:cs="Times New Roman"/>
        </w:rPr>
        <w:t>¢</w:t>
      </w:r>
      <w:r>
        <w:t>/kWh, it includes provisions that allow the price to be reduced if project costs are lower than originally estimated. In deciding whether or not to approve the amended PPA, the PUC must determine whether it is “commercially reasonable” and also consider the positive effects of the project on economic development and the potential environmental benefits.</w:t>
      </w:r>
    </w:p>
    <w:p w:rsidR="00B462A6" w:rsidRDefault="008632D3">
      <w:pPr>
        <w:pStyle w:val="Heading3"/>
      </w:pPr>
      <w:bookmarkStart w:id="862" w:name="_Toc271632338"/>
      <w:r w:rsidRPr="00D61F47">
        <w:t>Vermont</w:t>
      </w:r>
      <w:bookmarkEnd w:id="862"/>
    </w:p>
    <w:p w:rsidR="00B175BD" w:rsidRDefault="00B175BD" w:rsidP="00093847">
      <w:pPr>
        <w:rPr>
          <w:rFonts w:cs="Times New Roman"/>
        </w:rPr>
      </w:pPr>
      <w:r w:rsidRPr="00CF7447">
        <w:rPr>
          <w:rFonts w:cs="Times New Roman"/>
        </w:rPr>
        <w:t xml:space="preserve">The </w:t>
      </w:r>
      <w:r>
        <w:rPr>
          <w:rFonts w:cs="Times New Roman"/>
        </w:rPr>
        <w:t xml:space="preserve">U.S. </w:t>
      </w:r>
      <w:r w:rsidRPr="00CF7447">
        <w:rPr>
          <w:rFonts w:cs="Times New Roman"/>
        </w:rPr>
        <w:t>N</w:t>
      </w:r>
      <w:r>
        <w:rPr>
          <w:rFonts w:cs="Times New Roman"/>
        </w:rPr>
        <w:t xml:space="preserve">uclear </w:t>
      </w:r>
      <w:r w:rsidRPr="00CF7447">
        <w:rPr>
          <w:rFonts w:cs="Times New Roman"/>
        </w:rPr>
        <w:t>R</w:t>
      </w:r>
      <w:r>
        <w:rPr>
          <w:rFonts w:cs="Times New Roman"/>
        </w:rPr>
        <w:t xml:space="preserve">egulatory </w:t>
      </w:r>
      <w:r w:rsidRPr="00CF7447">
        <w:rPr>
          <w:rFonts w:cs="Times New Roman"/>
        </w:rPr>
        <w:t>C</w:t>
      </w:r>
      <w:r>
        <w:rPr>
          <w:rFonts w:cs="Times New Roman"/>
        </w:rPr>
        <w:t>ommission</w:t>
      </w:r>
      <w:r w:rsidRPr="00CF7447">
        <w:rPr>
          <w:rFonts w:cs="Times New Roman"/>
        </w:rPr>
        <w:t xml:space="preserve"> </w:t>
      </w:r>
      <w:r>
        <w:rPr>
          <w:rFonts w:cs="Times New Roman"/>
        </w:rPr>
        <w:t xml:space="preserve">(NRC) </w:t>
      </w:r>
      <w:r w:rsidRPr="00CF7447">
        <w:rPr>
          <w:rFonts w:cs="Times New Roman"/>
        </w:rPr>
        <w:t>has direct jurisdiction over radiological safety at Vermont Yankee</w:t>
      </w:r>
      <w:r>
        <w:rPr>
          <w:rFonts w:cs="Times New Roman"/>
        </w:rPr>
        <w:t xml:space="preserve"> (VY)</w:t>
      </w:r>
      <w:r w:rsidR="00237263">
        <w:rPr>
          <w:rFonts w:cs="Times New Roman"/>
        </w:rPr>
        <w:t xml:space="preserve"> nuclear power plant</w:t>
      </w:r>
      <w:r>
        <w:rPr>
          <w:rFonts w:cs="Times New Roman"/>
        </w:rPr>
        <w:t>, whose existing permit is set to expire in 2012</w:t>
      </w:r>
      <w:r w:rsidRPr="00CF7447">
        <w:rPr>
          <w:rFonts w:cs="Times New Roman"/>
        </w:rPr>
        <w:t xml:space="preserve">. </w:t>
      </w:r>
      <w:r w:rsidRPr="0003766A">
        <w:rPr>
          <w:rFonts w:cs="Times New Roman"/>
        </w:rPr>
        <w:t>The NRC staff gave preliminary approval to Vermont Yankee’s request to extend its license for 20 years, but it is uncertain when the NRC will make its final determination. On March 23, 2009</w:t>
      </w:r>
      <w:r>
        <w:rPr>
          <w:rFonts w:cs="Times New Roman"/>
        </w:rPr>
        <w:t>,</w:t>
      </w:r>
      <w:r w:rsidRPr="0003766A">
        <w:rPr>
          <w:rFonts w:cs="Times New Roman"/>
        </w:rPr>
        <w:t xml:space="preserve"> the NRC announced that it will delay indefinitely its final decision on the relicensing of VY.</w:t>
      </w:r>
      <w:r>
        <w:rPr>
          <w:rFonts w:cs="Times New Roman"/>
        </w:rPr>
        <w:t xml:space="preserve"> </w:t>
      </w:r>
      <w:r>
        <w:t xml:space="preserve">Vermont law currently states that no nuclear plant will be relicensed until the Vermont </w:t>
      </w:r>
      <w:r w:rsidRPr="00EC35DD">
        <w:t xml:space="preserve">general assembly approves and determines that the operation </w:t>
      </w:r>
      <w:r>
        <w:t xml:space="preserve">of the plant </w:t>
      </w:r>
      <w:r w:rsidRPr="00EC35DD">
        <w:t>will promote the general welfare.</w:t>
      </w:r>
      <w:r w:rsidRPr="000D2C5B">
        <w:rPr>
          <w:rStyle w:val="FootnoteReference"/>
          <w:sz w:val="22"/>
        </w:rPr>
        <w:footnoteReference w:id="348"/>
      </w:r>
      <w:r w:rsidRPr="000D2C5B">
        <w:t xml:space="preserve"> </w:t>
      </w:r>
      <w:r w:rsidRPr="00EC35DD">
        <w:t xml:space="preserve">In 2009, the Vermont </w:t>
      </w:r>
      <w:r>
        <w:t xml:space="preserve">Senate rejected legislation </w:t>
      </w:r>
      <w:r w:rsidRPr="00EC35DD">
        <w:t xml:space="preserve">that </w:t>
      </w:r>
      <w:r>
        <w:t xml:space="preserve">would have </w:t>
      </w:r>
      <w:r w:rsidRPr="00EC35DD">
        <w:t xml:space="preserve">determined that the continued operation of </w:t>
      </w:r>
      <w:r>
        <w:t xml:space="preserve">VY </w:t>
      </w:r>
      <w:r w:rsidRPr="00EC35DD">
        <w:t>promotes the state’s general welfare</w:t>
      </w:r>
      <w:r>
        <w:t xml:space="preserve">. </w:t>
      </w:r>
      <w:r w:rsidRPr="00EC35DD">
        <w:t xml:space="preserve">As of the </w:t>
      </w:r>
      <w:r>
        <w:t xml:space="preserve">completion of the </w:t>
      </w:r>
      <w:r w:rsidRPr="00EC35DD">
        <w:t xml:space="preserve">2010 </w:t>
      </w:r>
      <w:r>
        <w:t xml:space="preserve">Vermont </w:t>
      </w:r>
      <w:r w:rsidRPr="00EC35DD">
        <w:t xml:space="preserve">legislative session, </w:t>
      </w:r>
      <w:r w:rsidRPr="004B5CD6">
        <w:t xml:space="preserve">the </w:t>
      </w:r>
      <w:r w:rsidR="00821C68" w:rsidRPr="004B5CD6">
        <w:t>full</w:t>
      </w:r>
      <w:r w:rsidR="00237263" w:rsidRPr="004B5CD6">
        <w:t xml:space="preserve"> </w:t>
      </w:r>
      <w:r w:rsidRPr="004B5CD6">
        <w:t>legislature</w:t>
      </w:r>
      <w:r w:rsidRPr="00EC35DD">
        <w:t xml:space="preserve"> </w:t>
      </w:r>
      <w:r w:rsidR="00237263">
        <w:t xml:space="preserve">also </w:t>
      </w:r>
      <w:r>
        <w:t>had</w:t>
      </w:r>
      <w:r w:rsidRPr="00EC35DD">
        <w:t xml:space="preserve"> not determined that the operation of Vermont Yankee promotes the general welfare</w:t>
      </w:r>
      <w:r>
        <w:t>.</w:t>
      </w:r>
    </w:p>
    <w:p w:rsidR="008632D3" w:rsidRPr="00EB33DC" w:rsidRDefault="008632D3" w:rsidP="00073277">
      <w:r w:rsidRPr="00EC35DD">
        <w:t>In 2009</w:t>
      </w:r>
      <w:r>
        <w:t>,</w:t>
      </w:r>
      <w:r w:rsidRPr="00EC35DD">
        <w:t xml:space="preserve"> VELCO was awarded almost $69 million </w:t>
      </w:r>
      <w:r w:rsidRPr="00221A16">
        <w:t>from the DOE for</w:t>
      </w:r>
      <w:r w:rsidRPr="00EC35DD">
        <w:t xml:space="preserve"> a smart grid project designed to </w:t>
      </w:r>
      <w:r w:rsidRPr="00EB33DC">
        <w:t xml:space="preserve">expand the deployment of Vermont smart meters from the current 28,000 to 300,000. </w:t>
      </w:r>
    </w:p>
    <w:p w:rsidR="008632D3" w:rsidRDefault="008632D3" w:rsidP="00073277">
      <w:pPr>
        <w:rPr>
          <w:b/>
          <w:color w:val="FF0000"/>
          <w:u w:val="single"/>
          <w:lang w:val="en-CA"/>
        </w:rPr>
      </w:pPr>
      <w:r w:rsidRPr="00EB33DC">
        <w:t xml:space="preserve">Earlier this year, Vermont’s two largest utilities, Green Mountain Power and Central Vermont Public Service, signed a </w:t>
      </w:r>
      <w:r w:rsidR="00025FCC" w:rsidRPr="00EB33DC">
        <w:t>M</w:t>
      </w:r>
      <w:r w:rsidRPr="00EB33DC">
        <w:t xml:space="preserve">emorandum of </w:t>
      </w:r>
      <w:r w:rsidR="00025FCC" w:rsidRPr="00EB33DC">
        <w:t>U</w:t>
      </w:r>
      <w:r w:rsidRPr="00EB33DC">
        <w:t xml:space="preserve">nderstanding with </w:t>
      </w:r>
      <w:r w:rsidR="00821C68" w:rsidRPr="00EB33DC">
        <w:t xml:space="preserve">Hydro-Québec (HQ) </w:t>
      </w:r>
      <w:r w:rsidRPr="00EB33DC">
        <w:t>for a new power supply contract beginning in</w:t>
      </w:r>
      <w:r w:rsidRPr="00EB33DC">
        <w:rPr>
          <w:bCs/>
          <w:color w:val="000000"/>
          <w:lang w:val="en-CA"/>
        </w:rPr>
        <w:t xml:space="preserve"> 2012 and ending in 2038. The agreement includes a price-smoothing mechanism that will shield customers from market fluctuations.</w:t>
      </w:r>
      <w:r w:rsidRPr="00EB33DC">
        <w:rPr>
          <w:rStyle w:val="FootnoteReference"/>
          <w:bCs/>
          <w:color w:val="000000"/>
          <w:sz w:val="22"/>
          <w:lang w:val="en-CA"/>
        </w:rPr>
        <w:footnoteReference w:id="349"/>
      </w:r>
      <w:r w:rsidRPr="00EB33DC">
        <w:t xml:space="preserve"> </w:t>
      </w:r>
      <w:r w:rsidRPr="00EB33DC">
        <w:rPr>
          <w:lang w:val="en-CA"/>
        </w:rPr>
        <w:t>One of the key provisions of the agreement calls for the Vermont legislature to enact legislation to designate large hydro</w:t>
      </w:r>
      <w:r w:rsidR="0027659C" w:rsidRPr="00EB33DC">
        <w:rPr>
          <w:lang w:val="en-CA"/>
        </w:rPr>
        <w:t>electric facilities</w:t>
      </w:r>
      <w:r w:rsidRPr="00EB33DC">
        <w:rPr>
          <w:lang w:val="en-CA"/>
        </w:rPr>
        <w:t xml:space="preserve">, which would </w:t>
      </w:r>
      <w:r w:rsidR="00BC6F21" w:rsidRPr="00EB33DC">
        <w:rPr>
          <w:lang w:val="en-CA"/>
        </w:rPr>
        <w:t>include HQ power</w:t>
      </w:r>
      <w:r w:rsidRPr="00EB33DC">
        <w:rPr>
          <w:lang w:val="en-CA"/>
        </w:rPr>
        <w:t>, as renewable</w:t>
      </w:r>
      <w:r w:rsidR="0027659C" w:rsidRPr="00EB33DC">
        <w:rPr>
          <w:lang w:val="en-CA"/>
        </w:rPr>
        <w:t xml:space="preserve"> resources</w:t>
      </w:r>
      <w:r w:rsidRPr="00EB33DC">
        <w:rPr>
          <w:lang w:val="en-CA"/>
        </w:rPr>
        <w:t xml:space="preserve">. </w:t>
      </w:r>
      <w:r w:rsidR="000628F3" w:rsidRPr="00EB33DC">
        <w:rPr>
          <w:lang w:val="en-CA"/>
        </w:rPr>
        <w:t>The legislature passed, and the governor signed into a law</w:t>
      </w:r>
      <w:r w:rsidR="00916C5D">
        <w:rPr>
          <w:lang w:val="en-CA"/>
        </w:rPr>
        <w:t>,</w:t>
      </w:r>
      <w:r w:rsidR="000628F3" w:rsidRPr="00EB33DC">
        <w:rPr>
          <w:lang w:val="en-CA"/>
        </w:rPr>
        <w:t xml:space="preserve"> a bill that allows large-scale hydro facilities to be considered renewable resources</w:t>
      </w:r>
      <w:r w:rsidR="00BC6F21" w:rsidRPr="00EB33DC">
        <w:rPr>
          <w:lang w:val="en-CA"/>
        </w:rPr>
        <w:t>.</w:t>
      </w:r>
      <w:r w:rsidR="00196107" w:rsidRPr="000D2C5B">
        <w:rPr>
          <w:rStyle w:val="FootnoteReference"/>
          <w:sz w:val="22"/>
          <w:lang w:val="en-CA"/>
        </w:rPr>
        <w:footnoteReference w:id="350"/>
      </w:r>
      <w:r w:rsidR="00391A5A">
        <w:rPr>
          <w:lang w:val="en-CA"/>
        </w:rPr>
        <w:t xml:space="preserve"> </w:t>
      </w:r>
      <w:r w:rsidR="00BC6F21" w:rsidRPr="00BC6F21">
        <w:rPr>
          <w:lang w:val="en-CA"/>
        </w:rPr>
        <w:t xml:space="preserve"> </w:t>
      </w:r>
    </w:p>
    <w:p w:rsidR="001B3090" w:rsidRDefault="00237263">
      <w:pPr>
        <w:pStyle w:val="Heading2"/>
      </w:pPr>
      <w:bookmarkStart w:id="863" w:name="_Toc271632339"/>
      <w:r w:rsidRPr="005D181F">
        <w:t>Regional Initiatives</w:t>
      </w:r>
      <w:bookmarkEnd w:id="863"/>
    </w:p>
    <w:p w:rsidR="00237263" w:rsidRPr="00EC35DD" w:rsidRDefault="00237263" w:rsidP="00237263">
      <w:r w:rsidRPr="00EC35DD">
        <w:t>Several regional initiatives</w:t>
      </w:r>
      <w:r w:rsidR="0027659C">
        <w:t xml:space="preserve"> that </w:t>
      </w:r>
      <w:r w:rsidR="00BB4985">
        <w:t xml:space="preserve">seek </w:t>
      </w:r>
      <w:r w:rsidRPr="00EC35DD">
        <w:t>to improve the regional energy markets, coordinate regional studies, and enhance resource adequacy and system planning</w:t>
      </w:r>
      <w:r w:rsidR="0027659C">
        <w:t xml:space="preserve"> </w:t>
      </w:r>
      <w:r w:rsidR="00BB4985">
        <w:t xml:space="preserve">currently are taking place or have recently </w:t>
      </w:r>
      <w:r w:rsidR="00BB4985" w:rsidRPr="00A93BBF">
        <w:t>concluded</w:t>
      </w:r>
      <w:r w:rsidRPr="00A93BBF">
        <w:t>.</w:t>
      </w:r>
      <w:r w:rsidR="00F5492E" w:rsidRPr="00A93BBF">
        <w:t xml:space="preserve"> </w:t>
      </w:r>
      <w:r w:rsidR="00BD5091" w:rsidRPr="00A93BBF">
        <w:t xml:space="preserve">Entities in </w:t>
      </w:r>
      <w:r w:rsidR="00A93BBF" w:rsidRPr="00A93BBF">
        <w:t xml:space="preserve">the </w:t>
      </w:r>
      <w:r w:rsidR="00BD5091" w:rsidRPr="00A93BBF">
        <w:t xml:space="preserve">New England states </w:t>
      </w:r>
      <w:r w:rsidR="00F5492E" w:rsidRPr="00A93BBF">
        <w:t xml:space="preserve">are </w:t>
      </w:r>
      <w:r w:rsidR="00BD5091" w:rsidRPr="00A93BBF">
        <w:t>also actively pursuing smart grid projects.</w:t>
      </w:r>
      <w:r w:rsidR="00F5492E">
        <w:t xml:space="preserve"> </w:t>
      </w:r>
    </w:p>
    <w:p w:rsidR="00B462A6" w:rsidRDefault="00237263">
      <w:pPr>
        <w:pStyle w:val="Heading3"/>
        <w:rPr>
          <w:rFonts w:cs="Times New Roman"/>
          <w:szCs w:val="28"/>
        </w:rPr>
      </w:pPr>
      <w:bookmarkStart w:id="864" w:name="_Toc271632340"/>
      <w:r w:rsidRPr="005D181F">
        <w:rPr>
          <w:bCs/>
          <w:iCs/>
          <w:szCs w:val="28"/>
        </w:rPr>
        <w:t>Coordination among the New England States</w:t>
      </w:r>
      <w:bookmarkEnd w:id="864"/>
      <w:r w:rsidRPr="008252A4">
        <w:t xml:space="preserve">          </w:t>
      </w:r>
    </w:p>
    <w:p w:rsidR="00B72411" w:rsidRDefault="00237263" w:rsidP="00237263">
      <w:r w:rsidRPr="00EC35DD">
        <w:t xml:space="preserve">The six New England states are actively involved in the ISO’s regional planning process individually and through the New England States Committee on </w:t>
      </w:r>
      <w:r w:rsidRPr="00BC1134">
        <w:t>Electricity.</w:t>
      </w:r>
      <w:r w:rsidRPr="00BC1134">
        <w:rPr>
          <w:rStyle w:val="FootnoteReference"/>
          <w:sz w:val="22"/>
        </w:rPr>
        <w:footnoteReference w:id="351"/>
      </w:r>
      <w:r w:rsidRPr="00BC1134">
        <w:t xml:space="preserve"> NESCOE serves as a forum for representatives from the states to participate in the ISO's decision-making processes</w:t>
      </w:r>
      <w:r w:rsidRPr="00EC35DD">
        <w:t xml:space="preserve">, </w:t>
      </w:r>
      <w:r w:rsidR="00DC7DFE">
        <w:t>including</w:t>
      </w:r>
      <w:r w:rsidRPr="00EC35DD">
        <w:t xml:space="preserve"> those dealing with resource adequacy and system planning and expansion issues.</w:t>
      </w:r>
      <w:r w:rsidRPr="00EC35DD">
        <w:rPr>
          <w:vertAlign w:val="superscript"/>
        </w:rPr>
        <w:footnoteReference w:id="352"/>
      </w:r>
      <w:r w:rsidRPr="00EC35DD">
        <w:t xml:space="preserve"> </w:t>
      </w:r>
      <w:r w:rsidR="00B72411">
        <w:t xml:space="preserve">In addition to NESCOE, the ISO works collaboratively with the state consumer advocates, </w:t>
      </w:r>
      <w:r w:rsidR="00BC1134">
        <w:t xml:space="preserve">the New England Conference of Public Utilities </w:t>
      </w:r>
      <w:r w:rsidR="00BC1134" w:rsidRPr="00BC1134">
        <w:t>Commissioners (</w:t>
      </w:r>
      <w:r w:rsidR="00BC6F21" w:rsidRPr="00BC1134">
        <w:t>NECPUC</w:t>
      </w:r>
      <w:r w:rsidR="00BC1134" w:rsidRPr="00BC1134">
        <w:t>)</w:t>
      </w:r>
      <w:r w:rsidR="00BC6F21" w:rsidRPr="00BC1134">
        <w:t>,</w:t>
      </w:r>
      <w:r w:rsidR="00B72411">
        <w:t xml:space="preserve"> and the New England Governors’ Conference </w:t>
      </w:r>
      <w:r w:rsidR="00B72411" w:rsidRPr="00B72411">
        <w:t>(NEGC)</w:t>
      </w:r>
      <w:r w:rsidR="00B72411">
        <w:t xml:space="preserve"> and their representatives</w:t>
      </w:r>
      <w:r w:rsidR="000316C3">
        <w:t>.</w:t>
      </w:r>
    </w:p>
    <w:p w:rsidR="00B72411" w:rsidRDefault="00223725" w:rsidP="00237263">
      <w:r>
        <w:t>T</w:t>
      </w:r>
      <w:r w:rsidR="00B72411">
        <w:t>he New England states have become active participants in the creation of interconnection-wide planning for the Eastern Interconnection. The Eastern Interconnection States Planning Council (EISPC)</w:t>
      </w:r>
      <w:r w:rsidR="008D49D5">
        <w:t xml:space="preserve"> is an</w:t>
      </w:r>
      <w:r w:rsidR="00B72411" w:rsidRPr="00EC35DD">
        <w:t xml:space="preserve"> organization of states in the </w:t>
      </w:r>
      <w:r w:rsidR="00B72411" w:rsidRPr="00CB5053">
        <w:t>Eastern Interconnection</w:t>
      </w:r>
      <w:r w:rsidR="008D49D5">
        <w:t>, including representati</w:t>
      </w:r>
      <w:r w:rsidR="000316C3">
        <w:t xml:space="preserve">ves </w:t>
      </w:r>
      <w:r w:rsidR="008D49D5">
        <w:t>from New England,</w:t>
      </w:r>
      <w:r w:rsidR="00B72411" w:rsidRPr="00EC35DD">
        <w:t xml:space="preserve"> responsible for participating with the planning authorities that </w:t>
      </w:r>
      <w:r w:rsidR="00B72411">
        <w:t xml:space="preserve">are </w:t>
      </w:r>
      <w:r w:rsidR="00B72411" w:rsidRPr="000316C3">
        <w:t xml:space="preserve">part of </w:t>
      </w:r>
      <w:r w:rsidR="00BC6F21" w:rsidRPr="000316C3">
        <w:t>the Eastern Interconnection</w:t>
      </w:r>
      <w:r w:rsidR="00B72411" w:rsidRPr="000316C3">
        <w:t xml:space="preserve"> Planning</w:t>
      </w:r>
      <w:r w:rsidR="00B72411" w:rsidRPr="00EC35DD">
        <w:t xml:space="preserve"> </w:t>
      </w:r>
      <w:r w:rsidR="00B72411" w:rsidRPr="001A45E2">
        <w:t>Collaborative</w:t>
      </w:r>
      <w:r w:rsidR="000316C3">
        <w:t xml:space="preserve"> (see Section </w:t>
      </w:r>
      <w:r w:rsidR="00832C7A">
        <w:fldChar w:fldCharType="begin"/>
      </w:r>
      <w:r w:rsidR="000316C3">
        <w:instrText xml:space="preserve"> REF _Ref266631684 \r \h </w:instrText>
      </w:r>
      <w:r w:rsidR="00832C7A">
        <w:fldChar w:fldCharType="separate"/>
      </w:r>
      <w:r w:rsidR="00E5699E">
        <w:t>11.1.2</w:t>
      </w:r>
      <w:r w:rsidR="00832C7A">
        <w:fldChar w:fldCharType="end"/>
      </w:r>
      <w:r w:rsidR="000316C3">
        <w:t>)</w:t>
      </w:r>
      <w:r w:rsidR="00B72411" w:rsidRPr="001A45E2">
        <w:t>.</w:t>
      </w:r>
      <w:r w:rsidR="00B72411" w:rsidRPr="000D2C5B">
        <w:rPr>
          <w:rStyle w:val="FootnoteReference"/>
          <w:sz w:val="22"/>
        </w:rPr>
        <w:footnoteReference w:id="353"/>
      </w:r>
      <w:r w:rsidR="00B72411" w:rsidRPr="000D2C5B">
        <w:t xml:space="preserve"> </w:t>
      </w:r>
      <w:r w:rsidR="00B72411" w:rsidRPr="001A45E2">
        <w:t>ISO</w:t>
      </w:r>
      <w:r w:rsidR="00B72411">
        <w:t xml:space="preserve"> New England, NESCOE, and NEPOOL work closely to coordinate New England’s participation in all EISPC and EIPC activities.</w:t>
      </w:r>
    </w:p>
    <w:p w:rsidR="00B462A6" w:rsidRDefault="0095164E">
      <w:pPr>
        <w:pStyle w:val="Heading3"/>
      </w:pPr>
      <w:bookmarkStart w:id="865" w:name="_Ref266560251"/>
      <w:bookmarkStart w:id="866" w:name="_Toc271632341"/>
      <w:r>
        <w:t>Regional Policy Development</w:t>
      </w:r>
      <w:bookmarkEnd w:id="865"/>
      <w:bookmarkEnd w:id="866"/>
    </w:p>
    <w:p w:rsidR="00011AB0" w:rsidRDefault="00237263" w:rsidP="00237263">
      <w:r w:rsidRPr="00EC35DD">
        <w:t xml:space="preserve">The ISO’s 2009 </w:t>
      </w:r>
      <w:r w:rsidRPr="00307983">
        <w:rPr>
          <w:i/>
          <w:color w:val="000000"/>
        </w:rPr>
        <w:t>New England 2030 Power System Study</w:t>
      </w:r>
      <w:r w:rsidRPr="00EC35DD">
        <w:t xml:space="preserve"> provided the technical analysis and information necessary for the governors and stakeholders to consider renewable resource options, their estimated costs</w:t>
      </w:r>
      <w:r>
        <w:t>,</w:t>
      </w:r>
      <w:r w:rsidRPr="00EC35DD">
        <w:t xml:space="preserve"> and potential outcomes</w:t>
      </w:r>
      <w:r>
        <w:t xml:space="preserve"> (see Section </w:t>
      </w:r>
      <w:r w:rsidR="00832C7A">
        <w:fldChar w:fldCharType="begin"/>
      </w:r>
      <w:r w:rsidR="000316C3">
        <w:instrText xml:space="preserve"> REF _Ref266631752 \r \h </w:instrText>
      </w:r>
      <w:r w:rsidR="00832C7A">
        <w:fldChar w:fldCharType="separate"/>
      </w:r>
      <w:r w:rsidR="00E5699E">
        <w:t>10.1</w:t>
      </w:r>
      <w:r w:rsidR="00832C7A">
        <w:fldChar w:fldCharType="end"/>
      </w:r>
      <w:r>
        <w:t xml:space="preserve">). </w:t>
      </w:r>
      <w:r w:rsidR="00011AB0">
        <w:t>This study</w:t>
      </w:r>
      <w:r w:rsidRPr="00EC35DD">
        <w:t xml:space="preserve"> is a complement to the </w:t>
      </w:r>
      <w:r w:rsidR="007B7547" w:rsidRPr="007B7547">
        <w:rPr>
          <w:i/>
        </w:rPr>
        <w:t>Governors’ Renewable Energy Blueprint</w:t>
      </w:r>
      <w:r w:rsidRPr="00EC35DD">
        <w:t xml:space="preserve">, </w:t>
      </w:r>
      <w:r w:rsidRPr="005D181F">
        <w:t>which identifies regulatory mechanisms available to advance renewable resource development in New England, including the potential for the states to synchronize their power procurement and long-term power contract activities and to coordinate siting reviews of proposed interstate transmission facilities.</w:t>
      </w:r>
      <w:r w:rsidRPr="005D181F">
        <w:rPr>
          <w:rStyle w:val="FootnoteReference"/>
          <w:sz w:val="22"/>
        </w:rPr>
        <w:footnoteReference w:id="354"/>
      </w:r>
      <w:r w:rsidRPr="005D181F">
        <w:t xml:space="preserve"> </w:t>
      </w:r>
      <w:r w:rsidR="00223725">
        <w:t xml:space="preserve">The report is not a final determination on the issue of coordinated </w:t>
      </w:r>
      <w:r w:rsidR="00223725" w:rsidRPr="00423693">
        <w:t>procurement and emphasizes that an important next step is consultation with the region’s stakeholders to receive</w:t>
      </w:r>
      <w:r w:rsidR="00A52D4B" w:rsidRPr="00423693">
        <w:t xml:space="preserve"> </w:t>
      </w:r>
      <w:r w:rsidR="00223725" w:rsidRPr="00423693">
        <w:t>input on the report.</w:t>
      </w:r>
      <w:r w:rsidR="00223725">
        <w:t xml:space="preserve"> </w:t>
      </w:r>
    </w:p>
    <w:p w:rsidR="00237263" w:rsidRDefault="00237263" w:rsidP="00237263">
      <w:r w:rsidRPr="00EC35DD">
        <w:t xml:space="preserve">The blueprint emphasizes the need for a partnership between the federal government and the New England states to facilitate </w:t>
      </w:r>
      <w:r>
        <w:t xml:space="preserve">the </w:t>
      </w:r>
      <w:r w:rsidRPr="00EC35DD">
        <w:t xml:space="preserve">delivery of low-carbon, secure, cost-effective sources of electricity to New England consumers that would help meet state and federal policy objectives. </w:t>
      </w:r>
    </w:p>
    <w:p w:rsidR="001628DD" w:rsidRDefault="00011AB0" w:rsidP="00237263">
      <w:r>
        <w:t xml:space="preserve">Building on the </w:t>
      </w:r>
      <w:r w:rsidRPr="00EC35DD">
        <w:t xml:space="preserve">2009 </w:t>
      </w:r>
      <w:r w:rsidRPr="00307983">
        <w:rPr>
          <w:i/>
          <w:color w:val="000000"/>
        </w:rPr>
        <w:t>New England 2030 Power System Study</w:t>
      </w:r>
      <w:r w:rsidRPr="00EC35DD">
        <w:t xml:space="preserve"> </w:t>
      </w:r>
      <w:r>
        <w:t xml:space="preserve">and the </w:t>
      </w:r>
      <w:r w:rsidR="00BC6F21" w:rsidRPr="00BC6F21">
        <w:rPr>
          <w:i/>
        </w:rPr>
        <w:t>New England Governor</w:t>
      </w:r>
      <w:r w:rsidR="00916C5D">
        <w:rPr>
          <w:i/>
        </w:rPr>
        <w:t>s</w:t>
      </w:r>
      <w:r w:rsidR="00BC6F21" w:rsidRPr="00BC6F21">
        <w:rPr>
          <w:i/>
        </w:rPr>
        <w:t>’</w:t>
      </w:r>
      <w:r w:rsidR="00916C5D">
        <w:rPr>
          <w:i/>
        </w:rPr>
        <w:t xml:space="preserve"> </w:t>
      </w:r>
      <w:r w:rsidR="00BC6F21" w:rsidRPr="00BC6F21">
        <w:rPr>
          <w:i/>
        </w:rPr>
        <w:t>Regional Blueprint</w:t>
      </w:r>
      <w:r>
        <w:t xml:space="preserve">, NESCOE submitted a request of the ISO for an economic study in 2010. NESCOE’s study request seeks to develop a baseline for the states to evaluate renewable power expansion scenarios for the region (See Section </w:t>
      </w:r>
      <w:r w:rsidR="00832C7A">
        <w:fldChar w:fldCharType="begin"/>
      </w:r>
      <w:r w:rsidR="001628DD">
        <w:instrText xml:space="preserve"> REF _Ref262127549 \r \h </w:instrText>
      </w:r>
      <w:r w:rsidR="00832C7A">
        <w:fldChar w:fldCharType="separate"/>
      </w:r>
      <w:r w:rsidR="00E5699E">
        <w:t>10.3</w:t>
      </w:r>
      <w:r w:rsidR="00832C7A">
        <w:fldChar w:fldCharType="end"/>
      </w:r>
      <w:r>
        <w:t>)</w:t>
      </w:r>
    </w:p>
    <w:p w:rsidR="00237263" w:rsidRPr="00EC35DD" w:rsidRDefault="00237263" w:rsidP="00237263">
      <w:r w:rsidRPr="00EC35DD">
        <w:t xml:space="preserve">In September 2009, the NEGC adopted a resolution identifying </w:t>
      </w:r>
      <w:r>
        <w:t xml:space="preserve">the </w:t>
      </w:r>
      <w:r w:rsidRPr="00EC35DD">
        <w:t>vast potential for cost-effective renewable resources, particularly wind power.</w:t>
      </w:r>
      <w:r w:rsidRPr="00EC35DD">
        <w:rPr>
          <w:rStyle w:val="FootnoteReference"/>
          <w:color w:val="000000" w:themeColor="text1"/>
          <w:sz w:val="22"/>
        </w:rPr>
        <w:footnoteReference w:id="355"/>
      </w:r>
      <w:r>
        <w:t xml:space="preserve"> </w:t>
      </w:r>
      <w:r w:rsidRPr="00EC35DD">
        <w:t xml:space="preserve">The NEGC resolution directs state regulators and policymakers to support </w:t>
      </w:r>
      <w:r>
        <w:t xml:space="preserve">the </w:t>
      </w:r>
      <w:r w:rsidRPr="00EC35DD">
        <w:t>development of New England’s renewable resources and to consider potential mechanisms for coordinat</w:t>
      </w:r>
      <w:r>
        <w:t xml:space="preserve">ing the </w:t>
      </w:r>
      <w:r w:rsidRPr="00EC35DD">
        <w:t xml:space="preserve">procurement of renewable resources. The NEGC also adopted a </w:t>
      </w:r>
      <w:r w:rsidRPr="001628DD">
        <w:t xml:space="preserve">similar resolution jointly with the </w:t>
      </w:r>
      <w:r w:rsidR="003174D8" w:rsidRPr="003174D8">
        <w:t>eastern Canadian premiers</w:t>
      </w:r>
      <w:r w:rsidR="00916C5D">
        <w:t>,</w:t>
      </w:r>
      <w:r w:rsidR="003174D8" w:rsidRPr="003174D8">
        <w:t xml:space="preserve"> initiating a dialogue between the states and </w:t>
      </w:r>
      <w:r w:rsidR="005965AD" w:rsidRPr="001628DD">
        <w:t xml:space="preserve">provinces to consider potential terms and conditions for regional procurement and a sample regional </w:t>
      </w:r>
      <w:r w:rsidR="00BC6F21" w:rsidRPr="001628DD">
        <w:t>RFP.</w:t>
      </w:r>
      <w:r>
        <w:t xml:space="preserve"> </w:t>
      </w:r>
      <w:r w:rsidRPr="00EC35DD">
        <w:t>The joint resolution pledges cooperation by both regions to enhance opportunities for the development of cost-effective renewable resources.</w:t>
      </w:r>
      <w:r w:rsidRPr="00EC35DD">
        <w:rPr>
          <w:rStyle w:val="FootnoteReference"/>
          <w:color w:val="000000" w:themeColor="text1"/>
          <w:sz w:val="22"/>
        </w:rPr>
        <w:footnoteReference w:id="356"/>
      </w:r>
      <w:r w:rsidRPr="00EC35DD">
        <w:t xml:space="preserve"> It also directs the New England states to explore opportunities to coordinate state siting for interstate transmission.</w:t>
      </w:r>
      <w:r w:rsidR="005965AD" w:rsidRPr="005965AD">
        <w:t xml:space="preserve"> </w:t>
      </w:r>
      <w:r w:rsidR="005965AD">
        <w:t>The governors and premiers also adopted resolutions on climate change and energy efficiency</w:t>
      </w:r>
      <w:r w:rsidR="0016286C" w:rsidRPr="0016286C">
        <w:t xml:space="preserve"> </w:t>
      </w:r>
      <w:r w:rsidR="0016286C">
        <w:t>at the 33</w:t>
      </w:r>
      <w:r w:rsidR="007B7547" w:rsidRPr="00423693">
        <w:rPr>
          <w:vertAlign w:val="superscript"/>
        </w:rPr>
        <w:t>rd</w:t>
      </w:r>
      <w:r w:rsidR="0016286C">
        <w:t xml:space="preserve"> Annual Conference of the New England Governors and Eastern Canadian Premiers (NEG/ECP)</w:t>
      </w:r>
      <w:r w:rsidR="005965AD">
        <w:t>.</w:t>
      </w:r>
      <w:r w:rsidR="001E7EF8" w:rsidRPr="00423693">
        <w:rPr>
          <w:rStyle w:val="FootnoteReference"/>
          <w:sz w:val="22"/>
        </w:rPr>
        <w:footnoteReference w:id="357"/>
      </w:r>
      <w:r w:rsidR="005965AD">
        <w:t xml:space="preserve"> </w:t>
      </w:r>
    </w:p>
    <w:p w:rsidR="00C636F7" w:rsidRDefault="00237263" w:rsidP="00BF0C97">
      <w:r w:rsidRPr="00EC35DD">
        <w:t>The states formed a Renewable Procurement Work Group</w:t>
      </w:r>
      <w:r>
        <w:t xml:space="preserve"> (RPWG) </w:t>
      </w:r>
      <w:r w:rsidR="0016286C">
        <w:t>to meet the directives of the 2009 resolutions.</w:t>
      </w:r>
      <w:r w:rsidR="00C636F7">
        <w:t xml:space="preserve"> </w:t>
      </w:r>
      <w:r w:rsidR="0016286C">
        <w:t xml:space="preserve">The working group </w:t>
      </w:r>
      <w:r w:rsidRPr="00EC35DD">
        <w:t xml:space="preserve">includes state representatives from across New England who oversee current competitive power procurement processes or who administer such procurement, as well as NESCOE </w:t>
      </w:r>
      <w:r>
        <w:t>m</w:t>
      </w:r>
      <w:r w:rsidRPr="00EC35DD">
        <w:t>anagers and staff, state energy policy officials, and staff of the New England Governors' Conference.</w:t>
      </w:r>
      <w:r w:rsidR="00C636F7">
        <w:t xml:space="preserve"> </w:t>
      </w:r>
      <w:r w:rsidRPr="00EC35DD">
        <w:t xml:space="preserve">The </w:t>
      </w:r>
      <w:r>
        <w:t>RPWG</w:t>
      </w:r>
      <w:r w:rsidRPr="00EC35DD">
        <w:t xml:space="preserve"> is examining</w:t>
      </w:r>
      <w:r w:rsidR="0016286C">
        <w:t xml:space="preserve"> the Renewable Portfolio Standards for each of the states, including the eligibility of resources </w:t>
      </w:r>
      <w:r w:rsidRPr="00EC35DD">
        <w:t xml:space="preserve">across </w:t>
      </w:r>
      <w:r w:rsidR="0016286C">
        <w:t xml:space="preserve">the region and the timing of power </w:t>
      </w:r>
      <w:r w:rsidRPr="00EC35DD">
        <w:t>procurement</w:t>
      </w:r>
      <w:r w:rsidR="004E0227">
        <w:t>,</w:t>
      </w:r>
      <w:r w:rsidR="0016286C">
        <w:t xml:space="preserve"> to identify opportunities to coordinate such procurement.</w:t>
      </w:r>
    </w:p>
    <w:p w:rsidR="00BF0C97" w:rsidRDefault="00BF0C97" w:rsidP="00BF0C97">
      <w:r>
        <w:rPr>
          <w:color w:val="000000"/>
        </w:rPr>
        <w:t xml:space="preserve">At </w:t>
      </w:r>
      <w:r>
        <w:t>the 34</w:t>
      </w:r>
      <w:r w:rsidRPr="00F77C9B">
        <w:rPr>
          <w:vertAlign w:val="superscript"/>
        </w:rPr>
        <w:t>th</w:t>
      </w:r>
      <w:r>
        <w:t xml:space="preserve"> Annual Conference of the NEG/ECP</w:t>
      </w:r>
      <w:r>
        <w:rPr>
          <w:color w:val="000000"/>
        </w:rPr>
        <w:t xml:space="preserve">, </w:t>
      </w:r>
      <w:r w:rsidRPr="00B84EDD">
        <w:rPr>
          <w:color w:val="000000"/>
        </w:rPr>
        <w:t>NESCOE submitted a report</w:t>
      </w:r>
      <w:r>
        <w:rPr>
          <w:color w:val="000000"/>
        </w:rPr>
        <w:t xml:space="preserve"> to the New England Governors summarizing the work of the </w:t>
      </w:r>
      <w:r w:rsidRPr="00CE3722">
        <w:rPr>
          <w:color w:val="000000"/>
        </w:rPr>
        <w:t>RPWG on coordinat</w:t>
      </w:r>
      <w:r>
        <w:rPr>
          <w:color w:val="000000"/>
        </w:rPr>
        <w:t xml:space="preserve">ing the procurement of </w:t>
      </w:r>
      <w:r w:rsidRPr="00CE3722">
        <w:rPr>
          <w:color w:val="000000"/>
        </w:rPr>
        <w:t xml:space="preserve">renewable </w:t>
      </w:r>
      <w:r>
        <w:rPr>
          <w:color w:val="000000"/>
        </w:rPr>
        <w:t>resources.</w:t>
      </w:r>
      <w:r w:rsidR="008F122D" w:rsidRPr="00CA6D25">
        <w:rPr>
          <w:rStyle w:val="FootnoteReference"/>
          <w:color w:val="000000"/>
          <w:sz w:val="22"/>
        </w:rPr>
        <w:footnoteReference w:id="358"/>
      </w:r>
      <w:r w:rsidRPr="00CA6D25">
        <w:rPr>
          <w:color w:val="000000"/>
        </w:rPr>
        <w:t xml:space="preserve"> </w:t>
      </w:r>
      <w:r w:rsidRPr="00B84EDD">
        <w:rPr>
          <w:color w:val="000000"/>
        </w:rPr>
        <w:t>The report assess</w:t>
      </w:r>
      <w:r>
        <w:rPr>
          <w:color w:val="000000"/>
        </w:rPr>
        <w:t xml:space="preserve">es </w:t>
      </w:r>
      <w:r w:rsidRPr="00B84EDD">
        <w:rPr>
          <w:color w:val="000000"/>
        </w:rPr>
        <w:t>power procurement practices, contract authority</w:t>
      </w:r>
      <w:r>
        <w:rPr>
          <w:color w:val="000000"/>
        </w:rPr>
        <w:t>,</w:t>
      </w:r>
      <w:r w:rsidRPr="00B84EDD">
        <w:rPr>
          <w:color w:val="000000"/>
        </w:rPr>
        <w:t xml:space="preserve"> and renewable resource</w:t>
      </w:r>
      <w:r>
        <w:rPr>
          <w:color w:val="000000"/>
        </w:rPr>
        <w:t xml:space="preserve"> eligibility across the six states. It also looks at the general terms and conditions that may be applicable for developing regionwide procurement options and processes.</w:t>
      </w:r>
      <w:r w:rsidR="00C636F7">
        <w:rPr>
          <w:color w:val="000000"/>
        </w:rPr>
        <w:t xml:space="preserve"> </w:t>
      </w:r>
      <w:r>
        <w:rPr>
          <w:color w:val="000000"/>
        </w:rPr>
        <w:t xml:space="preserve">Additionally, </w:t>
      </w:r>
      <w:r w:rsidRPr="00A37FE4">
        <w:rPr>
          <w:color w:val="000000"/>
        </w:rPr>
        <w:t>the report identifies</w:t>
      </w:r>
      <w:r>
        <w:rPr>
          <w:color w:val="000000"/>
        </w:rPr>
        <w:t xml:space="preserve"> obstacles that may be encountered in pursuing coordinated procurement, as well as potential solutions, and introduces the idea of a model regional RFP for renewable resources. To enable the broadest set of resources to be considered, the contract length, resource types, and pricing structure of such an RFP would need to be flexible. The report emphasizes that the primary objective in coordinating the procurement and development of renewable resources is to select the most cost-effective renewable resources for consumers </w:t>
      </w:r>
      <w:r w:rsidR="00CB2972">
        <w:rPr>
          <w:color w:val="000000"/>
        </w:rPr>
        <w:t xml:space="preserve">in areas with </w:t>
      </w:r>
      <w:r>
        <w:rPr>
          <w:color w:val="000000"/>
        </w:rPr>
        <w:t>competitive markets and processes. At the conference, t</w:t>
      </w:r>
      <w:r>
        <w:t xml:space="preserve">he governors and premiers also adopted resolutions on </w:t>
      </w:r>
      <w:r>
        <w:rPr>
          <w:color w:val="000000"/>
        </w:rPr>
        <w:t>energy efficiency and solar power.</w:t>
      </w:r>
      <w:r w:rsidR="0095164E" w:rsidRPr="00CA6D25">
        <w:rPr>
          <w:rStyle w:val="FootnoteReference"/>
          <w:color w:val="000000"/>
          <w:sz w:val="22"/>
        </w:rPr>
        <w:footnoteReference w:id="359"/>
      </w:r>
      <w:r w:rsidRPr="00CA6D25">
        <w:t xml:space="preserve"> </w:t>
      </w:r>
    </w:p>
    <w:p w:rsidR="00B462A6" w:rsidRDefault="00237263">
      <w:pPr>
        <w:pStyle w:val="Heading3"/>
        <w:rPr>
          <w:rFonts w:ascii="Times New Roman" w:hAnsi="Times New Roman"/>
          <w:szCs w:val="22"/>
        </w:rPr>
      </w:pPr>
      <w:bookmarkStart w:id="867" w:name="_Toc271632342"/>
      <w:r w:rsidRPr="008C120E">
        <w:t>Forward Capacity Market Updates</w:t>
      </w:r>
      <w:bookmarkEnd w:id="867"/>
    </w:p>
    <w:p w:rsidR="00237263" w:rsidRPr="008C120E" w:rsidRDefault="00237263" w:rsidP="00237263">
      <w:pPr>
        <w:rPr>
          <w:color w:val="000000" w:themeColor="text1"/>
        </w:rPr>
      </w:pPr>
      <w:r w:rsidRPr="008C120E">
        <w:rPr>
          <w:color w:val="000000" w:themeColor="text1"/>
        </w:rPr>
        <w:t xml:space="preserve">FERC has set for paper hearing proposed changes to the FCM, which </w:t>
      </w:r>
      <w:r w:rsidR="006D2E7D">
        <w:rPr>
          <w:color w:val="000000" w:themeColor="text1"/>
        </w:rPr>
        <w:t xml:space="preserve">address several </w:t>
      </w:r>
      <w:r w:rsidRPr="008C120E">
        <w:rPr>
          <w:color w:val="000000" w:themeColor="text1"/>
        </w:rPr>
        <w:t>issues</w:t>
      </w:r>
      <w:r w:rsidR="006D2E7D">
        <w:rPr>
          <w:color w:val="000000" w:themeColor="text1"/>
        </w:rPr>
        <w:t>, including</w:t>
      </w:r>
      <w:r w:rsidRPr="008C120E">
        <w:rPr>
          <w:color w:val="000000" w:themeColor="text1"/>
        </w:rPr>
        <w:t xml:space="preserve"> the Alternative Price Rule, the modeling of capacity zones, and the proper value of the cost of new entry.</w:t>
      </w:r>
      <w:r w:rsidRPr="00CA6D25">
        <w:rPr>
          <w:rStyle w:val="FootnoteReference"/>
          <w:color w:val="000000" w:themeColor="text1"/>
          <w:sz w:val="22"/>
        </w:rPr>
        <w:footnoteReference w:id="360"/>
      </w:r>
      <w:r w:rsidRPr="00CA6D25">
        <w:rPr>
          <w:color w:val="000000" w:themeColor="text1"/>
        </w:rPr>
        <w:t> </w:t>
      </w:r>
      <w:r w:rsidR="00971B40">
        <w:rPr>
          <w:color w:val="000000" w:themeColor="text1"/>
        </w:rPr>
        <w:t xml:space="preserve">The first brief was filed with FERC on July 1, 2010, and the second brief </w:t>
      </w:r>
      <w:r w:rsidR="0005727F">
        <w:rPr>
          <w:color w:val="000000" w:themeColor="text1"/>
        </w:rPr>
        <w:t xml:space="preserve">was </w:t>
      </w:r>
      <w:r w:rsidR="00971B40">
        <w:rPr>
          <w:color w:val="000000" w:themeColor="text1"/>
        </w:rPr>
        <w:t xml:space="preserve">filed </w:t>
      </w:r>
      <w:r w:rsidR="00916C5D">
        <w:rPr>
          <w:color w:val="000000" w:themeColor="text1"/>
        </w:rPr>
        <w:t xml:space="preserve">with </w:t>
      </w:r>
      <w:r w:rsidR="00971B40">
        <w:rPr>
          <w:color w:val="000000" w:themeColor="text1"/>
        </w:rPr>
        <w:t>FERC on September 1, 2010.</w:t>
      </w:r>
      <w:r w:rsidR="00971B40" w:rsidRPr="00CA6D25">
        <w:rPr>
          <w:rStyle w:val="FootnoteReference"/>
          <w:color w:val="000000" w:themeColor="text1"/>
          <w:sz w:val="22"/>
        </w:rPr>
        <w:footnoteReference w:id="361"/>
      </w:r>
      <w:r w:rsidR="00971B40" w:rsidRPr="00CA6D25">
        <w:rPr>
          <w:color w:val="000000" w:themeColor="text1"/>
        </w:rPr>
        <w:t xml:space="preserve"> </w:t>
      </w:r>
    </w:p>
    <w:p w:rsidR="00B462A6" w:rsidRDefault="00237263">
      <w:pPr>
        <w:pStyle w:val="Heading3"/>
      </w:pPr>
      <w:bookmarkStart w:id="868" w:name="_Toc271632343"/>
      <w:r w:rsidRPr="00EF342B">
        <w:t>Price-Responsive Demand</w:t>
      </w:r>
      <w:bookmarkEnd w:id="868"/>
    </w:p>
    <w:p w:rsidR="00237263" w:rsidRPr="00C6322D" w:rsidRDefault="00237263" w:rsidP="00237263">
      <w:r w:rsidRPr="00EF342B">
        <w:rPr>
          <w:rFonts w:cs="Times New Roman"/>
        </w:rPr>
        <w:t>The ISO has initiated work with NEPOOL stakeholders and state utility regulators to develop a policy and program design for future price-responsive demand programs</w:t>
      </w:r>
      <w:r w:rsidR="0001523E">
        <w:rPr>
          <w:rFonts w:cs="Times New Roman"/>
        </w:rPr>
        <w:t>.</w:t>
      </w:r>
      <w:r w:rsidR="0001523E" w:rsidRPr="00CA6D25">
        <w:rPr>
          <w:rStyle w:val="FootnoteReference"/>
          <w:sz w:val="22"/>
        </w:rPr>
        <w:footnoteReference w:id="362"/>
      </w:r>
      <w:r w:rsidR="00542D08" w:rsidRPr="00CA6D25">
        <w:rPr>
          <w:rFonts w:cs="Times New Roman"/>
        </w:rPr>
        <w:t xml:space="preserve"> </w:t>
      </w:r>
      <w:r w:rsidRPr="00EF342B">
        <w:t xml:space="preserve">As part of this effort, the ISO will </w:t>
      </w:r>
      <w:r w:rsidRPr="00C6322D">
        <w:t xml:space="preserve">provide information and support to the New England states, as available resources permit, and will participate in forums and </w:t>
      </w:r>
      <w:r w:rsidRPr="00902070">
        <w:t xml:space="preserve">proceedings on </w:t>
      </w:r>
      <w:r w:rsidR="00A73FE0" w:rsidRPr="00902070">
        <w:t xml:space="preserve">dynamic retail pricing </w:t>
      </w:r>
      <w:r w:rsidRPr="00902070">
        <w:t>as</w:t>
      </w:r>
      <w:r w:rsidRPr="00C6322D">
        <w:t xml:space="preserve"> requested by state public utility regulators</w:t>
      </w:r>
      <w:r w:rsidR="00BD5091" w:rsidRPr="00C6322D">
        <w:t>.</w:t>
      </w:r>
      <w:r w:rsidR="00BF0C97">
        <w:rPr>
          <w:rStyle w:val="FootnoteReference"/>
        </w:rPr>
        <w:footnoteReference w:id="363"/>
      </w:r>
    </w:p>
    <w:p w:rsidR="00B462A6" w:rsidRDefault="00237263">
      <w:pPr>
        <w:pStyle w:val="Heading3"/>
      </w:pPr>
      <w:bookmarkStart w:id="869" w:name="_Toc271632344"/>
      <w:r w:rsidRPr="00C6322D">
        <w:t>Consumer Liaison Group</w:t>
      </w:r>
      <w:bookmarkEnd w:id="869"/>
    </w:p>
    <w:p w:rsidR="00237263" w:rsidRPr="00EC35DD" w:rsidRDefault="00237263" w:rsidP="00237263">
      <w:r w:rsidRPr="00EC35DD">
        <w:t>In early 2009, the ISO initiated the RTO Responsiveness and Governance Working Group to address ISO’s responsiveness to stakeholders and customers.</w:t>
      </w:r>
      <w:r w:rsidRPr="00EC35DD">
        <w:rPr>
          <w:rStyle w:val="FootnoteReference"/>
          <w:sz w:val="22"/>
        </w:rPr>
        <w:footnoteReference w:id="364"/>
      </w:r>
      <w:r w:rsidRPr="00EC35DD">
        <w:t xml:space="preserve"> One of the major themes that came from the RTO Responsiveness and Governance Working Group was a desire by consumers for the ISO to provide greater transparency about </w:t>
      </w:r>
      <w:r>
        <w:t xml:space="preserve">the impacts </w:t>
      </w:r>
      <w:r w:rsidR="007D7E13">
        <w:t xml:space="preserve">of </w:t>
      </w:r>
      <w:r w:rsidRPr="00EC35DD">
        <w:t xml:space="preserve">ISO activities </w:t>
      </w:r>
      <w:r>
        <w:t xml:space="preserve">on </w:t>
      </w:r>
      <w:r w:rsidRPr="00EC35DD">
        <w:t>consumer costs</w:t>
      </w:r>
      <w:r>
        <w:t xml:space="preserve">. </w:t>
      </w:r>
      <w:r w:rsidRPr="00EC35DD">
        <w:t>In response to this, the ISO and stakeholders created the Consumer Liaison Group</w:t>
      </w:r>
      <w:r>
        <w:t xml:space="preserve"> (CLG).</w:t>
      </w:r>
      <w:r w:rsidR="00384723" w:rsidRPr="00FE032D">
        <w:rPr>
          <w:rStyle w:val="FootnoteReference"/>
          <w:sz w:val="22"/>
        </w:rPr>
        <w:footnoteReference w:id="365"/>
      </w:r>
    </w:p>
    <w:p w:rsidR="00237263" w:rsidRPr="00EC35DD" w:rsidRDefault="00237263" w:rsidP="00237263">
      <w:r w:rsidRPr="00EC35DD">
        <w:t xml:space="preserve">The CLG was established </w:t>
      </w:r>
      <w:r>
        <w:t xml:space="preserve">to </w:t>
      </w:r>
      <w:r w:rsidRPr="00EC35DD">
        <w:t>creat</w:t>
      </w:r>
      <w:r>
        <w:t xml:space="preserve">e </w:t>
      </w:r>
      <w:r w:rsidRPr="00EC35DD">
        <w:t>a forum for the flow of information between the ISO and New England’s electricity users</w:t>
      </w:r>
      <w:r>
        <w:t xml:space="preserve">. </w:t>
      </w:r>
      <w:r w:rsidRPr="00EC35DD">
        <w:t>Among other things, the benefit of the CLG is that consumers and their representatives gain a better understanding of ISO initiatives, market developments, and cost impacts associated with major initiatives</w:t>
      </w:r>
      <w:r>
        <w:t xml:space="preserve">. </w:t>
      </w:r>
      <w:r w:rsidRPr="00EC35DD">
        <w:t>The CLG also allow</w:t>
      </w:r>
      <w:r>
        <w:t>s</w:t>
      </w:r>
      <w:r w:rsidRPr="00EC35DD">
        <w:t xml:space="preserve"> the ISO to gain a better understanding of consumer interests and concerns</w:t>
      </w:r>
      <w:r>
        <w:t xml:space="preserve">. </w:t>
      </w:r>
    </w:p>
    <w:p w:rsidR="00237263" w:rsidRPr="00EC35DD" w:rsidRDefault="00237263" w:rsidP="00237263">
      <w:r w:rsidRPr="00EC35DD">
        <w:t>The CLG</w:t>
      </w:r>
      <w:r w:rsidR="003714DE">
        <w:t>, which</w:t>
      </w:r>
      <w:r w:rsidRPr="00EC35DD">
        <w:t xml:space="preserve"> </w:t>
      </w:r>
      <w:r>
        <w:t>first met</w:t>
      </w:r>
      <w:r w:rsidRPr="00EC35DD">
        <w:t xml:space="preserve"> in July 2009 and held t</w:t>
      </w:r>
      <w:r w:rsidR="00384723">
        <w:t xml:space="preserve">wo subsequent </w:t>
      </w:r>
      <w:r w:rsidRPr="00EC35DD">
        <w:t>meetings th</w:t>
      </w:r>
      <w:r w:rsidR="00384723">
        <w:t xml:space="preserve">at </w:t>
      </w:r>
      <w:r>
        <w:t>year</w:t>
      </w:r>
      <w:r w:rsidR="00384723">
        <w:t xml:space="preserve">, </w:t>
      </w:r>
      <w:r>
        <w:t xml:space="preserve">is scheduled to meet four </w:t>
      </w:r>
      <w:r w:rsidRPr="00EC35DD">
        <w:t>times in 2010. At these meetings</w:t>
      </w:r>
      <w:r w:rsidR="00384723">
        <w:t xml:space="preserve"> and with the guidance of the CLG Coordinating Committee</w:t>
      </w:r>
      <w:r w:rsidRPr="00EC35DD">
        <w:t>, CLG members identified and discussed important consumer issues, established a governance structure to guide the group, and refined CLG objectives to ensure that the group meets the informational needs of consumers. Significant time was allotted at the first three meetings to discuss transmission investment, wholesale electricity market pricing</w:t>
      </w:r>
      <w:r>
        <w:t>,</w:t>
      </w:r>
      <w:r w:rsidRPr="00EC35DD">
        <w:t xml:space="preserve"> and the components of wholesale and retails costs.</w:t>
      </w:r>
    </w:p>
    <w:p w:rsidR="00237263" w:rsidRDefault="00237263" w:rsidP="00237263">
      <w:r w:rsidRPr="00EC35DD">
        <w:t>FERC Commissioner Philip Moeller was a special guest at the CLG’s December 2009 meeting</w:t>
      </w:r>
      <w:r>
        <w:t xml:space="preserve">. Paul Hibbard, </w:t>
      </w:r>
      <w:r w:rsidR="00924DD3">
        <w:t xml:space="preserve">the then </w:t>
      </w:r>
      <w:r>
        <w:t>Chairman of the Massachusetts Department of Public Utilities,</w:t>
      </w:r>
      <w:r w:rsidRPr="00EC35DD">
        <w:t xml:space="preserve"> and Mary Healey, Consumer Counsel for the State of Connecticut and President of the National Association of State Utility Consumer Advocates</w:t>
      </w:r>
      <w:r>
        <w:t>,</w:t>
      </w:r>
      <w:r w:rsidRPr="00EC35DD">
        <w:t xml:space="preserve"> presented at the </w:t>
      </w:r>
      <w:r>
        <w:t xml:space="preserve">February and </w:t>
      </w:r>
      <w:r w:rsidRPr="00EC35DD">
        <w:t>May 2010 meeting</w:t>
      </w:r>
      <w:r>
        <w:t xml:space="preserve">s, respectively. </w:t>
      </w:r>
    </w:p>
    <w:p w:rsidR="00237263" w:rsidRDefault="00EC1467" w:rsidP="00237263">
      <w:r>
        <w:t xml:space="preserve">On July 30, </w:t>
      </w:r>
      <w:r w:rsidR="00A73FE0" w:rsidRPr="00A73FE0">
        <w:t xml:space="preserve">2010, the ISO </w:t>
      </w:r>
      <w:r>
        <w:t xml:space="preserve">released its </w:t>
      </w:r>
      <w:r w:rsidR="00A73FE0" w:rsidRPr="00A73FE0">
        <w:t xml:space="preserve">report about the CLG, which summarizes the goals and structure of the CLG, 2009 </w:t>
      </w:r>
      <w:r>
        <w:t xml:space="preserve">CLG </w:t>
      </w:r>
      <w:r w:rsidR="00A73FE0" w:rsidRPr="00A73FE0">
        <w:t xml:space="preserve">activities, </w:t>
      </w:r>
      <w:r>
        <w:t xml:space="preserve">major </w:t>
      </w:r>
      <w:r w:rsidR="00A73FE0" w:rsidRPr="00A73FE0">
        <w:t>ISO activities and initiatives</w:t>
      </w:r>
      <w:r>
        <w:t xml:space="preserve"> from 2009</w:t>
      </w:r>
      <w:r w:rsidR="00A73FE0" w:rsidRPr="00A73FE0">
        <w:t xml:space="preserve">, and </w:t>
      </w:r>
      <w:r>
        <w:t xml:space="preserve">goals for the </w:t>
      </w:r>
      <w:r w:rsidR="00A73FE0" w:rsidRPr="00A73FE0">
        <w:t xml:space="preserve">CLG </w:t>
      </w:r>
      <w:r>
        <w:t>in 2010</w:t>
      </w:r>
      <w:r w:rsidR="00A73FE0" w:rsidRPr="00A73FE0">
        <w:t>.</w:t>
      </w:r>
      <w:r w:rsidR="00A73FE0" w:rsidRPr="00F53342">
        <w:rPr>
          <w:rStyle w:val="FootnoteReference"/>
          <w:sz w:val="22"/>
        </w:rPr>
        <w:footnoteReference w:id="366"/>
      </w:r>
      <w:r w:rsidR="00A73FE0" w:rsidRPr="00F53342">
        <w:t xml:space="preserve"> </w:t>
      </w:r>
    </w:p>
    <w:p w:rsidR="00B462A6" w:rsidRDefault="00D3786A">
      <w:pPr>
        <w:pStyle w:val="Heading3"/>
      </w:pPr>
      <w:bookmarkStart w:id="870" w:name="_Toc271632345"/>
      <w:r>
        <w:t xml:space="preserve">Regional </w:t>
      </w:r>
      <w:r w:rsidR="008632D3" w:rsidRPr="00D61F47">
        <w:t xml:space="preserve">Smart Grid </w:t>
      </w:r>
      <w:r>
        <w:t>Projects</w:t>
      </w:r>
      <w:bookmarkEnd w:id="870"/>
    </w:p>
    <w:p w:rsidR="00935458" w:rsidRDefault="00BD5091" w:rsidP="00935458">
      <w:r w:rsidRPr="00C6322D">
        <w:t xml:space="preserve">As discussed in Section </w:t>
      </w:r>
      <w:fldSimple w:instr=" REF _Ref266879805 \r \h  \* MERGEFORMAT ">
        <w:r w:rsidR="00E5699E">
          <w:t>9.1</w:t>
        </w:r>
      </w:fldSimple>
      <w:r w:rsidRPr="00C6322D">
        <w:t xml:space="preserve">, the ISO is implementing several smart grid projects, including </w:t>
      </w:r>
      <w:r w:rsidR="0098692F" w:rsidRPr="00C6322D">
        <w:t xml:space="preserve">one </w:t>
      </w:r>
      <w:r w:rsidRPr="00C6322D">
        <w:t xml:space="preserve">involving </w:t>
      </w:r>
      <w:r w:rsidR="0098692F" w:rsidRPr="00C6322D">
        <w:t>the expansion of phasor measurement units</w:t>
      </w:r>
      <w:r w:rsidRPr="00C6322D">
        <w:t>.</w:t>
      </w:r>
      <w:r w:rsidR="0098692F" w:rsidRPr="00C6322D">
        <w:t xml:space="preserve"> </w:t>
      </w:r>
      <w:r w:rsidRPr="00C6322D">
        <w:t>Towns, businesses, and utilities in New England also are actively pursuing and conduc</w:t>
      </w:r>
      <w:r w:rsidR="00954EC9">
        <w:t>t</w:t>
      </w:r>
      <w:r w:rsidRPr="00C6322D">
        <w:t>ing smart grid projects</w:t>
      </w:r>
      <w:r w:rsidR="0098692F" w:rsidRPr="00C6322D">
        <w:t xml:space="preserve"> and </w:t>
      </w:r>
      <w:r w:rsidR="00935458" w:rsidRPr="00C6322D">
        <w:t>were selected</w:t>
      </w:r>
      <w:r w:rsidR="00935458">
        <w:t xml:space="preserve"> to receive approximately $225</w:t>
      </w:r>
      <w:r w:rsidR="0098692F">
        <w:t> </w:t>
      </w:r>
      <w:r w:rsidR="00935458">
        <w:t xml:space="preserve">million </w:t>
      </w:r>
      <w:r w:rsidR="00FD7BF0">
        <w:t xml:space="preserve">total </w:t>
      </w:r>
      <w:r w:rsidR="00935458">
        <w:t>in DOE smart grid investment grants.</w:t>
      </w:r>
      <w:r w:rsidR="00935458" w:rsidRPr="00F53342">
        <w:rPr>
          <w:rStyle w:val="FootnoteReference"/>
          <w:sz w:val="22"/>
        </w:rPr>
        <w:footnoteReference w:id="367"/>
      </w:r>
      <w:r w:rsidR="00935458">
        <w:t xml:space="preserve"> </w:t>
      </w:r>
      <w:r w:rsidR="00FD7BF0">
        <w:t>O</w:t>
      </w:r>
      <w:r w:rsidR="00935458">
        <w:t>ther DOE Smart Grid Investment Grant</w:t>
      </w:r>
      <w:r w:rsidR="00FD7BF0">
        <w:t xml:space="preserve"> </w:t>
      </w:r>
      <w:r w:rsidR="00DF0902">
        <w:t xml:space="preserve">awards </w:t>
      </w:r>
      <w:r w:rsidR="00935458">
        <w:t>in New England</w:t>
      </w:r>
      <w:r w:rsidR="00FD7BF0">
        <w:t xml:space="preserve"> </w:t>
      </w:r>
      <w:r w:rsidR="003C52B5">
        <w:t>are</w:t>
      </w:r>
      <w:r w:rsidR="00FD7BF0">
        <w:t xml:space="preserve"> as follows</w:t>
      </w:r>
      <w:r w:rsidR="00935458">
        <w:t>:</w:t>
      </w:r>
    </w:p>
    <w:p w:rsidR="006A7038" w:rsidRDefault="00821C68" w:rsidP="00BB34F0">
      <w:pPr>
        <w:numPr>
          <w:ilvl w:val="0"/>
          <w:numId w:val="44"/>
        </w:numPr>
        <w:spacing w:after="120"/>
      </w:pPr>
      <w:r w:rsidRPr="00821C68">
        <w:rPr>
          <w:b/>
        </w:rPr>
        <w:t>Connecticut</w:t>
      </w:r>
      <w:r w:rsidRPr="00821C68">
        <w:rPr>
          <w:rFonts w:cs="Times New Roman"/>
          <w:b/>
        </w:rPr>
        <w:t>—</w:t>
      </w:r>
      <w:r w:rsidR="00935458">
        <w:t>Connecticut Municipal Electric Energy Cooperative was awarded $9 million to b</w:t>
      </w:r>
      <w:r w:rsidR="00935458" w:rsidRPr="0034607F">
        <w:t xml:space="preserve">uild </w:t>
      </w:r>
      <w:r w:rsidR="00DF0902">
        <w:t xml:space="preserve">a </w:t>
      </w:r>
      <w:r w:rsidR="00935458" w:rsidRPr="0034607F">
        <w:t xml:space="preserve">regional smart meter network including </w:t>
      </w:r>
      <w:r w:rsidR="00935458">
        <w:t>five</w:t>
      </w:r>
      <w:r w:rsidR="00935458" w:rsidRPr="0034607F">
        <w:t xml:space="preserve"> municipal utilities and at least 13,</w:t>
      </w:r>
      <w:r w:rsidR="00935458">
        <w:t>0</w:t>
      </w:r>
      <w:r w:rsidR="00935458" w:rsidRPr="0034607F">
        <w:t>00</w:t>
      </w:r>
      <w:r w:rsidR="00935458">
        <w:t xml:space="preserve"> </w:t>
      </w:r>
      <w:r w:rsidR="00935458" w:rsidRPr="0034607F">
        <w:t>time-varying meter</w:t>
      </w:r>
      <w:r w:rsidR="00935458">
        <w:t xml:space="preserve">s that will allow customers to control their electricity use. </w:t>
      </w:r>
    </w:p>
    <w:p w:rsidR="006A7038" w:rsidRDefault="00821C68" w:rsidP="00BB34F0">
      <w:pPr>
        <w:numPr>
          <w:ilvl w:val="0"/>
          <w:numId w:val="44"/>
        </w:numPr>
        <w:spacing w:after="120"/>
      </w:pPr>
      <w:r w:rsidRPr="00821C68">
        <w:rPr>
          <w:b/>
        </w:rPr>
        <w:t>Maine</w:t>
      </w:r>
      <w:r w:rsidRPr="00821C68">
        <w:rPr>
          <w:rFonts w:cs="Times New Roman"/>
          <w:b/>
        </w:rPr>
        <w:t>—</w:t>
      </w:r>
      <w:r w:rsidR="00935458" w:rsidRPr="00EC35DD">
        <w:t xml:space="preserve">Central Maine Power Company </w:t>
      </w:r>
      <w:r w:rsidR="00935458">
        <w:t>was awarded</w:t>
      </w:r>
      <w:r w:rsidR="00935458" w:rsidRPr="00EC35DD">
        <w:t xml:space="preserve"> approximately $96 million to instal</w:t>
      </w:r>
      <w:r w:rsidR="00935458">
        <w:t>l 650,000 s</w:t>
      </w:r>
      <w:r w:rsidR="00935458" w:rsidRPr="00EC35DD">
        <w:t xml:space="preserve">mart </w:t>
      </w:r>
      <w:r w:rsidR="00935458">
        <w:t xml:space="preserve">meters </w:t>
      </w:r>
      <w:r w:rsidR="00935458" w:rsidRPr="00EC35DD">
        <w:t>for all its customers.</w:t>
      </w:r>
    </w:p>
    <w:p w:rsidR="006A7038" w:rsidRDefault="00821C68" w:rsidP="00BB34F0">
      <w:pPr>
        <w:numPr>
          <w:ilvl w:val="0"/>
          <w:numId w:val="44"/>
        </w:numPr>
        <w:spacing w:after="120"/>
        <w:rPr>
          <w:b/>
        </w:rPr>
      </w:pPr>
      <w:r w:rsidRPr="00821C68">
        <w:rPr>
          <w:b/>
        </w:rPr>
        <w:t>Massachusetts</w:t>
      </w:r>
      <w:r w:rsidRPr="00821C68">
        <w:rPr>
          <w:rFonts w:cs="Times New Roman"/>
          <w:b/>
        </w:rPr>
        <w:t>—</w:t>
      </w:r>
    </w:p>
    <w:p w:rsidR="006A7038" w:rsidRDefault="00935458" w:rsidP="00BB34F0">
      <w:pPr>
        <w:numPr>
          <w:ilvl w:val="1"/>
          <w:numId w:val="44"/>
        </w:numPr>
        <w:spacing w:after="120"/>
        <w:ind w:left="1080"/>
      </w:pPr>
      <w:r w:rsidRPr="00B5169D">
        <w:t>Honeywell International</w:t>
      </w:r>
      <w:r>
        <w:t xml:space="preserve"> was awarded</w:t>
      </w:r>
      <w:r w:rsidRPr="00B5169D">
        <w:t xml:space="preserve"> $11.4</w:t>
      </w:r>
      <w:r>
        <w:t xml:space="preserve"> million to p</w:t>
      </w:r>
      <w:r w:rsidRPr="00B5169D">
        <w:t>rovide automated peak</w:t>
      </w:r>
      <w:r w:rsidR="00DF0902">
        <w:t>-</w:t>
      </w:r>
      <w:r w:rsidRPr="00B5169D">
        <w:t>pricing respon</w:t>
      </w:r>
      <w:r>
        <w:t xml:space="preserve">se for almost 700 </w:t>
      </w:r>
      <w:r w:rsidR="004B5CD6">
        <w:t xml:space="preserve">commercial and </w:t>
      </w:r>
      <w:r w:rsidR="00BC7F25" w:rsidRPr="00BC7F25">
        <w:t>industrial (C&amp;I) customers</w:t>
      </w:r>
      <w:r>
        <w:t>.</w:t>
      </w:r>
    </w:p>
    <w:p w:rsidR="006A7038" w:rsidRDefault="00935458" w:rsidP="00BB34F0">
      <w:pPr>
        <w:numPr>
          <w:ilvl w:val="1"/>
          <w:numId w:val="44"/>
        </w:numPr>
        <w:spacing w:after="120"/>
        <w:ind w:left="1080"/>
      </w:pPr>
      <w:r w:rsidRPr="00B5169D">
        <w:t>NSTAR</w:t>
      </w:r>
      <w:r>
        <w:t xml:space="preserve"> was awarded </w:t>
      </w:r>
      <w:r w:rsidRPr="00B5169D">
        <w:t>$10.1</w:t>
      </w:r>
      <w:r>
        <w:t xml:space="preserve"> million to e</w:t>
      </w:r>
      <w:r w:rsidRPr="00B5169D">
        <w:t xml:space="preserve">xpand capabilities to </w:t>
      </w:r>
      <w:r w:rsidRPr="00A019BB">
        <w:t xml:space="preserve">allow for </w:t>
      </w:r>
      <w:r w:rsidR="00821C68" w:rsidRPr="00A019BB">
        <w:t>“self-healing”</w:t>
      </w:r>
      <w:r w:rsidRPr="00A019BB">
        <w:t xml:space="preserve"> to</w:t>
      </w:r>
      <w:r w:rsidRPr="00B5169D">
        <w:t xml:space="preserve"> reduce </w:t>
      </w:r>
      <w:r>
        <w:t xml:space="preserve">system </w:t>
      </w:r>
      <w:r w:rsidRPr="00B5169D">
        <w:t>outages</w:t>
      </w:r>
      <w:r>
        <w:t>.</w:t>
      </w:r>
    </w:p>
    <w:p w:rsidR="006A7038" w:rsidRDefault="00935458" w:rsidP="00BB34F0">
      <w:pPr>
        <w:numPr>
          <w:ilvl w:val="1"/>
          <w:numId w:val="44"/>
        </w:numPr>
        <w:spacing w:after="120"/>
        <w:ind w:left="1080"/>
      </w:pPr>
      <w:r>
        <w:t xml:space="preserve">The </w:t>
      </w:r>
      <w:r w:rsidRPr="00B5169D">
        <w:t>Town of Danvers</w:t>
      </w:r>
      <w:r>
        <w:t xml:space="preserve"> was awarded</w:t>
      </w:r>
      <w:r w:rsidRPr="00B5169D">
        <w:t xml:space="preserve"> $8.5</w:t>
      </w:r>
      <w:r>
        <w:t xml:space="preserve"> million to d</w:t>
      </w:r>
      <w:r w:rsidRPr="00B5169D">
        <w:t xml:space="preserve">eploy 12,000 smart meters, upgrade cybersecurity, </w:t>
      </w:r>
      <w:r>
        <w:t xml:space="preserve">and </w:t>
      </w:r>
      <w:r w:rsidRPr="00B5169D">
        <w:t>automate outage management</w:t>
      </w:r>
      <w:r>
        <w:t>.</w:t>
      </w:r>
    </w:p>
    <w:p w:rsidR="006A7038" w:rsidRDefault="00935458" w:rsidP="00BB34F0">
      <w:pPr>
        <w:numPr>
          <w:ilvl w:val="1"/>
          <w:numId w:val="44"/>
        </w:numPr>
        <w:spacing w:after="120"/>
        <w:ind w:left="1080"/>
      </w:pPr>
      <w:r w:rsidRPr="00B5169D">
        <w:t>Marblehead Municipal Light</w:t>
      </w:r>
      <w:r>
        <w:t xml:space="preserve"> was awarded</w:t>
      </w:r>
      <w:r w:rsidRPr="00B5169D">
        <w:t xml:space="preserve"> $1.3 </w:t>
      </w:r>
      <w:r>
        <w:t>million to i</w:t>
      </w:r>
      <w:r w:rsidRPr="00B5169D">
        <w:t xml:space="preserve">nstall 10,000 smart meters and </w:t>
      </w:r>
      <w:r>
        <w:t xml:space="preserve">develop a </w:t>
      </w:r>
      <w:r w:rsidRPr="00B5169D">
        <w:t xml:space="preserve">pilot </w:t>
      </w:r>
      <w:r>
        <w:t xml:space="preserve">program </w:t>
      </w:r>
      <w:r w:rsidRPr="00B5169D">
        <w:t>for real</w:t>
      </w:r>
      <w:r w:rsidR="003C52B5">
        <w:t>-</w:t>
      </w:r>
      <w:r w:rsidRPr="00B5169D">
        <w:t>time price and load management</w:t>
      </w:r>
      <w:r>
        <w:t>.</w:t>
      </w:r>
    </w:p>
    <w:p w:rsidR="006A7038" w:rsidRDefault="00935458" w:rsidP="00BB34F0">
      <w:pPr>
        <w:numPr>
          <w:ilvl w:val="1"/>
          <w:numId w:val="44"/>
        </w:numPr>
        <w:spacing w:after="120"/>
        <w:ind w:left="1080"/>
      </w:pPr>
      <w:r w:rsidRPr="00B5169D">
        <w:t>Vineyard Energy Project</w:t>
      </w:r>
      <w:r>
        <w:t xml:space="preserve"> was </w:t>
      </w:r>
      <w:r w:rsidRPr="004C2E46">
        <w:t xml:space="preserve">awarded </w:t>
      </w:r>
      <w:r w:rsidR="00F46CEB" w:rsidRPr="004C2E46">
        <w:t>$</w:t>
      </w:r>
      <w:r w:rsidR="004C2E46" w:rsidRPr="004C2E46">
        <w:t>0</w:t>
      </w:r>
      <w:r w:rsidR="00F46CEB" w:rsidRPr="004C2E46">
        <w:t>.8 million</w:t>
      </w:r>
      <w:r w:rsidRPr="004C2E46">
        <w:t xml:space="preserve"> to deploy</w:t>
      </w:r>
      <w:r>
        <w:t xml:space="preserve"> a range of technologies.</w:t>
      </w:r>
    </w:p>
    <w:p w:rsidR="006A7038" w:rsidRDefault="00821C68" w:rsidP="00BB34F0">
      <w:pPr>
        <w:numPr>
          <w:ilvl w:val="0"/>
          <w:numId w:val="44"/>
        </w:numPr>
        <w:spacing w:after="120"/>
      </w:pPr>
      <w:r w:rsidRPr="00821C68">
        <w:rPr>
          <w:b/>
        </w:rPr>
        <w:t>New Hampshire</w:t>
      </w:r>
      <w:r w:rsidRPr="00821C68">
        <w:rPr>
          <w:rFonts w:cs="Times New Roman"/>
          <w:b/>
        </w:rPr>
        <w:t>—</w:t>
      </w:r>
      <w:r w:rsidR="00935458" w:rsidRPr="00285D15">
        <w:t xml:space="preserve">The New </w:t>
      </w:r>
      <w:r w:rsidR="00935458">
        <w:t xml:space="preserve">Hampshire Electric Cooperative </w:t>
      </w:r>
      <w:r w:rsidR="00935458" w:rsidRPr="00285D15">
        <w:t>was awarded $15.8 million to install 75,000 smart meters that will u</w:t>
      </w:r>
      <w:r w:rsidR="003C52B5">
        <w:t>se</w:t>
      </w:r>
      <w:r w:rsidR="00935458" w:rsidRPr="00285D15">
        <w:t xml:space="preserve"> two-way communications </w:t>
      </w:r>
      <w:r w:rsidR="00935458">
        <w:t xml:space="preserve">to </w:t>
      </w:r>
      <w:r w:rsidR="00935458" w:rsidRPr="00285D15">
        <w:t>help reduce energy use.</w:t>
      </w:r>
    </w:p>
    <w:p w:rsidR="006A7038" w:rsidRDefault="00821C68" w:rsidP="00BB34F0">
      <w:pPr>
        <w:numPr>
          <w:ilvl w:val="0"/>
          <w:numId w:val="44"/>
        </w:numPr>
        <w:spacing w:after="360"/>
      </w:pPr>
      <w:r w:rsidRPr="00821C68">
        <w:rPr>
          <w:b/>
        </w:rPr>
        <w:t>Vermont</w:t>
      </w:r>
      <w:r w:rsidRPr="00821C68">
        <w:rPr>
          <w:rFonts w:cs="Times New Roman"/>
          <w:b/>
        </w:rPr>
        <w:t>—</w:t>
      </w:r>
      <w:r w:rsidR="00935458" w:rsidRPr="00EC35DD">
        <w:t>VELCO was awarded $6</w:t>
      </w:r>
      <w:r w:rsidR="00935458">
        <w:t>8.9</w:t>
      </w:r>
      <w:r w:rsidR="00935458" w:rsidRPr="00EC35DD">
        <w:t xml:space="preserve"> million to expand the deployment of smart meters from the current 28,000 to 300,000</w:t>
      </w:r>
      <w:r w:rsidR="00935458">
        <w:t>.</w:t>
      </w:r>
    </w:p>
    <w:p w:rsidR="001B3090" w:rsidRDefault="0098692F">
      <w:pPr>
        <w:pStyle w:val="Heading2"/>
      </w:pPr>
      <w:bookmarkStart w:id="871" w:name="_Toc271632346"/>
      <w:r w:rsidRPr="00EC35DD">
        <w:t>ISO Initiatives</w:t>
      </w:r>
      <w:bookmarkEnd w:id="871"/>
    </w:p>
    <w:p w:rsidR="0098692F" w:rsidRDefault="0098692F" w:rsidP="00F5492E">
      <w:r w:rsidRPr="000C24AF">
        <w:t>Each year, the ISO engages in numerous energy-related initiatives with regional stakeholders. Recent ISO i</w:t>
      </w:r>
      <w:r w:rsidR="00F5492E">
        <w:t xml:space="preserve">nitiatives are detailed below. </w:t>
      </w:r>
    </w:p>
    <w:p w:rsidR="00B462A6" w:rsidRDefault="008632D3">
      <w:pPr>
        <w:pStyle w:val="Heading3"/>
      </w:pPr>
      <w:bookmarkStart w:id="872" w:name="_Toc271632347"/>
      <w:r w:rsidRPr="00D61F47">
        <w:t>Project Cost Estimation and Controls Working Group</w:t>
      </w:r>
      <w:bookmarkEnd w:id="872"/>
    </w:p>
    <w:p w:rsidR="008632D3" w:rsidRPr="00EC35DD" w:rsidRDefault="008632D3" w:rsidP="00073277">
      <w:r w:rsidRPr="00EC35DD">
        <w:t xml:space="preserve">To address concerns about transmission project cost estimates and cost overruns, in late 2008, the ISO, NECPUC, and the region’s transmission owners established the Project Cost Estimation and Controls Working Group. The group was formed to develop recommendations leading to more consistent and transparent estimates for proposed transmission projects. </w:t>
      </w:r>
    </w:p>
    <w:p w:rsidR="000D5A65" w:rsidRDefault="008632D3" w:rsidP="00073277">
      <w:r w:rsidRPr="00EC35DD">
        <w:t xml:space="preserve">As a result of this stakeholder working group, </w:t>
      </w:r>
      <w:r w:rsidR="0057430C">
        <w:t>t</w:t>
      </w:r>
      <w:r w:rsidR="0057430C" w:rsidRPr="00EC35DD">
        <w:t xml:space="preserve">he </w:t>
      </w:r>
      <w:r w:rsidR="0057430C" w:rsidRPr="00A20A30">
        <w:rPr>
          <w:i/>
        </w:rPr>
        <w:t>Project Cost Estimating Guidelines</w:t>
      </w:r>
      <w:r w:rsidR="0057430C" w:rsidRPr="00EC35DD">
        <w:rPr>
          <w:i/>
          <w:iCs/>
        </w:rPr>
        <w:t xml:space="preserve"> </w:t>
      </w:r>
      <w:r w:rsidRPr="00EC35DD">
        <w:t>were established</w:t>
      </w:r>
      <w:r>
        <w:t xml:space="preserve"> and incorporated </w:t>
      </w:r>
      <w:r w:rsidR="0057430C">
        <w:t xml:space="preserve">as Attachment D into </w:t>
      </w:r>
      <w:r>
        <w:t>ISO</w:t>
      </w:r>
      <w:r w:rsidR="004151D2">
        <w:t xml:space="preserve"> </w:t>
      </w:r>
      <w:r w:rsidR="0057430C">
        <w:t>P</w:t>
      </w:r>
      <w:r>
        <w:t xml:space="preserve">lanning </w:t>
      </w:r>
      <w:r w:rsidR="0057430C">
        <w:t>P</w:t>
      </w:r>
      <w:r>
        <w:t>rocedure</w:t>
      </w:r>
      <w:r w:rsidR="0057430C">
        <w:t xml:space="preserve"> No. 4 (PP 4),</w:t>
      </w:r>
      <w:r w:rsidR="0057430C" w:rsidRPr="0057430C">
        <w:rPr>
          <w:i/>
        </w:rPr>
        <w:t xml:space="preserve"> </w:t>
      </w:r>
      <w:r w:rsidR="0057430C" w:rsidRPr="005D181F">
        <w:rPr>
          <w:i/>
        </w:rPr>
        <w:t>Procedure for Pool Supported PTF Cost Review</w:t>
      </w:r>
      <w:r w:rsidR="0057430C" w:rsidRPr="005D181F">
        <w:t>.</w:t>
      </w:r>
      <w:r w:rsidR="0057430C">
        <w:rPr>
          <w:rStyle w:val="FootnoteReference"/>
          <w:sz w:val="22"/>
        </w:rPr>
        <w:footnoteReference w:id="368"/>
      </w:r>
      <w:r w:rsidR="00335C0D">
        <w:t xml:space="preserve"> </w:t>
      </w:r>
      <w:r>
        <w:t>T</w:t>
      </w:r>
      <w:r w:rsidRPr="00EC35DD">
        <w:t xml:space="preserve">hese guidelines </w:t>
      </w:r>
      <w:r w:rsidR="000D5A65">
        <w:t>were developed for a number of reasons:</w:t>
      </w:r>
    </w:p>
    <w:p w:rsidR="00825060" w:rsidRDefault="000D5A65" w:rsidP="00BB34F0">
      <w:pPr>
        <w:numPr>
          <w:ilvl w:val="0"/>
          <w:numId w:val="45"/>
        </w:numPr>
        <w:spacing w:after="120"/>
      </w:pPr>
      <w:r>
        <w:t>P</w:t>
      </w:r>
      <w:r w:rsidR="008632D3" w:rsidRPr="00EC35DD">
        <w:t>rovide consistent cost engineering terms and definitions</w:t>
      </w:r>
    </w:p>
    <w:p w:rsidR="00825060" w:rsidRDefault="000D5A65" w:rsidP="00BB34F0">
      <w:pPr>
        <w:numPr>
          <w:ilvl w:val="0"/>
          <w:numId w:val="45"/>
        </w:numPr>
        <w:spacing w:after="120"/>
      </w:pPr>
      <w:r>
        <w:t xml:space="preserve">Provide </w:t>
      </w:r>
      <w:r w:rsidR="008632D3" w:rsidRPr="00EC35DD">
        <w:t>a standardized approach to cost estimating in the region</w:t>
      </w:r>
    </w:p>
    <w:p w:rsidR="00825060" w:rsidRDefault="000D5A65" w:rsidP="00BB34F0">
      <w:pPr>
        <w:numPr>
          <w:ilvl w:val="0"/>
          <w:numId w:val="45"/>
        </w:numPr>
        <w:spacing w:after="120"/>
      </w:pPr>
      <w:r>
        <w:t>I</w:t>
      </w:r>
      <w:r w:rsidR="008632D3" w:rsidRPr="00EC35DD">
        <w:t xml:space="preserve">mprove the ability </w:t>
      </w:r>
      <w:r w:rsidR="00CD3318">
        <w:t xml:space="preserve">of </w:t>
      </w:r>
      <w:r>
        <w:t xml:space="preserve">the region’s </w:t>
      </w:r>
      <w:r w:rsidR="008632D3" w:rsidRPr="00EC35DD">
        <w:t>transmission owners to provide common estimates</w:t>
      </w:r>
    </w:p>
    <w:p w:rsidR="00825060" w:rsidRDefault="000D5A65" w:rsidP="00BB34F0">
      <w:pPr>
        <w:numPr>
          <w:ilvl w:val="0"/>
          <w:numId w:val="45"/>
        </w:numPr>
        <w:spacing w:after="120"/>
      </w:pPr>
      <w:r>
        <w:t>I</w:t>
      </w:r>
      <w:r w:rsidR="008632D3" w:rsidRPr="004F16DF">
        <w:t>ncrease project cost transparency</w:t>
      </w:r>
    </w:p>
    <w:p w:rsidR="00825060" w:rsidRDefault="000D5A65" w:rsidP="00BB34F0">
      <w:pPr>
        <w:numPr>
          <w:ilvl w:val="0"/>
          <w:numId w:val="45"/>
        </w:numPr>
      </w:pPr>
      <w:r>
        <w:t>P</w:t>
      </w:r>
      <w:r w:rsidR="008632D3" w:rsidRPr="00EC35DD">
        <w:t xml:space="preserve">rovide regular information about the transmission investments made in the region and their impact </w:t>
      </w:r>
      <w:r w:rsidR="00335C0D">
        <w:t>on</w:t>
      </w:r>
      <w:r w:rsidR="008632D3" w:rsidRPr="00EC35DD">
        <w:t xml:space="preserve"> rates</w:t>
      </w:r>
    </w:p>
    <w:p w:rsidR="008632D3" w:rsidRPr="00F5492E" w:rsidRDefault="00832C7A" w:rsidP="00073277">
      <w:r>
        <w:rPr>
          <w:noProof/>
        </w:rPr>
        <w:pict>
          <v:shape id="_x0000_s1047" type="#_x0000_t202" style="position:absolute;margin-left:1822.35pt;margin-top:99.6pt;width:191.85pt;height:171.3pt;z-index:251755520;mso-wrap-distance-top:7.2pt;mso-wrap-distance-bottom:7.2pt;mso-position-horizontal:right;mso-position-horizontal-relative:margin;mso-position-vertical-relative:margin;mso-width-relative:margin;mso-height-relative:margin;v-text-anchor:middle" fillcolor="#ebe8e6 [665]" strokecolor="black [3213]" strokeweight=".25pt">
            <v:fill color2="#ebe8e6 [665]"/>
            <v:shadow type="perspective" color="#4e473f [1609]" opacity=".5" offset="1pt" offset2="-3pt"/>
            <v:textbox style="mso-next-textbox:#_x0000_s1047" inset="8.64pt,8.64pt,8.64pt,8.64pt">
              <w:txbxContent>
                <w:p w:rsidR="003C78A4" w:rsidRDefault="003C78A4" w:rsidP="007E0F8B">
                  <w:pPr>
                    <w:pStyle w:val="BodyText1"/>
                  </w:pPr>
                  <w:r w:rsidRPr="007B7547" w:rsidDel="00CD3318">
                    <w:t xml:space="preserve"> </w:t>
                  </w:r>
                  <w:r w:rsidRPr="007B7547">
                    <w:t>“The RSP shall, among other things . . . (iii) specify the physical characteristics of the physical solutions that can meet the needs defined in the Needs Assessments and include information on market responses that can address them; (iv) provide sufficient information to allow Market Participants to assess the quantity, general locations, operating characteristics and required availability criteria of the type of incremental supply or demand-side resources, or merchant transmission projects, that would satisfy the identified needs or that may serve to modify, offset or defer proposed regulated transmission upgrades.” (Attachment</w:t>
                  </w:r>
                  <w:r>
                    <w:t> </w:t>
                  </w:r>
                  <w:r w:rsidRPr="007B7547">
                    <w:t>K, §</w:t>
                  </w:r>
                  <w:r>
                    <w:t xml:space="preserve"> </w:t>
                  </w:r>
                  <w:r w:rsidRPr="007B7547">
                    <w:t>3.1)</w:t>
                  </w:r>
                </w:p>
                <w:p w:rsidR="003C78A4" w:rsidRPr="007E0F8B" w:rsidRDefault="003C78A4" w:rsidP="007E0F8B">
                  <w:pPr>
                    <w:rPr>
                      <w:szCs w:val="14"/>
                    </w:rPr>
                  </w:pPr>
                </w:p>
              </w:txbxContent>
            </v:textbox>
            <w10:wrap type="square" anchorx="margin" anchory="margin"/>
          </v:shape>
        </w:pict>
      </w:r>
      <w:r w:rsidR="008632D3" w:rsidRPr="00EC35DD">
        <w:t>A workshop was held in January 2010</w:t>
      </w:r>
      <w:r w:rsidR="000D5A65">
        <w:t>,</w:t>
      </w:r>
      <w:r w:rsidR="008632D3" w:rsidRPr="00EC35DD">
        <w:t xml:space="preserve"> further instructing transmission owners on how to use the templates </w:t>
      </w:r>
      <w:r w:rsidR="004151D2">
        <w:t xml:space="preserve">included in the guidelines </w:t>
      </w:r>
      <w:r w:rsidR="008632D3" w:rsidRPr="00EC35DD">
        <w:t xml:space="preserve">and </w:t>
      </w:r>
      <w:r w:rsidR="008632D3">
        <w:t xml:space="preserve">suggesting ways to </w:t>
      </w:r>
      <w:r w:rsidR="008632D3" w:rsidRPr="00EC35DD">
        <w:t>report</w:t>
      </w:r>
      <w:r w:rsidR="008632D3">
        <w:t xml:space="preserve"> </w:t>
      </w:r>
      <w:r w:rsidR="008632D3" w:rsidRPr="00EC35DD">
        <w:t xml:space="preserve">their costs </w:t>
      </w:r>
      <w:r w:rsidR="00924DD3">
        <w:t xml:space="preserve">periodically </w:t>
      </w:r>
      <w:r w:rsidR="008632D3" w:rsidRPr="00EC35DD">
        <w:t xml:space="preserve">as </w:t>
      </w:r>
      <w:r w:rsidR="008632D3">
        <w:t>a</w:t>
      </w:r>
      <w:r w:rsidR="008632D3" w:rsidRPr="00EC35DD">
        <w:t xml:space="preserve"> project moves through </w:t>
      </w:r>
      <w:r w:rsidR="008632D3" w:rsidRPr="00F5492E">
        <w:t xml:space="preserve">its lifecycle. </w:t>
      </w:r>
    </w:p>
    <w:p w:rsidR="002878A4" w:rsidRDefault="008632D3">
      <w:r w:rsidRPr="00F5492E">
        <w:t xml:space="preserve">Further revisions to the </w:t>
      </w:r>
      <w:r w:rsidR="00A20A30" w:rsidRPr="00F5492E">
        <w:t>g</w:t>
      </w:r>
      <w:r w:rsidRPr="00F5492E">
        <w:t xml:space="preserve">uidelines and PP 4 were implemented in 2010 to provide greater consistency </w:t>
      </w:r>
      <w:r w:rsidR="00821C68" w:rsidRPr="00F5492E">
        <w:t>among</w:t>
      </w:r>
      <w:r w:rsidR="009639B0" w:rsidRPr="00F5492E">
        <w:t xml:space="preserve"> </w:t>
      </w:r>
      <w:r w:rsidRPr="00F5492E">
        <w:t xml:space="preserve">transmission owners and </w:t>
      </w:r>
      <w:r w:rsidR="004151D2" w:rsidRPr="00F5492E">
        <w:t xml:space="preserve">to </w:t>
      </w:r>
      <w:r w:rsidRPr="00F5492E">
        <w:t xml:space="preserve">improve cost reporting. The costs of large, complex projects using the </w:t>
      </w:r>
      <w:r w:rsidR="0057430C" w:rsidRPr="00F5492E">
        <w:t>g</w:t>
      </w:r>
      <w:r w:rsidRPr="00F5492E">
        <w:t xml:space="preserve">uideline templates have been discussed and reviewed at </w:t>
      </w:r>
      <w:r w:rsidR="00890457">
        <w:t xml:space="preserve">several </w:t>
      </w:r>
      <w:r w:rsidRPr="00F5492E">
        <w:t>PAC meeting</w:t>
      </w:r>
      <w:r w:rsidR="00F12ED4">
        <w:t>s</w:t>
      </w:r>
      <w:r w:rsidRPr="00F5492E">
        <w:t xml:space="preserve"> in 2010. To date, all transmission owners have used these templates to report to the PAC on the costs associated with nine projects.</w:t>
      </w:r>
      <w:r w:rsidRPr="000C24AF">
        <w:t xml:space="preserve"> </w:t>
      </w:r>
    </w:p>
    <w:p w:rsidR="00B462A6" w:rsidRDefault="008632D3">
      <w:pPr>
        <w:pStyle w:val="Heading3"/>
      </w:pPr>
      <w:bookmarkStart w:id="873" w:name="_Ref269997694"/>
      <w:bookmarkStart w:id="874" w:name="_Toc271632348"/>
      <w:r w:rsidRPr="00D61F47">
        <w:t>RSP Planning Process Updates</w:t>
      </w:r>
      <w:bookmarkEnd w:id="873"/>
      <w:bookmarkEnd w:id="874"/>
    </w:p>
    <w:p w:rsidR="00EC29E4" w:rsidRDefault="008632D3">
      <w:pPr>
        <w:keepNext/>
        <w:keepLines/>
      </w:pPr>
      <w:r w:rsidRPr="000C24AF">
        <w:t xml:space="preserve">The ISO and stakeholders discussed the regional planning process at the March 8, 2010, PAC meeting. While generally satisfied with the current planning process, stakeholders provided many comments. One suggestion </w:t>
      </w:r>
      <w:r>
        <w:t xml:space="preserve">was for the ISO to consider state energy-efficiency program goals </w:t>
      </w:r>
      <w:r w:rsidR="00954EC9">
        <w:t xml:space="preserve">more fully </w:t>
      </w:r>
      <w:r>
        <w:t>when identifying long-term resource adequacy and transmission system needs.</w:t>
      </w:r>
      <w:r w:rsidR="00C44B31">
        <w:t xml:space="preserve"> </w:t>
      </w:r>
      <w:r>
        <w:t xml:space="preserve">Another suggestion was </w:t>
      </w:r>
      <w:r w:rsidR="007B7547" w:rsidRPr="007B7547">
        <w:t xml:space="preserve">to </w:t>
      </w:r>
      <w:r w:rsidR="00C44B31">
        <w:t xml:space="preserve">provide additional information on </w:t>
      </w:r>
      <w:r w:rsidR="007B7547" w:rsidRPr="007B7547">
        <w:t>nontransmission alternatives (NTAs)</w:t>
      </w:r>
      <w:r w:rsidR="00C44B31">
        <w:t xml:space="preserve"> as a </w:t>
      </w:r>
      <w:r w:rsidR="007B7547" w:rsidRPr="007B7547">
        <w:t>supplement to Needs Assessments, which currently provide critical load levels.</w:t>
      </w:r>
    </w:p>
    <w:p w:rsidR="00BF0C31" w:rsidRPr="00C323B0" w:rsidRDefault="00C44B31" w:rsidP="00073277">
      <w:r w:rsidRPr="00E7467F">
        <w:t>St</w:t>
      </w:r>
      <w:r>
        <w:t xml:space="preserve">akeholders </w:t>
      </w:r>
      <w:r w:rsidR="00E21016">
        <w:t xml:space="preserve">also </w:t>
      </w:r>
      <w:r>
        <w:t xml:space="preserve">have requested an examination of the continued degradation of the regional load factor. The possible retirement of </w:t>
      </w:r>
      <w:r w:rsidR="004D3039">
        <w:t>aging</w:t>
      </w:r>
      <w:r>
        <w:t>, environmentally challenged generating units is another factor some stakeholders wish to be considered as part of the transmission planning process. These issues and changes in processes will be discussed with the PAC and other stakeholder groups as required.</w:t>
      </w:r>
    </w:p>
    <w:p w:rsidR="002D4F17" w:rsidRDefault="008632D3" w:rsidP="002A6A04">
      <w:pPr>
        <w:rPr>
          <w:rFonts w:ascii="Arial" w:hAnsi="Arial" w:cs="Arial"/>
          <w:sz w:val="16"/>
          <w:szCs w:val="16"/>
        </w:rPr>
      </w:pPr>
      <w:r w:rsidRPr="00EC35DD">
        <w:t>In early 2009, the ISO set up an informal working group, the Regional Energy</w:t>
      </w:r>
      <w:r>
        <w:t>-</w:t>
      </w:r>
      <w:r w:rsidRPr="00EC35DD">
        <w:t>Efficiency Initiative (REEI), to collect information about state and utility energy-efficiency programs and initiatives</w:t>
      </w:r>
      <w:r>
        <w:t>,</w:t>
      </w:r>
      <w:r w:rsidRPr="00EC35DD">
        <w:t xml:space="preserve"> to improve its understanding of the long-run impact of energy-efficiency programs</w:t>
      </w:r>
      <w:r>
        <w:t>,</w:t>
      </w:r>
      <w:r w:rsidRPr="00EC35DD">
        <w:t xml:space="preserve"> and </w:t>
      </w:r>
      <w:r>
        <w:t xml:space="preserve">to </w:t>
      </w:r>
      <w:r w:rsidRPr="00EC35DD">
        <w:t xml:space="preserve">develop the most complete data set possible to serve as a resource for future analysis. In general, the states are eager to have </w:t>
      </w:r>
      <w:r>
        <w:t xml:space="preserve">the ISO’s planning process more fully reflect </w:t>
      </w:r>
      <w:r w:rsidRPr="00EC35DD">
        <w:t xml:space="preserve">their investments in energy-efficiency </w:t>
      </w:r>
      <w:r w:rsidRPr="006D50A4">
        <w:t>programs (</w:t>
      </w:r>
      <w:r w:rsidR="00E13B8A">
        <w:t>s</w:t>
      </w:r>
      <w:r w:rsidRPr="006D50A4">
        <w:t xml:space="preserve">ee </w:t>
      </w:r>
      <w:r w:rsidR="009639B0">
        <w:t xml:space="preserve">Section </w:t>
      </w:r>
      <w:r w:rsidR="00832C7A">
        <w:fldChar w:fldCharType="begin"/>
      </w:r>
      <w:r w:rsidR="009639B0">
        <w:instrText xml:space="preserve"> REF _Ref266634269 \r \h </w:instrText>
      </w:r>
      <w:r w:rsidR="00832C7A">
        <w:fldChar w:fldCharType="separate"/>
      </w:r>
      <w:r w:rsidR="00E5699E">
        <w:t>8.4</w:t>
      </w:r>
      <w:r w:rsidR="00832C7A">
        <w:fldChar w:fldCharType="end"/>
      </w:r>
      <w:r w:rsidRPr="006D50A4">
        <w:t>)</w:t>
      </w:r>
      <w:r w:rsidR="00E84B2C">
        <w:t xml:space="preserve">. </w:t>
      </w:r>
    </w:p>
    <w:p w:rsidR="008632D3" w:rsidRDefault="008632D3" w:rsidP="00073277">
      <w:r>
        <w:t>Because Needs Assessments must comply with reliability requirements, the ISO and its stakeholders must understand several technical issues before fully considering the state energy</w:t>
      </w:r>
      <w:r w:rsidR="004151D2">
        <w:t>-</w:t>
      </w:r>
      <w:r>
        <w:t>efficiency goals as inputs to the planning process</w:t>
      </w:r>
      <w:r w:rsidR="004151D2">
        <w:t>, most notably, the process for establishing and modifying the load forecast</w:t>
      </w:r>
      <w:r>
        <w:t xml:space="preserve">. Three of these issues are the realization rate, which is the percentage of actual savings achieved compared with the planned savings; the elimination of the double accounting of energy-efficiency savings with FCM resources; and the expected future success rates of the programs. </w:t>
      </w:r>
      <w:r w:rsidR="007B7547" w:rsidRPr="007B7547">
        <w:t>Plans call for the ISO convening the PAC to</w:t>
      </w:r>
      <w:r>
        <w:t xml:space="preserve"> discuss these and other issues. </w:t>
      </w:r>
      <w:r w:rsidR="003E26FC">
        <w:t>On the basis of this discussion and related analysis, t</w:t>
      </w:r>
      <w:r>
        <w:t xml:space="preserve">he ISO </w:t>
      </w:r>
      <w:r w:rsidR="00696828">
        <w:t xml:space="preserve">and regional stakeholders </w:t>
      </w:r>
      <w:r>
        <w:t>will then determin</w:t>
      </w:r>
      <w:r w:rsidR="00696828">
        <w:t>e</w:t>
      </w:r>
      <w:r>
        <w:t xml:space="preserve"> how the state energy-efficiency programs may serve as input</w:t>
      </w:r>
      <w:r w:rsidR="00BD7F1E">
        <w:t>s</w:t>
      </w:r>
      <w:r>
        <w:t xml:space="preserve"> </w:t>
      </w:r>
      <w:r w:rsidR="00BD7F1E">
        <w:t>in</w:t>
      </w:r>
      <w:r>
        <w:t xml:space="preserve">to the planning process. </w:t>
      </w:r>
    </w:p>
    <w:p w:rsidR="00A148E1" w:rsidRDefault="008632D3" w:rsidP="008970CB">
      <w:r>
        <w:t xml:space="preserve">RSP10 provides considerable information on </w:t>
      </w:r>
      <w:r w:rsidR="00894C7A">
        <w:t xml:space="preserve">NTAs </w:t>
      </w:r>
      <w:r w:rsidR="007B7547" w:rsidRPr="007B7547">
        <w:t>that can meet</w:t>
      </w:r>
      <w:r>
        <w:t xml:space="preserve"> system needs. This includes general quantities and locations for meeting resource adequacy and operating reserve requirements (see Sections</w:t>
      </w:r>
      <w:r w:rsidR="00D53238">
        <w:t> </w:t>
      </w:r>
      <w:r>
        <w:t xml:space="preserve">4 and 5). In addition, RSP provides information on fuel diversity and environmental issues as well as those associated with planning new technologies (Sections 7, 8, and 9). The RSP also summarizes how the need for major transmission improvements would change for various </w:t>
      </w:r>
      <w:r w:rsidR="007B7547" w:rsidRPr="007B7547">
        <w:t>changes in supply and demand resource</w:t>
      </w:r>
      <w:r>
        <w:t xml:space="preserve"> expansions and retirements, including the redevelopment of </w:t>
      </w:r>
      <w:r w:rsidR="009639B0">
        <w:t>“</w:t>
      </w:r>
      <w:r>
        <w:t>brownfield</w:t>
      </w:r>
      <w:r w:rsidR="009639B0">
        <w:t>”</w:t>
      </w:r>
      <w:r>
        <w:t xml:space="preserve"> sites</w:t>
      </w:r>
      <w:r w:rsidR="009639B0">
        <w:t xml:space="preserve"> </w:t>
      </w:r>
      <w:r w:rsidR="003174D8" w:rsidRPr="003174D8">
        <w:t>(</w:t>
      </w:r>
      <w:r w:rsidR="00832C7A">
        <w:fldChar w:fldCharType="begin"/>
      </w:r>
      <w:r w:rsidR="006433B9">
        <w:instrText xml:space="preserve"> REF _Ref234901949 \r \h </w:instrText>
      </w:r>
      <w:r w:rsidR="00832C7A">
        <w:fldChar w:fldCharType="separate"/>
      </w:r>
      <w:r w:rsidR="00E5699E">
        <w:t>Section 10</w:t>
      </w:r>
      <w:r w:rsidR="00832C7A">
        <w:fldChar w:fldCharType="end"/>
      </w:r>
      <w:r w:rsidR="003174D8" w:rsidRPr="003174D8">
        <w:t>).</w:t>
      </w:r>
      <w:r w:rsidR="003174D8">
        <w:rPr>
          <w:rStyle w:val="FootnoteReference"/>
        </w:rPr>
        <w:footnoteReference w:id="369"/>
      </w:r>
      <w:r w:rsidR="003174D8" w:rsidRPr="003174D8">
        <w:t xml:space="preserve"> Finally</w:t>
      </w:r>
      <w:r>
        <w:t>, RSP discusses transmission system needs, ranging from those of relatively small load pockets through the interregional system</w:t>
      </w:r>
      <w:r w:rsidR="003174D8" w:rsidRPr="003174D8">
        <w:t xml:space="preserve"> (</w:t>
      </w:r>
      <w:r w:rsidR="00832C7A">
        <w:fldChar w:fldCharType="begin"/>
      </w:r>
      <w:r w:rsidR="00451BBB">
        <w:instrText xml:space="preserve"> REF _Ref262118292 \r \h </w:instrText>
      </w:r>
      <w:r w:rsidR="00832C7A">
        <w:fldChar w:fldCharType="separate"/>
      </w:r>
      <w:r w:rsidR="00E5699E">
        <w:t>Section 6</w:t>
      </w:r>
      <w:r w:rsidR="00832C7A">
        <w:fldChar w:fldCharType="end"/>
      </w:r>
      <w:r w:rsidR="003174D8" w:rsidRPr="003174D8">
        <w:t xml:space="preserve"> and </w:t>
      </w:r>
      <w:r w:rsidR="00832C7A">
        <w:fldChar w:fldCharType="begin"/>
      </w:r>
      <w:r w:rsidR="00451BBB">
        <w:instrText xml:space="preserve"> REF _Ref267384688 \r \h </w:instrText>
      </w:r>
      <w:r w:rsidR="00832C7A">
        <w:fldChar w:fldCharType="separate"/>
      </w:r>
      <w:r w:rsidR="00E5699E">
        <w:t>Section 11</w:t>
      </w:r>
      <w:r w:rsidR="00832C7A">
        <w:fldChar w:fldCharType="end"/>
      </w:r>
      <w:r w:rsidR="003174D8" w:rsidRPr="003174D8">
        <w:t>)</w:t>
      </w:r>
      <w:r w:rsidR="00E13B8A">
        <w:t>.</w:t>
      </w:r>
      <w:r w:rsidR="003174D8" w:rsidRPr="003174D8">
        <w:t xml:space="preserve"> In</w:t>
      </w:r>
      <w:r>
        <w:t xml:space="preserve"> accordance with ISO procedures for administering FCM and transmission planning studies, RSP10 gives full consideration to</w:t>
      </w:r>
      <w:r w:rsidRPr="008C2232">
        <w:t xml:space="preserve"> </w:t>
      </w:r>
      <w:r>
        <w:t xml:space="preserve">resources with state contracts, such as those participating in state </w:t>
      </w:r>
      <w:r w:rsidR="00696828">
        <w:t>RFP</w:t>
      </w:r>
      <w:r>
        <w:t xml:space="preserve"> processes. </w:t>
      </w:r>
    </w:p>
    <w:p w:rsidR="008970CB" w:rsidRPr="00A148E1" w:rsidRDefault="007B7547" w:rsidP="008970CB">
      <w:pPr>
        <w:rPr>
          <w:color w:val="000000" w:themeColor="text1"/>
        </w:rPr>
      </w:pPr>
      <w:r w:rsidRPr="007B7547">
        <w:t>With due consideration of Critical Energy Infrastructure Information and Information Policy restrictions, power system planning professionals</w:t>
      </w:r>
      <w:r w:rsidR="0035184C">
        <w:t xml:space="preserve"> </w:t>
      </w:r>
      <w:r w:rsidRPr="007B7547">
        <w:t xml:space="preserve">currently can use detailed information posted in reports and obtain technical databases for conducting their own analyses. This information </w:t>
      </w:r>
      <w:r w:rsidR="00A148E1">
        <w:t xml:space="preserve">includes critical load levels, key contingencies, and their system response. While this information </w:t>
      </w:r>
      <w:r w:rsidRPr="007B7547">
        <w:t xml:space="preserve">assists market participants and the states </w:t>
      </w:r>
      <w:r w:rsidR="00640666">
        <w:t xml:space="preserve">in </w:t>
      </w:r>
      <w:r w:rsidRPr="007B7547">
        <w:t>develop</w:t>
      </w:r>
      <w:r w:rsidR="00640666">
        <w:t xml:space="preserve">ing </w:t>
      </w:r>
      <w:r w:rsidRPr="007B7547">
        <w:t>nontransmission alternatives</w:t>
      </w:r>
      <w:r w:rsidR="00A148E1">
        <w:t xml:space="preserve">, </w:t>
      </w:r>
      <w:r w:rsidR="00640666">
        <w:t>i</w:t>
      </w:r>
      <w:r w:rsidRPr="007B7547">
        <w:rPr>
          <w:color w:val="000000" w:themeColor="text1"/>
        </w:rPr>
        <w:t>t is the ISO’s goal to include additional information on NTAs in future RSPs</w:t>
      </w:r>
      <w:r w:rsidR="00640666">
        <w:rPr>
          <w:color w:val="000000" w:themeColor="text1"/>
        </w:rPr>
        <w:t xml:space="preserve"> that can </w:t>
      </w:r>
      <w:r w:rsidRPr="007B7547">
        <w:rPr>
          <w:color w:val="000000" w:themeColor="text1"/>
        </w:rPr>
        <w:t>be more readily understood by nonte</w:t>
      </w:r>
      <w:r w:rsidR="00640666">
        <w:rPr>
          <w:color w:val="000000" w:themeColor="text1"/>
        </w:rPr>
        <w:t>chnical audiences</w:t>
      </w:r>
      <w:r w:rsidRPr="007B7547">
        <w:rPr>
          <w:color w:val="000000" w:themeColor="text1"/>
        </w:rPr>
        <w:t>.</w:t>
      </w:r>
    </w:p>
    <w:p w:rsidR="008632D3" w:rsidRPr="00C6322D" w:rsidRDefault="008632D3" w:rsidP="00073277">
      <w:r>
        <w:t xml:space="preserve">Although the existing planning process has served the region well, the ISO will examine ways </w:t>
      </w:r>
      <w:r w:rsidR="002E38AB">
        <w:t xml:space="preserve">to </w:t>
      </w:r>
      <w:r>
        <w:t>improve</w:t>
      </w:r>
      <w:r w:rsidR="002E38AB">
        <w:t xml:space="preserve"> the process </w:t>
      </w:r>
      <w:r w:rsidR="009639B0">
        <w:t xml:space="preserve">and </w:t>
      </w:r>
      <w:r>
        <w:t xml:space="preserve">provide additional information to stakeholders. Detailed </w:t>
      </w:r>
      <w:r w:rsidR="00696828">
        <w:t xml:space="preserve">system </w:t>
      </w:r>
      <w:r>
        <w:t>analyses</w:t>
      </w:r>
      <w:r w:rsidR="009639B0">
        <w:t>,</w:t>
      </w:r>
      <w:r>
        <w:t xml:space="preserve"> showing the amounts and locations of hypothetical resources</w:t>
      </w:r>
      <w:r w:rsidR="009639B0">
        <w:t xml:space="preserve"> that </w:t>
      </w:r>
      <w:r>
        <w:t>would reli</w:t>
      </w:r>
      <w:r w:rsidR="00696828">
        <w:t>e</w:t>
      </w:r>
      <w:r>
        <w:t>ve transmission constraints</w:t>
      </w:r>
      <w:r w:rsidR="00696828">
        <w:t>, and the identification of critical load levels have been identified as useful information</w:t>
      </w:r>
      <w:r>
        <w:t xml:space="preserve">. Plans call for holding discussions with the PAC as the best means of deciding which information would be of greatest use to </w:t>
      </w:r>
      <w:r w:rsidRPr="00016EBE">
        <w:t xml:space="preserve">stakeholders. Stakeholder requests for process changes necessitating modifications to the OATT could only be </w:t>
      </w:r>
      <w:r w:rsidRPr="00C6322D">
        <w:t>considered through the usual stakeholder processes and approvals that are outside the PAC’s responsibilities</w:t>
      </w:r>
      <w:r w:rsidR="00662103" w:rsidRPr="00C6322D">
        <w:t>.</w:t>
      </w:r>
    </w:p>
    <w:p w:rsidR="001B3090" w:rsidRDefault="00AA4D61">
      <w:pPr>
        <w:pStyle w:val="Heading2"/>
        <w:rPr>
          <w:color w:val="FF0000"/>
        </w:rPr>
      </w:pPr>
      <w:bookmarkStart w:id="875" w:name="_Toc271632349"/>
      <w:r w:rsidRPr="00C6322D">
        <w:t>Federal Initiatives</w:t>
      </w:r>
      <w:bookmarkEnd w:id="875"/>
    </w:p>
    <w:p w:rsidR="00AA4D61" w:rsidRPr="000B7404" w:rsidRDefault="00821C68" w:rsidP="00AA4D61">
      <w:pPr>
        <w:spacing w:line="240" w:lineRule="auto"/>
        <w:rPr>
          <w:rFonts w:ascii="Calibri" w:eastAsia="Times New Roman" w:hAnsi="Calibri" w:cs="Times New Roman"/>
        </w:rPr>
      </w:pPr>
      <w:r w:rsidRPr="00C6322D">
        <w:rPr>
          <w:rFonts w:eastAsia="Times New Roman" w:cs="Times New Roman"/>
        </w:rPr>
        <w:t xml:space="preserve">On June 17, 2010, FERC </w:t>
      </w:r>
      <w:r w:rsidR="002B4E0A" w:rsidRPr="00C6322D">
        <w:rPr>
          <w:rFonts w:eastAsia="Times New Roman" w:cs="Times New Roman"/>
        </w:rPr>
        <w:t xml:space="preserve">issued a Notice of Proposed Rulemaking (NOPR) </w:t>
      </w:r>
      <w:r w:rsidRPr="00C6322D">
        <w:rPr>
          <w:rFonts w:eastAsia="Times New Roman" w:cs="Times New Roman"/>
        </w:rPr>
        <w:t>propos</w:t>
      </w:r>
      <w:r w:rsidR="002B4E0A" w:rsidRPr="00C6322D">
        <w:rPr>
          <w:rFonts w:eastAsia="Times New Roman" w:cs="Times New Roman"/>
        </w:rPr>
        <w:t xml:space="preserve">ing </w:t>
      </w:r>
      <w:r w:rsidRPr="00C6322D">
        <w:rPr>
          <w:rFonts w:eastAsia="Times New Roman" w:cs="Times New Roman"/>
        </w:rPr>
        <w:t>to build on its Order N</w:t>
      </w:r>
      <w:r w:rsidRPr="00821C68">
        <w:rPr>
          <w:rFonts w:eastAsia="Times New Roman" w:cs="Times New Roman"/>
        </w:rPr>
        <w:t xml:space="preserve">o. 890 open-access transmission reforms </w:t>
      </w:r>
      <w:r w:rsidR="002B4E0A">
        <w:rPr>
          <w:rFonts w:eastAsia="Times New Roman" w:cs="Times New Roman"/>
        </w:rPr>
        <w:t xml:space="preserve">to create </w:t>
      </w:r>
      <w:r w:rsidRPr="00821C68">
        <w:rPr>
          <w:rFonts w:eastAsia="Times New Roman" w:cs="Times New Roman"/>
        </w:rPr>
        <w:t>a closer link between regional electricity transmission planning processes and cost allocation</w:t>
      </w:r>
      <w:r w:rsidR="002B4E0A">
        <w:rPr>
          <w:rFonts w:eastAsia="Times New Roman" w:cs="Times New Roman"/>
        </w:rPr>
        <w:t xml:space="preserve"> to </w:t>
      </w:r>
      <w:r w:rsidRPr="00821C68">
        <w:rPr>
          <w:rFonts w:eastAsia="Times New Roman" w:cs="Times New Roman"/>
        </w:rPr>
        <w:t>help ensure that needed transmission facilities actually are built.</w:t>
      </w:r>
      <w:r w:rsidRPr="00821C68">
        <w:rPr>
          <w:rStyle w:val="FootnoteReference"/>
          <w:rFonts w:eastAsia="Times New Roman"/>
          <w:sz w:val="22"/>
        </w:rPr>
        <w:footnoteReference w:id="370"/>
      </w:r>
      <w:r w:rsidRPr="00821C68">
        <w:rPr>
          <w:rFonts w:eastAsia="Times New Roman" w:cs="Times New Roman"/>
        </w:rPr>
        <w:t xml:space="preserve"> </w:t>
      </w:r>
      <w:r w:rsidRPr="00821C68">
        <w:rPr>
          <w:rFonts w:eastAsia="Times New Roman" w:cs="Times New Roman"/>
        </w:rPr>
        <w:br/>
      </w:r>
      <w:r w:rsidR="00BD5091" w:rsidRPr="00BD5091">
        <w:rPr>
          <w:rFonts w:eastAsia="Times New Roman" w:cs="Times New Roman"/>
        </w:rPr>
        <w:br/>
      </w:r>
      <w:r w:rsidR="00590D77">
        <w:rPr>
          <w:rFonts w:eastAsia="Times New Roman" w:cs="Times New Roman"/>
        </w:rPr>
        <w:t>According to FERC, t</w:t>
      </w:r>
      <w:r w:rsidR="00BD5091" w:rsidRPr="00BD5091">
        <w:rPr>
          <w:rFonts w:eastAsia="Times New Roman" w:cs="Times New Roman"/>
        </w:rPr>
        <w:t xml:space="preserve">he NOPR is based on three years of monitoring the implementation of </w:t>
      </w:r>
      <w:r w:rsidR="00A019BB" w:rsidRPr="00BD5091">
        <w:rPr>
          <w:rFonts w:eastAsia="Times New Roman" w:cs="Times New Roman"/>
        </w:rPr>
        <w:t>Order</w:t>
      </w:r>
      <w:r w:rsidR="00A019BB">
        <w:rPr>
          <w:rFonts w:eastAsia="Times New Roman" w:cs="Times New Roman"/>
        </w:rPr>
        <w:t> </w:t>
      </w:r>
      <w:r w:rsidR="00BD5091" w:rsidRPr="00BD5091">
        <w:rPr>
          <w:rFonts w:eastAsia="Times New Roman" w:cs="Times New Roman"/>
        </w:rPr>
        <w:t>No</w:t>
      </w:r>
      <w:r w:rsidR="00A019BB" w:rsidRPr="00BD5091">
        <w:rPr>
          <w:rFonts w:eastAsia="Times New Roman" w:cs="Times New Roman"/>
        </w:rPr>
        <w:t>.</w:t>
      </w:r>
      <w:r w:rsidR="00A019BB">
        <w:rPr>
          <w:rFonts w:eastAsia="Times New Roman" w:cs="Times New Roman"/>
        </w:rPr>
        <w:t> </w:t>
      </w:r>
      <w:r w:rsidR="00BD5091" w:rsidRPr="00BD5091">
        <w:rPr>
          <w:rFonts w:eastAsia="Times New Roman" w:cs="Times New Roman"/>
        </w:rPr>
        <w:t>890, assessing information from three regional technical conferences, and examining more than 150 sets of comments filed in response to an October 2009 Request for Comment on Transmission Planning and Cost Allocation. In the NOPR, FERC seeks comments on the following proposed requirements:</w:t>
      </w:r>
    </w:p>
    <w:p w:rsidR="00C73E33" w:rsidRDefault="003174D8" w:rsidP="00BB34F0">
      <w:pPr>
        <w:numPr>
          <w:ilvl w:val="0"/>
          <w:numId w:val="39"/>
        </w:numPr>
        <w:spacing w:after="120" w:line="240" w:lineRule="auto"/>
        <w:rPr>
          <w:rFonts w:ascii="Calibri" w:eastAsia="Times New Roman" w:hAnsi="Calibri" w:cs="Times New Roman"/>
        </w:rPr>
      </w:pPr>
      <w:r w:rsidRPr="003174D8">
        <w:rPr>
          <w:rFonts w:eastAsia="Times New Roman" w:cs="Times New Roman"/>
        </w:rPr>
        <w:t xml:space="preserve">Transmission providers must identify and establish cost allocation methods for beneficiaries of new transmission facilities to establish a closer link between cost allocation and regional transmission planning. </w:t>
      </w:r>
    </w:p>
    <w:p w:rsidR="00C73E33" w:rsidRDefault="003174D8" w:rsidP="00BB34F0">
      <w:pPr>
        <w:numPr>
          <w:ilvl w:val="0"/>
          <w:numId w:val="39"/>
        </w:numPr>
        <w:spacing w:after="120" w:line="240" w:lineRule="auto"/>
        <w:rPr>
          <w:rFonts w:ascii="Calibri" w:eastAsia="Times New Roman" w:hAnsi="Calibri" w:cs="Times New Roman"/>
        </w:rPr>
      </w:pPr>
      <w:r w:rsidRPr="003174D8">
        <w:rPr>
          <w:rFonts w:eastAsia="Times New Roman" w:cs="Times New Roman"/>
        </w:rPr>
        <w:t xml:space="preserve">Transmission planning must account for system needs driven by public policy requirements established by state or federal laws or regulations, such as Renewable Portfolio Standards. </w:t>
      </w:r>
    </w:p>
    <w:p w:rsidR="00C73E33" w:rsidRDefault="003174D8" w:rsidP="00BB34F0">
      <w:pPr>
        <w:numPr>
          <w:ilvl w:val="0"/>
          <w:numId w:val="39"/>
        </w:numPr>
        <w:spacing w:after="120" w:line="240" w:lineRule="auto"/>
        <w:rPr>
          <w:rFonts w:ascii="Calibri" w:eastAsia="Times New Roman" w:hAnsi="Calibri" w:cs="Times New Roman"/>
        </w:rPr>
      </w:pPr>
      <w:r w:rsidRPr="003174D8">
        <w:rPr>
          <w:rFonts w:eastAsia="Times New Roman" w:cs="Times New Roman"/>
        </w:rPr>
        <w:t xml:space="preserve">Neighboring transmission planning regions must improve their coordination with each other </w:t>
      </w:r>
      <w:r w:rsidR="00517F79">
        <w:rPr>
          <w:rFonts w:eastAsia="Times New Roman" w:cs="Times New Roman"/>
        </w:rPr>
        <w:t xml:space="preserve">regarding </w:t>
      </w:r>
      <w:r w:rsidRPr="003174D8">
        <w:rPr>
          <w:rFonts w:eastAsia="Times New Roman" w:cs="Times New Roman"/>
        </w:rPr>
        <w:t xml:space="preserve">proposed </w:t>
      </w:r>
      <w:r w:rsidR="00517F79">
        <w:rPr>
          <w:rFonts w:eastAsia="Times New Roman" w:cs="Times New Roman"/>
        </w:rPr>
        <w:t xml:space="preserve">facilities </w:t>
      </w:r>
      <w:r w:rsidRPr="003174D8">
        <w:rPr>
          <w:rFonts w:eastAsia="Times New Roman" w:cs="Times New Roman"/>
        </w:rPr>
        <w:t xml:space="preserve">within or interconnecting two adjacent regions that could address transmission needs more efficiently than separately planned intraregional facilities. </w:t>
      </w:r>
    </w:p>
    <w:p w:rsidR="00AA4D61" w:rsidRPr="000B7404" w:rsidRDefault="003174D8" w:rsidP="00BB34F0">
      <w:pPr>
        <w:numPr>
          <w:ilvl w:val="0"/>
          <w:numId w:val="39"/>
        </w:numPr>
        <w:spacing w:line="240" w:lineRule="auto"/>
        <w:rPr>
          <w:rFonts w:ascii="Calibri" w:eastAsia="Times New Roman" w:hAnsi="Calibri" w:cs="Times New Roman"/>
        </w:rPr>
      </w:pPr>
      <w:r w:rsidRPr="003174D8">
        <w:rPr>
          <w:rFonts w:eastAsia="Times New Roman" w:cs="Times New Roman"/>
        </w:rPr>
        <w:t xml:space="preserve">Provisions that </w:t>
      </w:r>
      <w:r w:rsidR="00954EC9">
        <w:rPr>
          <w:rFonts w:eastAsia="Times New Roman" w:cs="Times New Roman"/>
        </w:rPr>
        <w:t>give</w:t>
      </w:r>
      <w:r w:rsidRPr="003174D8">
        <w:rPr>
          <w:rFonts w:eastAsia="Times New Roman" w:cs="Times New Roman"/>
        </w:rPr>
        <w:t xml:space="preserve"> an undue advantage to an incumbent developer must be removed from FERC-approved tariffs or agreements so that sponsors of transmission projects have the right, consistent with state or local laws or regulations, to build and own facilities selected for inclusion </w:t>
      </w:r>
      <w:r w:rsidR="00AA4D61" w:rsidRPr="000B7404">
        <w:rPr>
          <w:rFonts w:eastAsia="Times New Roman" w:cs="Times New Roman"/>
        </w:rPr>
        <w:t>in regional transmission plans.</w:t>
      </w:r>
      <w:r w:rsidR="00AA4D61" w:rsidRPr="000B7404">
        <w:rPr>
          <w:rFonts w:ascii="Calibri" w:eastAsia="Times New Roman" w:hAnsi="Calibri" w:cs="Times New Roman"/>
        </w:rPr>
        <w:t xml:space="preserve"> </w:t>
      </w:r>
    </w:p>
    <w:p w:rsidR="00840E1C" w:rsidRDefault="00840E1C" w:rsidP="00EE5759">
      <w:pPr>
        <w:spacing w:after="0" w:line="240" w:lineRule="auto"/>
        <w:rPr>
          <w:rFonts w:eastAsia="Times New Roman" w:cs="Times New Roman"/>
        </w:rPr>
      </w:pPr>
      <w:r w:rsidRPr="002E103E">
        <w:rPr>
          <w:rFonts w:eastAsia="Times New Roman" w:cs="Times New Roman"/>
        </w:rPr>
        <w:t xml:space="preserve">A significant aspect of the </w:t>
      </w:r>
      <w:r w:rsidR="00590D77">
        <w:rPr>
          <w:rFonts w:eastAsia="Times New Roman" w:cs="Times New Roman"/>
        </w:rPr>
        <w:t>NOPR</w:t>
      </w:r>
      <w:r w:rsidRPr="002E103E">
        <w:rPr>
          <w:rFonts w:eastAsia="Times New Roman" w:cs="Times New Roman"/>
        </w:rPr>
        <w:t xml:space="preserve"> is that public policy requirements, such as state-mandated Renewable Portfolio Standards, </w:t>
      </w:r>
      <w:r w:rsidRPr="00470ED2">
        <w:rPr>
          <w:rFonts w:eastAsia="Times New Roman" w:cs="Times New Roman"/>
        </w:rPr>
        <w:t xml:space="preserve">may </w:t>
      </w:r>
      <w:r w:rsidRPr="002E103E">
        <w:rPr>
          <w:rFonts w:eastAsia="Times New Roman" w:cs="Times New Roman"/>
        </w:rPr>
        <w:t>be taken into account in transmission planning.</w:t>
      </w:r>
    </w:p>
    <w:p w:rsidR="006700A2" w:rsidRDefault="006700A2" w:rsidP="00EE5759">
      <w:pPr>
        <w:spacing w:after="0" w:line="240" w:lineRule="auto"/>
        <w:rPr>
          <w:rFonts w:eastAsia="Times New Roman" w:cs="Times New Roman"/>
        </w:rPr>
      </w:pPr>
    </w:p>
    <w:p w:rsidR="006A7038" w:rsidRPr="00016EBE" w:rsidRDefault="00DC166E">
      <w:pPr>
        <w:spacing w:line="240" w:lineRule="auto"/>
      </w:pPr>
      <w:r w:rsidRPr="00A46307">
        <w:rPr>
          <w:rFonts w:eastAsia="Times New Roman" w:cs="Times New Roman"/>
        </w:rPr>
        <w:t>The ISO submitted c</w:t>
      </w:r>
      <w:r w:rsidR="00821C68" w:rsidRPr="00A46307">
        <w:rPr>
          <w:rFonts w:eastAsia="Times New Roman" w:cs="Times New Roman"/>
        </w:rPr>
        <w:t xml:space="preserve">omments </w:t>
      </w:r>
      <w:r w:rsidRPr="00A46307">
        <w:rPr>
          <w:rFonts w:eastAsia="Times New Roman" w:cs="Times New Roman"/>
        </w:rPr>
        <w:t xml:space="preserve">to FERC </w:t>
      </w:r>
      <w:r w:rsidR="00821C68" w:rsidRPr="00A46307">
        <w:rPr>
          <w:rFonts w:eastAsia="Times New Roman" w:cs="Times New Roman"/>
        </w:rPr>
        <w:t xml:space="preserve">on the </w:t>
      </w:r>
      <w:r w:rsidR="007B7547" w:rsidRPr="00A46307">
        <w:rPr>
          <w:rFonts w:eastAsia="Times New Roman" w:cs="Times New Roman"/>
        </w:rPr>
        <w:t xml:space="preserve">NOPR </w:t>
      </w:r>
      <w:r w:rsidRPr="00A46307">
        <w:rPr>
          <w:rFonts w:eastAsia="Times New Roman" w:cs="Times New Roman"/>
        </w:rPr>
        <w:t xml:space="preserve">on </w:t>
      </w:r>
      <w:r w:rsidR="00CE16C8" w:rsidRPr="00A46307">
        <w:rPr>
          <w:rFonts w:eastAsia="Times New Roman" w:cs="Times New Roman"/>
        </w:rPr>
        <w:t>September 29, 2010.</w:t>
      </w:r>
      <w:r w:rsidRPr="00A46307">
        <w:rPr>
          <w:rStyle w:val="FootnoteReference"/>
          <w:rFonts w:eastAsia="Times New Roman"/>
          <w:sz w:val="22"/>
        </w:rPr>
        <w:footnoteReference w:id="371"/>
      </w:r>
      <w:r w:rsidRPr="00A46307">
        <w:rPr>
          <w:rFonts w:eastAsia="Times New Roman" w:cs="Times New Roman"/>
        </w:rPr>
        <w:t>Additionally</w:t>
      </w:r>
      <w:r>
        <w:rPr>
          <w:rFonts w:eastAsia="Times New Roman" w:cs="Times New Roman"/>
        </w:rPr>
        <w:t xml:space="preserve">, the ISO submitted comments </w:t>
      </w:r>
      <w:r w:rsidR="00A46307">
        <w:rPr>
          <w:rFonts w:eastAsia="Times New Roman" w:cs="Times New Roman"/>
        </w:rPr>
        <w:t xml:space="preserve">to FERC </w:t>
      </w:r>
      <w:r>
        <w:rPr>
          <w:rFonts w:eastAsia="Times New Roman" w:cs="Times New Roman"/>
        </w:rPr>
        <w:t>as part of the ISO/RTO Council.</w:t>
      </w:r>
      <w:r w:rsidRPr="00A46307">
        <w:rPr>
          <w:rStyle w:val="FootnoteReference"/>
          <w:rFonts w:eastAsia="Times New Roman"/>
          <w:sz w:val="22"/>
        </w:rPr>
        <w:footnoteReference w:id="372"/>
      </w:r>
    </w:p>
    <w:p w:rsidR="00016EBE" w:rsidRDefault="00016EBE" w:rsidP="00840E1C">
      <w:pPr>
        <w:rPr>
          <w:color w:val="000000" w:themeColor="text1"/>
        </w:rPr>
      </w:pPr>
      <w:r>
        <w:rPr>
          <w:color w:val="000000" w:themeColor="text1"/>
        </w:rPr>
        <w:t>Several other federal bills are under consideration to address greenhouse gas emissions, renewable energy standards, and FERC authority to site transmission. The ISO and its regional stakeholders will continue monitoring these legislative activities and update planning studies and processes as may be required.</w:t>
      </w:r>
    </w:p>
    <w:p w:rsidR="001B3090" w:rsidRDefault="008632D3">
      <w:pPr>
        <w:pStyle w:val="Heading2"/>
        <w:rPr>
          <w:color w:val="FF0000"/>
        </w:rPr>
      </w:pPr>
      <w:bookmarkStart w:id="876" w:name="_Toc271632350"/>
      <w:r w:rsidRPr="006F7E12">
        <w:t>Summary of Regional Initiatives</w:t>
      </w:r>
      <w:bookmarkEnd w:id="876"/>
      <w:r w:rsidRPr="006F7E12">
        <w:t xml:space="preserve"> </w:t>
      </w:r>
    </w:p>
    <w:p w:rsidR="008073FB" w:rsidRDefault="008632D3" w:rsidP="00073277">
      <w:r w:rsidRPr="006F7E12">
        <w:t>The ISO works with a wide variety of state policy</w:t>
      </w:r>
      <w:r w:rsidR="00465F78">
        <w:t>makers</w:t>
      </w:r>
      <w:r w:rsidRPr="006F7E12">
        <w:t xml:space="preserve"> and other regional stakeholders through its planning process. Economic studies provide information to stakeholders, especially policymakers who have established state goals for promoting the use of renewable and energy-efficiency resources. Several other state initiatives, such as the use of </w:t>
      </w:r>
      <w:r w:rsidR="008073FB">
        <w:t xml:space="preserve">power purchase agreements and </w:t>
      </w:r>
      <w:r w:rsidRPr="006F7E12">
        <w:t>RFPs, have influenced the region’s resource mix through the expansion of resources.</w:t>
      </w:r>
      <w:r>
        <w:t xml:space="preserve"> </w:t>
      </w:r>
    </w:p>
    <w:p w:rsidR="00266335" w:rsidRDefault="008632D3" w:rsidP="00073277">
      <w:r>
        <w:t>While regional initiatives</w:t>
      </w:r>
      <w:r w:rsidR="00465F78">
        <w:t xml:space="preserve">, </w:t>
      </w:r>
      <w:r>
        <w:t xml:space="preserve">such as the formation of the CLG and the improved </w:t>
      </w:r>
      <w:r w:rsidR="00465F78">
        <w:t xml:space="preserve">transparency </w:t>
      </w:r>
      <w:r>
        <w:t xml:space="preserve">of transmission cost estimates, </w:t>
      </w:r>
      <w:r w:rsidR="00465F78">
        <w:t xml:space="preserve">have </w:t>
      </w:r>
      <w:r w:rsidR="00686008">
        <w:t>enhanced t</w:t>
      </w:r>
      <w:r w:rsidR="00465F78">
        <w:t xml:space="preserve">he planning process, </w:t>
      </w:r>
      <w:r>
        <w:t xml:space="preserve">the ISO continues to work with stakeholders </w:t>
      </w:r>
      <w:r w:rsidR="00686008">
        <w:t xml:space="preserve">to make </w:t>
      </w:r>
      <w:r w:rsidR="00465F78">
        <w:t xml:space="preserve">further </w:t>
      </w:r>
      <w:r>
        <w:t>improve</w:t>
      </w:r>
      <w:r w:rsidR="00686008">
        <w:t>ments</w:t>
      </w:r>
      <w:r w:rsidR="00027341">
        <w:t xml:space="preserve"> to the planning process and the RSP</w:t>
      </w:r>
      <w:r>
        <w:t xml:space="preserve">. Two of these major initiatives </w:t>
      </w:r>
      <w:r w:rsidR="00686008">
        <w:t xml:space="preserve">are the </w:t>
      </w:r>
      <w:r>
        <w:t>consider</w:t>
      </w:r>
      <w:r w:rsidR="00686008">
        <w:t>ation of</w:t>
      </w:r>
      <w:r>
        <w:t xml:space="preserve"> the use of state energy-efficiency goals and the provision of additional information on nontransmisison alternatives meeting system needs. </w:t>
      </w:r>
    </w:p>
    <w:p w:rsidR="00016EBE" w:rsidRDefault="00016EBE" w:rsidP="00016EBE">
      <w:pPr>
        <w:sectPr w:rsidR="00016EBE" w:rsidSect="00015282">
          <w:pgSz w:w="12240" w:h="15840"/>
          <w:pgMar w:top="1350" w:right="1440" w:bottom="1440" w:left="1440" w:header="720" w:footer="720" w:gutter="0"/>
          <w:cols w:space="720"/>
          <w:docGrid w:linePitch="360"/>
        </w:sectPr>
      </w:pPr>
      <w:r>
        <w:t>The FERC NOPR on the planning process and federal legislative activities will likely affect the New England planning process</w:t>
      </w:r>
      <w:r w:rsidR="00686008">
        <w:t xml:space="preserve"> as well</w:t>
      </w:r>
      <w:r w:rsidR="00E84B2C">
        <w:t xml:space="preserve">. </w:t>
      </w:r>
    </w:p>
    <w:p w:rsidR="00266335" w:rsidRDefault="00266335" w:rsidP="00DF39BB">
      <w:pPr>
        <w:pStyle w:val="Heading1"/>
      </w:pPr>
      <w:r>
        <w:br/>
      </w:r>
      <w:bookmarkStart w:id="877" w:name="_Toc239157177"/>
      <w:bookmarkStart w:id="878" w:name="_Ref262118449"/>
      <w:bookmarkStart w:id="879" w:name="_Toc271632351"/>
      <w:r w:rsidRPr="00B77D4F">
        <w:t>Conclusions</w:t>
      </w:r>
      <w:r>
        <w:t xml:space="preserve"> and Key Findings</w:t>
      </w:r>
      <w:bookmarkEnd w:id="877"/>
      <w:bookmarkEnd w:id="878"/>
      <w:bookmarkEnd w:id="879"/>
    </w:p>
    <w:p w:rsidR="00266335" w:rsidRDefault="00266335" w:rsidP="00073277">
      <w:r>
        <w:t xml:space="preserve">The ISO’s </w:t>
      </w:r>
      <w:r>
        <w:rPr>
          <w:i/>
        </w:rPr>
        <w:t>2010</w:t>
      </w:r>
      <w:r w:rsidRPr="00C05C77">
        <w:rPr>
          <w:i/>
        </w:rPr>
        <w:t xml:space="preserve"> Regional System Plan</w:t>
      </w:r>
      <w:r>
        <w:t xml:space="preserve"> discusses several major results of interest to the region’s stakeholders. </w:t>
      </w:r>
      <w:r w:rsidR="008F77BA">
        <w:t>S</w:t>
      </w:r>
      <w:r>
        <w:t xml:space="preserve">uccess of the Forward Capacity Market and the locational Forward Reserve Market </w:t>
      </w:r>
      <w:r w:rsidR="00D40229">
        <w:t xml:space="preserve">and other factors </w:t>
      </w:r>
      <w:r>
        <w:t>ha</w:t>
      </w:r>
      <w:r w:rsidR="00D40229">
        <w:t>ve</w:t>
      </w:r>
      <w:r>
        <w:t xml:space="preserve"> resulted in the development of generation and demand resources expected to meet the capacity needs of the New England region over the 10-year planning horizon</w:t>
      </w:r>
      <w:r w:rsidR="008F77BA">
        <w:t>, assuming no major resource retirements</w:t>
      </w:r>
      <w:r>
        <w:t xml:space="preserve">. </w:t>
      </w:r>
      <w:r w:rsidR="00581286">
        <w:t xml:space="preserve">The economic recession has slowed the growth in summer peak load levels, and </w:t>
      </w:r>
      <w:r w:rsidR="00D53A54">
        <w:t xml:space="preserve">RSP10 shows an expected delay of </w:t>
      </w:r>
      <w:r w:rsidR="00581286">
        <w:t xml:space="preserve">the peaks anticipated in RSP09 </w:t>
      </w:r>
      <w:r w:rsidR="00581286" w:rsidRPr="00324F7A">
        <w:t xml:space="preserve">by </w:t>
      </w:r>
      <w:r w:rsidR="00581286">
        <w:t xml:space="preserve">one-and-one-half to two years. </w:t>
      </w:r>
      <w:r>
        <w:t xml:space="preserve">While the region has been successful in building needed transmission, the lower load levels and the development of resources where and </w:t>
      </w:r>
      <w:r w:rsidRPr="00C13F9E">
        <w:t xml:space="preserve">when </w:t>
      </w:r>
      <w:r>
        <w:t xml:space="preserve">they are </w:t>
      </w:r>
      <w:r w:rsidRPr="00C13F9E">
        <w:t xml:space="preserve">needed </w:t>
      </w:r>
      <w:r w:rsidR="008F77BA">
        <w:t>may</w:t>
      </w:r>
      <w:r>
        <w:t xml:space="preserve"> delay the need for </w:t>
      </w:r>
      <w:r w:rsidRPr="00C13F9E">
        <w:t>selected</w:t>
      </w:r>
      <w:r>
        <w:t xml:space="preserve"> transmission projects. The region will continue to depend on natural gas for approximately 40% of its electric energy, but </w:t>
      </w:r>
      <w:r w:rsidRPr="00C13F9E">
        <w:t>the ISO</w:t>
      </w:r>
      <w:r>
        <w:t>,</w:t>
      </w:r>
      <w:r w:rsidRPr="00C13F9E">
        <w:t xml:space="preserve"> regional stakeholders</w:t>
      </w:r>
      <w:r>
        <w:t>, and the natural gas industry</w:t>
      </w:r>
      <w:r w:rsidRPr="00C13F9E">
        <w:t xml:space="preserve"> have taken measures to improve the reliability of gas plants and the diversity of the gas </w:t>
      </w:r>
      <w:r w:rsidRPr="00A45068">
        <w:t>supply resources</w:t>
      </w:r>
      <w:r w:rsidRPr="00C13F9E">
        <w:t>.</w:t>
      </w:r>
      <w:r>
        <w:t xml:space="preserve"> </w:t>
      </w:r>
    </w:p>
    <w:p w:rsidR="00266335" w:rsidRDefault="00266335" w:rsidP="00073277">
      <w:r>
        <w:t xml:space="preserve">Environmental </w:t>
      </w:r>
      <w:r w:rsidR="00655EA5">
        <w:t>initiatives</w:t>
      </w:r>
      <w:r>
        <w:t>, such as the Regional Greenhouse Gas Initiative and Renewable Portfolio Standards, are encouraging the development of clean</w:t>
      </w:r>
      <w:r w:rsidR="008F77BA">
        <w:t>,</w:t>
      </w:r>
      <w:r>
        <w:t xml:space="preserve"> renewable resources in the region. As a result of economic incentives provided by the wholesale power markets and state policies, wind plants in New England are anticipated to see large growth, and demand resources and energy efficiency are expected to increase. New England has a long history of integrating new technologies into the system, and smart grid improvements are being developed to improve the electric power system’s performance and operating flexibility. Economic studies have shown the effects of </w:t>
      </w:r>
      <w:r w:rsidR="00575801">
        <w:t xml:space="preserve">scenarios that </w:t>
      </w:r>
      <w:r>
        <w:t xml:space="preserve">increase renewable resources and demand resources in the region and imports from Canada. These studies have helped provide guidance to policymakers and developers of </w:t>
      </w:r>
      <w:r w:rsidR="00575801">
        <w:t xml:space="preserve">supply and demand </w:t>
      </w:r>
      <w:r>
        <w:t xml:space="preserve">resources and merchant transmission. </w:t>
      </w:r>
    </w:p>
    <w:p w:rsidR="008C05D9" w:rsidRDefault="00266335" w:rsidP="00073277">
      <w:r>
        <w:t xml:space="preserve">The transmission system in New England has evolved significantly over the past several years. </w:t>
      </w:r>
      <w:r w:rsidR="00EF7A2E">
        <w:t>From 2002 through 2010, over 300</w:t>
      </w:r>
      <w:r>
        <w:t xml:space="preserve"> transmission projects </w:t>
      </w:r>
      <w:r w:rsidR="00EF7A2E">
        <w:t xml:space="preserve">will </w:t>
      </w:r>
      <w:r>
        <w:t xml:space="preserve">have been placed in service, and a number are under construction or well into the siting process. Along with the reliability improvements they bring to the system, these transmission upgrades support market efficiency, and the region has seen a significant reduction in congestion costs and </w:t>
      </w:r>
      <w:r w:rsidRPr="00715BB5">
        <w:t xml:space="preserve">other </w:t>
      </w:r>
      <w:r w:rsidR="00A73FE0" w:rsidRPr="00715BB5">
        <w:t>out-of-m</w:t>
      </w:r>
      <w:r w:rsidR="00715BB5" w:rsidRPr="00715BB5">
        <w:t>erit</w:t>
      </w:r>
      <w:r w:rsidRPr="00715BB5">
        <w:t xml:space="preserve"> charges</w:t>
      </w:r>
      <w:r>
        <w:t xml:space="preserve">, such as second-contingency and voltage-control </w:t>
      </w:r>
      <w:r w:rsidRPr="00F80B3B">
        <w:t>payments</w:t>
      </w:r>
      <w:r w:rsidR="00C814EB" w:rsidRPr="00C814EB">
        <w:t xml:space="preserve">. </w:t>
      </w:r>
      <w:r w:rsidR="00A071AB">
        <w:t>A</w:t>
      </w:r>
      <w:r w:rsidR="008C05D9" w:rsidRPr="00F80B3B">
        <w:t>ccording</w:t>
      </w:r>
      <w:r w:rsidR="008C05D9">
        <w:t xml:space="preserve"> to DOE, </w:t>
      </w:r>
      <w:r w:rsidR="008C05D9" w:rsidRPr="00E00569">
        <w:t xml:space="preserve">because of the region’s successful </w:t>
      </w:r>
      <w:r w:rsidR="008C05D9" w:rsidRPr="009C033B">
        <w:t>“multi-faceted approach” that has spurred investment in new supply-</w:t>
      </w:r>
      <w:r w:rsidR="00954EC9">
        <w:t xml:space="preserve"> </w:t>
      </w:r>
      <w:r w:rsidR="008C05D9" w:rsidRPr="009C033B">
        <w:t>and demand-side resources, as well as planning and development of extensive transmission upgrades</w:t>
      </w:r>
      <w:r w:rsidR="008C05D9">
        <w:t xml:space="preserve">, </w:t>
      </w:r>
      <w:r w:rsidR="008C05D9" w:rsidRPr="00E00569">
        <w:t>the</w:t>
      </w:r>
      <w:r w:rsidR="008C05D9">
        <w:t xml:space="preserve"> system currently experiences little system </w:t>
      </w:r>
      <w:r w:rsidR="008C05D9" w:rsidRPr="00F52AFE">
        <w:t>congestion</w:t>
      </w:r>
      <w:r w:rsidR="00AC79DB">
        <w:t>,</w:t>
      </w:r>
      <w:r w:rsidR="008C05D9">
        <w:t xml:space="preserve"> and </w:t>
      </w:r>
      <w:r w:rsidR="00AC79DB">
        <w:t xml:space="preserve">it </w:t>
      </w:r>
      <w:r w:rsidR="008C05D9">
        <w:t xml:space="preserve">has </w:t>
      </w:r>
      <w:r w:rsidR="008C05D9" w:rsidRPr="00860F73">
        <w:t>removed New England as “an area of concern” for the identification of National Interest Electric Transmission Corridors</w:t>
      </w:r>
      <w:r w:rsidR="008C05D9">
        <w:t>. Additionally, m</w:t>
      </w:r>
      <w:r>
        <w:t>erchant transmission facilities are in various stages of development</w:t>
      </w:r>
      <w:r w:rsidR="008C05D9">
        <w:t xml:space="preserve"> in the region</w:t>
      </w:r>
      <w:r w:rsidR="003500C6">
        <w:t xml:space="preserve"> and </w:t>
      </w:r>
      <w:r>
        <w:t>ha</w:t>
      </w:r>
      <w:r w:rsidR="008C05D9">
        <w:t>ve</w:t>
      </w:r>
      <w:r>
        <w:t xml:space="preserve"> the potential </w:t>
      </w:r>
      <w:r w:rsidR="003500C6">
        <w:t xml:space="preserve">to </w:t>
      </w:r>
      <w:r>
        <w:t>provid</w:t>
      </w:r>
      <w:r w:rsidR="003500C6">
        <w:t>e</w:t>
      </w:r>
      <w:r>
        <w:t xml:space="preserve"> access to renewable resources in remote areas of New England and neighbor</w:t>
      </w:r>
      <w:r w:rsidR="00954EC9">
        <w:t>ing region</w:t>
      </w:r>
      <w:r>
        <w:t>s</w:t>
      </w:r>
      <w:r w:rsidR="00662103">
        <w:t xml:space="preserve">. </w:t>
      </w:r>
    </w:p>
    <w:p w:rsidR="001B3090" w:rsidRDefault="00266335">
      <w:pPr>
        <w:pStyle w:val="Heading2"/>
      </w:pPr>
      <w:bookmarkStart w:id="880" w:name="_Toc239157178"/>
      <w:bookmarkStart w:id="881" w:name="_Toc271632352"/>
      <w:r>
        <w:t>RSP Tariff Requirements</w:t>
      </w:r>
      <w:bookmarkEnd w:id="880"/>
      <w:bookmarkEnd w:id="881"/>
      <w:r>
        <w:t xml:space="preserve"> </w:t>
      </w:r>
    </w:p>
    <w:p w:rsidR="00266335" w:rsidRPr="00C3069E" w:rsidRDefault="00266335" w:rsidP="00073277">
      <w:r w:rsidRPr="00C3069E">
        <w:t xml:space="preserve">Attachment K of the OATT specifies that the RSP must discuss the assessment of the system </w:t>
      </w:r>
      <w:r w:rsidRPr="00174078">
        <w:t xml:space="preserve">needs </w:t>
      </w:r>
      <w:r w:rsidR="00C814EB" w:rsidRPr="00174078">
        <w:t>of the pool transmission facilities</w:t>
      </w:r>
      <w:r w:rsidRPr="00174078">
        <w:t>, the results of such assessments, and projected transmission system</w:t>
      </w:r>
      <w:r w:rsidRPr="00C3069E">
        <w:t xml:space="preserve"> improvements. The RSP also must identify the projected annual and peak demands for electric energy for a five- to 10-year horizon, the needs for resources over this period, and how such resources are expected to be provided. Additionally, the RSP must include sufficient information to allow market participants, including merchant transmission project developers, to assess several factors to assist them in meeting identified system needs or to modify, offset, or defer proposed regulated transmission upgrades. These factors include the quantity, general locations, operating characteristics, and required availability criteria of incremental supply</w:t>
      </w:r>
      <w:r w:rsidR="00954EC9">
        <w:t>-</w:t>
      </w:r>
      <w:r w:rsidRPr="00C3069E">
        <w:t xml:space="preserve"> </w:t>
      </w:r>
      <w:r>
        <w:t>and</w:t>
      </w:r>
      <w:r w:rsidRPr="00C3069E">
        <w:t xml:space="preserve"> demand-side resources. </w:t>
      </w:r>
    </w:p>
    <w:p w:rsidR="00266335" w:rsidRPr="00F778FF" w:rsidRDefault="00266335" w:rsidP="00073277">
      <w:r w:rsidRPr="00267BCF">
        <w:t xml:space="preserve">As required by the tariff, the ISO works closely with the region’s </w:t>
      </w:r>
      <w:r w:rsidRPr="00797450">
        <w:t>stakeholders through an open and transparent process. In</w:t>
      </w:r>
      <w:r>
        <w:t xml:space="preserve"> particular, members of the PAC</w:t>
      </w:r>
      <w:r w:rsidRPr="00BA63C8">
        <w:t xml:space="preserve"> advise the ISO </w:t>
      </w:r>
      <w:r>
        <w:t xml:space="preserve">on </w:t>
      </w:r>
      <w:r w:rsidRPr="00BA63C8">
        <w:t>the scope of work</w:t>
      </w:r>
      <w:r>
        <w:t>,</w:t>
      </w:r>
      <w:r w:rsidRPr="00BA63C8">
        <w:t xml:space="preserve"> </w:t>
      </w:r>
      <w:r w:rsidRPr="00C3069E">
        <w:t xml:space="preserve">assumptions, and draft results for the RSP and supporting studies. These studies include </w:t>
      </w:r>
      <w:r>
        <w:t>N</w:t>
      </w:r>
      <w:r w:rsidRPr="00C3069E">
        <w:t xml:space="preserve">eeds </w:t>
      </w:r>
      <w:r>
        <w:t>A</w:t>
      </w:r>
      <w:r w:rsidRPr="00C3069E">
        <w:t xml:space="preserve">ssessments and </w:t>
      </w:r>
      <w:r>
        <w:t>S</w:t>
      </w:r>
      <w:r w:rsidRPr="00C3069E">
        <w:t xml:space="preserve">olution </w:t>
      </w:r>
      <w:r>
        <w:t>S</w:t>
      </w:r>
      <w:r w:rsidRPr="00C3069E">
        <w:t xml:space="preserve">tudies. Stakeholders can use this detailed information </w:t>
      </w:r>
      <w:r>
        <w:t xml:space="preserve">and conduct independent studies using databases available from </w:t>
      </w:r>
      <w:r w:rsidR="009F52F0">
        <w:t xml:space="preserve">the </w:t>
      </w:r>
      <w:r>
        <w:t xml:space="preserve">ISO </w:t>
      </w:r>
      <w:r w:rsidRPr="00C3069E">
        <w:t xml:space="preserve">to better identify specific locations for </w:t>
      </w:r>
      <w:r w:rsidR="009E48DF">
        <w:t xml:space="preserve">market </w:t>
      </w:r>
      <w:r w:rsidRPr="00C3069E">
        <w:t xml:space="preserve">resource development </w:t>
      </w:r>
      <w:r w:rsidRPr="00CA1E44">
        <w:t xml:space="preserve">and merchant transmission as </w:t>
      </w:r>
      <w:r w:rsidRPr="00EB0823">
        <w:t>alternatives to regulated transmission solutions.</w:t>
      </w:r>
      <w:r w:rsidRPr="00F778FF">
        <w:t xml:space="preserve"> </w:t>
      </w:r>
    </w:p>
    <w:p w:rsidR="00266335" w:rsidRDefault="00266335" w:rsidP="00073277">
      <w:r>
        <w:t>As part of the planning process, t</w:t>
      </w:r>
      <w:r w:rsidRPr="00B51FAA">
        <w:t>he ISO approve</w:t>
      </w:r>
      <w:r>
        <w:t>s</w:t>
      </w:r>
      <w:r w:rsidRPr="00B51FAA">
        <w:t xml:space="preserve"> transmission projects to meet identified system needs, for which resource alternatives </w:t>
      </w:r>
      <w:r>
        <w:t xml:space="preserve">and merchant </w:t>
      </w:r>
      <w:r w:rsidRPr="00B51FAA">
        <w:t>transmission are insufficient. The</w:t>
      </w:r>
      <w:r>
        <w:t xml:space="preserve"> transmission projects are included in the ISO’s </w:t>
      </w:r>
      <w:r>
        <w:rPr>
          <w:i/>
        </w:rPr>
        <w:t>RSP</w:t>
      </w:r>
      <w:r w:rsidRPr="00B51FAA">
        <w:rPr>
          <w:i/>
        </w:rPr>
        <w:t xml:space="preserve"> Project </w:t>
      </w:r>
      <w:r w:rsidRPr="006A1968">
        <w:rPr>
          <w:i/>
        </w:rPr>
        <w:t>Lis</w:t>
      </w:r>
      <w:r w:rsidRPr="00D2725C">
        <w:rPr>
          <w:i/>
        </w:rPr>
        <w:t>t</w:t>
      </w:r>
      <w:r>
        <w:t>.</w:t>
      </w:r>
      <w:r w:rsidRPr="00B51FAA">
        <w:t xml:space="preserve"> </w:t>
      </w:r>
    </w:p>
    <w:p w:rsidR="00266335" w:rsidRPr="00DF42E6" w:rsidRDefault="00266335" w:rsidP="00073277">
      <w:r>
        <w:t>The ISO has continually met all the requirements of Attachment K of the OATT.</w:t>
      </w:r>
    </w:p>
    <w:p w:rsidR="001B3090" w:rsidRDefault="00266335">
      <w:pPr>
        <w:pStyle w:val="Heading2"/>
      </w:pPr>
      <w:bookmarkStart w:id="882" w:name="_Toc239157179"/>
      <w:bookmarkStart w:id="883" w:name="_Toc271632353"/>
      <w:r>
        <w:t>RSP10 Outlook</w:t>
      </w:r>
      <w:bookmarkEnd w:id="882"/>
      <w:bookmarkEnd w:id="883"/>
    </w:p>
    <w:p w:rsidR="00266335" w:rsidRDefault="00266335" w:rsidP="00073277">
      <w:r>
        <w:t>RS10 draws the following conclusions about the outlook for New England’s electric power system over the next 10 years:</w:t>
      </w:r>
    </w:p>
    <w:p w:rsidR="00266335" w:rsidRDefault="00266335" w:rsidP="002068C0">
      <w:pPr>
        <w:pStyle w:val="Bullet-Solid"/>
      </w:pPr>
      <w:r w:rsidRPr="009F5D24">
        <w:rPr>
          <w:b/>
        </w:rPr>
        <w:t>Forecasts for the Annual and Peak Use of Electric Energy</w:t>
      </w:r>
      <w:r>
        <w:t xml:space="preserve">—The RSP10 10-year forecast for electric energy demand is lower than the RSP09 forecast, </w:t>
      </w:r>
      <w:r w:rsidRPr="00D270F5">
        <w:t xml:space="preserve">indicating a 0.9% average growth rate in the annual use of electric energy and a </w:t>
      </w:r>
      <w:r>
        <w:t xml:space="preserve">long-term 1.4% average growth rate in summer peak use. By the end of the 10-year period, the </w:t>
      </w:r>
      <w:r w:rsidR="00EF7A2E">
        <w:t xml:space="preserve">50/50 </w:t>
      </w:r>
      <w:r>
        <w:t xml:space="preserve">summer peak would be about </w:t>
      </w:r>
      <w:r w:rsidRPr="00A06F08">
        <w:t>530</w:t>
      </w:r>
      <w:r w:rsidRPr="00FF68B3">
        <w:t> MW</w:t>
      </w:r>
      <w:r>
        <w:t xml:space="preserve"> lower </w:t>
      </w:r>
      <w:r w:rsidR="00CE16C8" w:rsidRPr="00CE16C8">
        <w:t>than the RSP09 50/50 forecast for 2018</w:t>
      </w:r>
      <w:r>
        <w:t xml:space="preserve">. </w:t>
      </w:r>
    </w:p>
    <w:p w:rsidR="00266335" w:rsidRDefault="00266335" w:rsidP="002068C0">
      <w:pPr>
        <w:pStyle w:val="Bullet-Solid"/>
      </w:pPr>
      <w:r w:rsidRPr="00094584">
        <w:rPr>
          <w:b/>
        </w:rPr>
        <w:t>Capacity Need and Resource Development</w:t>
      </w:r>
      <w:r>
        <w:rPr>
          <w:b/>
        </w:rPr>
        <w:t>—</w:t>
      </w:r>
      <w:r w:rsidR="009E48DF">
        <w:t xml:space="preserve">Resources with capacity supply obligations in </w:t>
      </w:r>
      <w:r>
        <w:t xml:space="preserve">the Forward Capacity Market are exceeding the “representative” 34,818 MW value for capacity resources needed by 2019. Assuming </w:t>
      </w:r>
      <w:r w:rsidR="009E48DF">
        <w:t xml:space="preserve">that the </w:t>
      </w:r>
      <w:r>
        <w:t xml:space="preserve">over 35,000 MW </w:t>
      </w:r>
      <w:r w:rsidRPr="00D33E44">
        <w:t xml:space="preserve">of resources that cleared the </w:t>
      </w:r>
      <w:r>
        <w:t>third</w:t>
      </w:r>
      <w:r w:rsidRPr="00D33E44">
        <w:t xml:space="preserve"> F</w:t>
      </w:r>
      <w:r>
        <w:t xml:space="preserve">orward </w:t>
      </w:r>
      <w:r w:rsidRPr="00D33E44">
        <w:t>C</w:t>
      </w:r>
      <w:r>
        <w:t xml:space="preserve">apacity </w:t>
      </w:r>
      <w:r w:rsidRPr="00D33E44">
        <w:t>A</w:t>
      </w:r>
      <w:r>
        <w:t>uction remain in commercial operation</w:t>
      </w:r>
      <w:r w:rsidRPr="00D33E44">
        <w:t xml:space="preserve">, New England will have adequate resources through </w:t>
      </w:r>
      <w:r w:rsidRPr="00AF54D3">
        <w:t>2019</w:t>
      </w:r>
      <w:r>
        <w:t>.</w:t>
      </w:r>
    </w:p>
    <w:p w:rsidR="00266335" w:rsidRDefault="00266335" w:rsidP="002068C0">
      <w:pPr>
        <w:pStyle w:val="Bullet-Solid"/>
      </w:pPr>
      <w:r w:rsidRPr="008F7BDE">
        <w:rPr>
          <w:b/>
        </w:rPr>
        <w:t>Operating Reserve</w:t>
      </w:r>
      <w:r w:rsidRPr="00FD5038">
        <w:rPr>
          <w:b/>
        </w:rPr>
        <w:t>—</w:t>
      </w:r>
      <w:r w:rsidRPr="00FD5038">
        <w:t xml:space="preserve">RSP10 </w:t>
      </w:r>
      <w:r w:rsidR="00BF4842" w:rsidRPr="00FD5038">
        <w:t xml:space="preserve">anticipates that the </w:t>
      </w:r>
      <w:r w:rsidRPr="00FD5038">
        <w:t>infrastructure</w:t>
      </w:r>
      <w:r w:rsidR="00BF4842" w:rsidRPr="00FD5038">
        <w:t xml:space="preserve"> </w:t>
      </w:r>
      <w:r w:rsidR="00FC0761" w:rsidRPr="00FD5038">
        <w:t xml:space="preserve">required </w:t>
      </w:r>
      <w:r w:rsidRPr="00FD5038">
        <w:t xml:space="preserve">to meet </w:t>
      </w:r>
      <w:r w:rsidR="00FC0761" w:rsidRPr="00FD5038">
        <w:t xml:space="preserve">the </w:t>
      </w:r>
      <w:r w:rsidRPr="00FD5038">
        <w:t xml:space="preserve">reliability requirements </w:t>
      </w:r>
      <w:r w:rsidR="00C814EB" w:rsidRPr="00C814EB">
        <w:t xml:space="preserve">will be </w:t>
      </w:r>
      <w:r w:rsidR="00BB3665" w:rsidRPr="00C70B1E">
        <w:t xml:space="preserve">developed </w:t>
      </w:r>
      <w:r w:rsidR="00C814EB" w:rsidRPr="00C70B1E">
        <w:t xml:space="preserve">successfully and will </w:t>
      </w:r>
      <w:r w:rsidRPr="00C70B1E">
        <w:t xml:space="preserve">improve the economical performance of the system from 2010 through 2014. </w:t>
      </w:r>
      <w:r w:rsidR="00CE16C8" w:rsidRPr="00C70B1E">
        <w:t xml:space="preserve">The SWCT and BOSTON import areas may not need any </w:t>
      </w:r>
      <w:r w:rsidR="00CB334D" w:rsidRPr="00C70B1E">
        <w:t xml:space="preserve">representative </w:t>
      </w:r>
      <w:r w:rsidR="00CE16C8" w:rsidRPr="00C70B1E">
        <w:t>operating reserves</w:t>
      </w:r>
      <w:r w:rsidR="00BB3665" w:rsidRPr="00C70B1E">
        <w:t xml:space="preserve"> </w:t>
      </w:r>
      <w:r w:rsidR="00954EC9" w:rsidRPr="00C70B1E">
        <w:t>because</w:t>
      </w:r>
      <w:r w:rsidR="00954EC9">
        <w:t xml:space="preserve"> of</w:t>
      </w:r>
      <w:r>
        <w:t xml:space="preserve"> transmission improvements to th</w:t>
      </w:r>
      <w:r w:rsidR="00FD5038">
        <w:t>e</w:t>
      </w:r>
      <w:r>
        <w:t>se areas</w:t>
      </w:r>
      <w:r w:rsidRPr="00D93D8A">
        <w:t xml:space="preserve">. </w:t>
      </w:r>
      <w:r>
        <w:t xml:space="preserve">The Greater Connecticut import area still has the greatest representative operating reserve need of up to 1,250 MW. </w:t>
      </w:r>
      <w:r w:rsidR="009E48DF">
        <w:t>T</w:t>
      </w:r>
      <w:r>
        <w:t xml:space="preserve">he addition of the NEEWS Interstate Reliability Project would reduce the need for locational operating reserves in Greater Connecticut by </w:t>
      </w:r>
      <w:r w:rsidR="00EF7A2E">
        <w:t>approximately</w:t>
      </w:r>
      <w:r>
        <w:t xml:space="preserve"> 50%</w:t>
      </w:r>
      <w:r w:rsidR="009E48DF">
        <w:t>, while also addressing other system needs</w:t>
      </w:r>
      <w:r>
        <w:t xml:space="preserve">. The </w:t>
      </w:r>
      <w:r w:rsidRPr="00D93D8A">
        <w:t xml:space="preserve">Demand-Response Reserves Pilot program will </w:t>
      </w:r>
      <w:r>
        <w:t>offer</w:t>
      </w:r>
      <w:r w:rsidRPr="00D93D8A">
        <w:t xml:space="preserve"> additional information on the performance of demand resources</w:t>
      </w:r>
      <w:r>
        <w:t xml:space="preserve"> in providing operating reserve</w:t>
      </w:r>
      <w:r w:rsidRPr="00D93D8A">
        <w:t>.</w:t>
      </w:r>
      <w:r>
        <w:t xml:space="preserve"> </w:t>
      </w:r>
    </w:p>
    <w:p w:rsidR="00FA6941" w:rsidRDefault="00FA6941" w:rsidP="00FA6941">
      <w:pPr>
        <w:pStyle w:val="Bullet-Solid"/>
      </w:pPr>
      <w:r w:rsidRPr="007E005D">
        <w:rPr>
          <w:b/>
        </w:rPr>
        <w:t>Transmission System</w:t>
      </w:r>
      <w:r w:rsidRPr="00D93D8A">
        <w:rPr>
          <w:b/>
        </w:rPr>
        <w:t>—</w:t>
      </w:r>
      <w:r w:rsidRPr="00D93D8A">
        <w:t>Transmission</w:t>
      </w:r>
      <w:r>
        <w:t xml:space="preserve"> studies have been completed and show the system needs and transmission additions required for the ISO’s continued compliance with NERC and NPCC reliability standards and criteria. An additional 3</w:t>
      </w:r>
      <w:r w:rsidR="00016EBE">
        <w:t>8</w:t>
      </w:r>
      <w:r>
        <w:t xml:space="preserve"> projects were placed in service in 2009, and an additional </w:t>
      </w:r>
      <w:r w:rsidR="00016EBE">
        <w:t>34</w:t>
      </w:r>
      <w:r>
        <w:t xml:space="preserve"> projects are expected to be placed in service in 2010. The completed transmission projects are required for providing reliable electric service to load throughout the system </w:t>
      </w:r>
      <w:r w:rsidRPr="00D93D8A">
        <w:t xml:space="preserve">and </w:t>
      </w:r>
      <w:r>
        <w:t xml:space="preserve">for </w:t>
      </w:r>
      <w:r w:rsidRPr="00D93D8A">
        <w:t>meet</w:t>
      </w:r>
      <w:r>
        <w:t>ing</w:t>
      </w:r>
      <w:r w:rsidRPr="00D93D8A">
        <w:t xml:space="preserve"> the demand in areas with significant load growth</w:t>
      </w:r>
      <w:r>
        <w:t>.</w:t>
      </w:r>
      <w:r w:rsidRPr="00E771E6">
        <w:t xml:space="preserve"> </w:t>
      </w:r>
    </w:p>
    <w:p w:rsidR="00FA6941" w:rsidRDefault="00FA6941" w:rsidP="00FA6941">
      <w:pPr>
        <w:ind w:left="720"/>
      </w:pPr>
      <w:r>
        <w:t xml:space="preserve">Transmission improvements already have reduced the costs of second-contingency and voltage-control payments to generation that must run for reliability reasons, especially in Lower SEMA. Additional transmission improvements are planned in that area and other load pockets to improve reliability by further </w:t>
      </w:r>
      <w:r w:rsidRPr="00150979">
        <w:t>reduc</w:t>
      </w:r>
      <w:r>
        <w:t xml:space="preserve">ing the reliance on must-run generation. </w:t>
      </w:r>
    </w:p>
    <w:p w:rsidR="006A7038" w:rsidRPr="00C323B0" w:rsidRDefault="00D4331C">
      <w:pPr>
        <w:pStyle w:val="Bullet-Solid"/>
        <w:numPr>
          <w:ilvl w:val="0"/>
          <w:numId w:val="0"/>
        </w:numPr>
        <w:ind w:left="720"/>
      </w:pPr>
      <w:r w:rsidRPr="00D4331C">
        <w:t xml:space="preserve">The need for the Interstate Reliability Project portion of NEEWS has been determined, and the final alternatives are under development. The need for the 345 kV portions of the Central Connecticut Reliability Project portion of NEEWS is under study. Plans call for discussing both these studies with the PAC by the first quarter </w:t>
      </w:r>
      <w:r w:rsidR="005E789C">
        <w:t>of</w:t>
      </w:r>
      <w:r w:rsidRPr="00D4331C">
        <w:t xml:space="preserve"> 2011. The other portions of NEEWS in Springfield and Rhode Island should proceed as planned to serve load reliably</w:t>
      </w:r>
      <w:r w:rsidR="00FA6941" w:rsidRPr="00B850D9">
        <w:t xml:space="preserve"> in those areas. </w:t>
      </w:r>
      <w:r w:rsidR="00FA6941">
        <w:t>T</w:t>
      </w:r>
      <w:r w:rsidR="00FA6941" w:rsidRPr="00B850D9">
        <w:t>he MPRP, a project adding major 345 kV facilities from the north to southern parts</w:t>
      </w:r>
      <w:r w:rsidR="00FA6941" w:rsidRPr="00D93D8A">
        <w:t xml:space="preserve"> </w:t>
      </w:r>
      <w:r w:rsidR="00FA6941" w:rsidRPr="00C25083">
        <w:t xml:space="preserve">of Maine, </w:t>
      </w:r>
      <w:r w:rsidR="008E67AE">
        <w:t>has received most of its approvals from the Maine PUC</w:t>
      </w:r>
      <w:r w:rsidR="00FA6941" w:rsidRPr="00D93D8A">
        <w:t xml:space="preserve">. </w:t>
      </w:r>
      <w:r w:rsidR="00FA6941">
        <w:t xml:space="preserve">Other transmission projects are necessary to </w:t>
      </w:r>
      <w:r w:rsidR="00FA6941" w:rsidRPr="00D93D8A">
        <w:t xml:space="preserve">serve demand </w:t>
      </w:r>
      <w:r w:rsidR="00FA6941">
        <w:t xml:space="preserve">reliably </w:t>
      </w:r>
      <w:r w:rsidR="00FA6941" w:rsidRPr="00D93D8A">
        <w:t>in load pockets, reduce</w:t>
      </w:r>
      <w:r w:rsidR="00FA6941">
        <w:t xml:space="preserve"> dependencies on must-run generation, and meet load growth throughout the system. The ISO will proceed with projects identified as planned in the </w:t>
      </w:r>
      <w:r w:rsidR="00FA6941">
        <w:rPr>
          <w:i/>
        </w:rPr>
        <w:t>RSP</w:t>
      </w:r>
      <w:r w:rsidR="00FA6941" w:rsidRPr="002E7A00">
        <w:rPr>
          <w:i/>
        </w:rPr>
        <w:t xml:space="preserve"> Project </w:t>
      </w:r>
      <w:r w:rsidR="00FA6941" w:rsidRPr="006A1968">
        <w:rPr>
          <w:i/>
        </w:rPr>
        <w:t>Lis</w:t>
      </w:r>
      <w:r w:rsidR="00FA6941">
        <w:rPr>
          <w:i/>
        </w:rPr>
        <w:t>t</w:t>
      </w:r>
      <w:r w:rsidR="00FA6941" w:rsidRPr="002E7A00">
        <w:t>.</w:t>
      </w:r>
    </w:p>
    <w:p w:rsidR="00266335" w:rsidRDefault="00266335" w:rsidP="002068C0">
      <w:pPr>
        <w:pStyle w:val="Bullet-Solid"/>
      </w:pPr>
      <w:r w:rsidRPr="008F7BDE">
        <w:rPr>
          <w:b/>
        </w:rPr>
        <w:t>Fuel Diversity—</w:t>
      </w:r>
      <w:r w:rsidRPr="00C05C77">
        <w:t>New England</w:t>
      </w:r>
      <w:r w:rsidRPr="008F7BDE">
        <w:rPr>
          <w:b/>
        </w:rPr>
        <w:t xml:space="preserve"> </w:t>
      </w:r>
      <w:r w:rsidRPr="00094584">
        <w:t xml:space="preserve">will </w:t>
      </w:r>
      <w:r>
        <w:t xml:space="preserve">continue to </w:t>
      </w:r>
      <w:r w:rsidRPr="00094584">
        <w:t xml:space="preserve">remain dependent on natural gas as the dominant fuel for </w:t>
      </w:r>
      <w:r>
        <w:t xml:space="preserve">the region, which provides over 40% of the region’s </w:t>
      </w:r>
      <w:r w:rsidR="000D4F95">
        <w:t xml:space="preserve">electric </w:t>
      </w:r>
      <w:r>
        <w:t>energy</w:t>
      </w:r>
      <w:r w:rsidRPr="00094584">
        <w:t>.</w:t>
      </w:r>
      <w:r>
        <w:t xml:space="preserve"> </w:t>
      </w:r>
      <w:r w:rsidRPr="008F7BDE">
        <w:t xml:space="preserve">Continued enhancement of the regional and interregional natural gas </w:t>
      </w:r>
      <w:r w:rsidRPr="00D93D8A">
        <w:t>infrastructure serving New England and its neighboring systems, including new</w:t>
      </w:r>
      <w:r>
        <w:t xml:space="preserve"> pipelines, </w:t>
      </w:r>
      <w:r w:rsidRPr="00D93D8A">
        <w:t>LNG terminals</w:t>
      </w:r>
      <w:r w:rsidR="008738DD">
        <w:t>,</w:t>
      </w:r>
      <w:r w:rsidRPr="00D93D8A">
        <w:t xml:space="preserve"> and new natural gas sources</w:t>
      </w:r>
      <w:r w:rsidRPr="0033459A">
        <w:t xml:space="preserve">, will help expand and diversify the region’s natural gas </w:t>
      </w:r>
      <w:r>
        <w:t>supply</w:t>
      </w:r>
      <w:r w:rsidRPr="0033459A">
        <w:t xml:space="preserve">. Converting gas-fired generation to dual-fuel capability improves reliability and reduces exposure to </w:t>
      </w:r>
      <w:r>
        <w:t xml:space="preserve">volatile natural gas </w:t>
      </w:r>
      <w:r w:rsidRPr="0033459A">
        <w:t>prices</w:t>
      </w:r>
      <w:r>
        <w:t xml:space="preserve"> during shortage periods</w:t>
      </w:r>
      <w:r w:rsidRPr="0033459A">
        <w:t>. Other risk factors have been mitigated through modifications to operating procedures</w:t>
      </w:r>
      <w:r w:rsidR="00682632">
        <w:t xml:space="preserve">. </w:t>
      </w:r>
      <w:r w:rsidR="00682632" w:rsidRPr="00682632">
        <w:t xml:space="preserve">Modifications to market rules are planned to address resource unit commitment uncertainties and to facilitate </w:t>
      </w:r>
      <w:r w:rsidR="00682632">
        <w:t xml:space="preserve">the </w:t>
      </w:r>
      <w:r w:rsidR="00682632" w:rsidRPr="00682632">
        <w:t>commitment of supplemental or replacement reserves during natural gas shortages</w:t>
      </w:r>
      <w:r w:rsidR="00662103">
        <w:t xml:space="preserve">. </w:t>
      </w:r>
      <w:r w:rsidR="00EF7A2E">
        <w:t xml:space="preserve">Environmental initiatives </w:t>
      </w:r>
      <w:r>
        <w:t xml:space="preserve">are promoting the development of renewable resources and energy efficiency, which would help increase system fuel diversity. </w:t>
      </w:r>
    </w:p>
    <w:p w:rsidR="00266335" w:rsidRDefault="00266335" w:rsidP="002068C0">
      <w:pPr>
        <w:pStyle w:val="Bullet-Solid"/>
      </w:pPr>
      <w:r w:rsidRPr="008F7BDE">
        <w:rPr>
          <w:b/>
        </w:rPr>
        <w:t xml:space="preserve">Environmental </w:t>
      </w:r>
      <w:r w:rsidR="00722413">
        <w:rPr>
          <w:b/>
        </w:rPr>
        <w:t>Initiatives</w:t>
      </w:r>
      <w:r w:rsidRPr="008F7BDE">
        <w:rPr>
          <w:b/>
        </w:rPr>
        <w:t>—</w:t>
      </w:r>
      <w:r>
        <w:t xml:space="preserve">While subject to revisions, the U.S. </w:t>
      </w:r>
      <w:r w:rsidRPr="00301CC9">
        <w:rPr>
          <w:i/>
        </w:rPr>
        <w:t>Clean Air Interstate Rule</w:t>
      </w:r>
      <w:r>
        <w:rPr>
          <w:i/>
        </w:rPr>
        <w:t xml:space="preserve">, </w:t>
      </w:r>
      <w:r>
        <w:t xml:space="preserve">the </w:t>
      </w:r>
      <w:r w:rsidRPr="00301CC9">
        <w:rPr>
          <w:i/>
        </w:rPr>
        <w:t xml:space="preserve">Clean Water </w:t>
      </w:r>
      <w:r w:rsidR="00D4331C" w:rsidRPr="00D4331C">
        <w:rPr>
          <w:i/>
        </w:rPr>
        <w:t>Act</w:t>
      </w:r>
      <w:r w:rsidR="00D4331C" w:rsidRPr="00D4331C">
        <w:t xml:space="preserve"> Section 316b specifying cooling water intake requirements, and</w:t>
      </w:r>
      <w:r w:rsidRPr="00094584">
        <w:t xml:space="preserve"> </w:t>
      </w:r>
      <w:r>
        <w:t xml:space="preserve">the Regional </w:t>
      </w:r>
      <w:r w:rsidR="00D4331C" w:rsidRPr="00D4331C">
        <w:t>Greenhouse Gas Initiative are environmental requirements that will affect or are affecting the region’s generators. Power plant options for complying with Section 316b could require capital improvements in thermal discharge systems, including the addition of cooling towers. Compliance with air emission initiatives may require several actions by power plant owners. These could include improving emission control systems, which add capital costs; procuring emission allowances and switching to cleaner fuels, which would increase operating costs; and reducing the permissible run times of the plant, which would reduce revenues from the market. The</w:t>
      </w:r>
      <w:r w:rsidRPr="00094584">
        <w:t xml:space="preserve"> ISO monitors </w:t>
      </w:r>
      <w:r>
        <w:t xml:space="preserve">environmental </w:t>
      </w:r>
      <w:r w:rsidR="00EF7A2E">
        <w:t>initiatives</w:t>
      </w:r>
      <w:r>
        <w:t>, their effects on generating plant operations,</w:t>
      </w:r>
      <w:r w:rsidRPr="00094584">
        <w:t xml:space="preserve"> and their </w:t>
      </w:r>
      <w:r>
        <w:t>effects on the overall</w:t>
      </w:r>
      <w:r w:rsidRPr="00094584">
        <w:t xml:space="preserve"> planning </w:t>
      </w:r>
      <w:r>
        <w:t>and operation of the power system</w:t>
      </w:r>
      <w:r w:rsidR="00662103">
        <w:t xml:space="preserve">. </w:t>
      </w:r>
    </w:p>
    <w:p w:rsidR="00266335" w:rsidRDefault="00266335" w:rsidP="002068C0">
      <w:pPr>
        <w:pStyle w:val="Bullet-Solid"/>
      </w:pPr>
      <w:r w:rsidRPr="008F7BDE">
        <w:rPr>
          <w:b/>
        </w:rPr>
        <w:t xml:space="preserve">Environmental </w:t>
      </w:r>
      <w:r>
        <w:rPr>
          <w:b/>
        </w:rPr>
        <w:t>Performance</w:t>
      </w:r>
      <w:r w:rsidRPr="008F7BDE">
        <w:rPr>
          <w:b/>
        </w:rPr>
        <w:t>—</w:t>
      </w:r>
      <w:r>
        <w:t xml:space="preserve">The </w:t>
      </w:r>
      <w:r w:rsidR="00C02ED3">
        <w:t xml:space="preserve">2008 </w:t>
      </w:r>
      <w:r w:rsidR="006415E4">
        <w:t xml:space="preserve">average emissions for </w:t>
      </w:r>
      <w:r>
        <w:t>New England generat</w:t>
      </w:r>
      <w:r w:rsidR="006415E4">
        <w:t xml:space="preserve">ors </w:t>
      </w:r>
      <w:r>
        <w:t xml:space="preserve">show </w:t>
      </w:r>
      <w:r w:rsidR="006415E4">
        <w:t xml:space="preserve">a </w:t>
      </w:r>
      <w:r>
        <w:t xml:space="preserve">continual decline from previous years. </w:t>
      </w:r>
      <w:r w:rsidRPr="00771763">
        <w:t xml:space="preserve">The </w:t>
      </w:r>
      <w:r w:rsidR="00C814EB" w:rsidRPr="00771763">
        <w:t>marginal</w:t>
      </w:r>
      <w:r w:rsidRPr="00771763">
        <w:t xml:space="preserve"> emission rates have declined as natural gas has become the dominant portion of generation</w:t>
      </w:r>
      <w:r w:rsidR="00C814EB" w:rsidRPr="00771763">
        <w:t xml:space="preserve">. </w:t>
      </w:r>
      <w:r>
        <w:rPr>
          <w:rFonts w:cs="Times New Roman"/>
        </w:rPr>
        <w:t>Compared with</w:t>
      </w:r>
      <w:r w:rsidRPr="00166976">
        <w:rPr>
          <w:rFonts w:cs="Times New Roman"/>
        </w:rPr>
        <w:t xml:space="preserve"> 1999</w:t>
      </w:r>
      <w:r>
        <w:rPr>
          <w:rFonts w:cs="Times New Roman"/>
        </w:rPr>
        <w:t>,</w:t>
      </w:r>
      <w:r w:rsidRPr="00166976">
        <w:rPr>
          <w:rFonts w:cs="Times New Roman"/>
        </w:rPr>
        <w:t xml:space="preserve"> the </w:t>
      </w:r>
      <w:r>
        <w:rPr>
          <w:rFonts w:cs="Times New Roman"/>
        </w:rPr>
        <w:t>2008</w:t>
      </w:r>
      <w:r w:rsidR="00682632">
        <w:rPr>
          <w:rFonts w:cs="Times New Roman"/>
        </w:rPr>
        <w:t xml:space="preserve"> average </w:t>
      </w:r>
      <w:r>
        <w:rPr>
          <w:rFonts w:cs="Times New Roman"/>
        </w:rPr>
        <w:t xml:space="preserve">emission rate </w:t>
      </w:r>
      <w:r w:rsidR="00A73A1E">
        <w:rPr>
          <w:rFonts w:cs="Times New Roman"/>
        </w:rPr>
        <w:t xml:space="preserve">for </w:t>
      </w:r>
      <w:r w:rsidR="00A73A1E" w:rsidRPr="00166976">
        <w:rPr>
          <w:rFonts w:cs="Times New Roman"/>
        </w:rPr>
        <w:t>SO</w:t>
      </w:r>
      <w:r w:rsidR="00A73A1E" w:rsidRPr="00166976">
        <w:rPr>
          <w:rFonts w:cs="Times New Roman"/>
          <w:vertAlign w:val="subscript"/>
        </w:rPr>
        <w:t>2</w:t>
      </w:r>
      <w:r w:rsidR="00A73A1E">
        <w:rPr>
          <w:rFonts w:cs="Times New Roman"/>
          <w:vertAlign w:val="subscript"/>
        </w:rPr>
        <w:t xml:space="preserve"> </w:t>
      </w:r>
      <w:r w:rsidRPr="00166976">
        <w:rPr>
          <w:rFonts w:cs="Times New Roman"/>
        </w:rPr>
        <w:t>has declined by 67%, the NO</w:t>
      </w:r>
      <w:r w:rsidRPr="00166976">
        <w:rPr>
          <w:rFonts w:cs="Times New Roman"/>
          <w:vertAlign w:val="subscript"/>
        </w:rPr>
        <w:t>X</w:t>
      </w:r>
      <w:r w:rsidRPr="00166976">
        <w:rPr>
          <w:rFonts w:cs="Times New Roman"/>
        </w:rPr>
        <w:t xml:space="preserve"> rate by 62%</w:t>
      </w:r>
      <w:r>
        <w:rPr>
          <w:rFonts w:cs="Times New Roman"/>
        </w:rPr>
        <w:t>,</w:t>
      </w:r>
      <w:r w:rsidRPr="00166976">
        <w:rPr>
          <w:rFonts w:cs="Times New Roman"/>
        </w:rPr>
        <w:t xml:space="preserve"> and the CO</w:t>
      </w:r>
      <w:r w:rsidRPr="00166976">
        <w:rPr>
          <w:rFonts w:cs="Times New Roman"/>
          <w:vertAlign w:val="subscript"/>
        </w:rPr>
        <w:t>2</w:t>
      </w:r>
      <w:r w:rsidRPr="00166976">
        <w:rPr>
          <w:rFonts w:cs="Times New Roman"/>
        </w:rPr>
        <w:t xml:space="preserve"> rate by 12%</w:t>
      </w:r>
      <w:r>
        <w:rPr>
          <w:rFonts w:cs="Times New Roman"/>
        </w:rPr>
        <w:t xml:space="preserve">. </w:t>
      </w:r>
      <w:r>
        <w:t xml:space="preserve">Further reductions in emissions are supported by state policies and the ISO markets. </w:t>
      </w:r>
    </w:p>
    <w:p w:rsidR="009953F6" w:rsidRDefault="00266335" w:rsidP="002068C0">
      <w:pPr>
        <w:ind w:left="720"/>
      </w:pPr>
      <w:r>
        <w:t>RGGI allowance auctions to date have provided over $</w:t>
      </w:r>
      <w:r w:rsidR="005D45E4">
        <w:t>17</w:t>
      </w:r>
      <w:r w:rsidR="00EF7A2E">
        <w:t>7</w:t>
      </w:r>
      <w:r w:rsidR="005D45E4">
        <w:t> </w:t>
      </w:r>
      <w:r>
        <w:t>million to the six New England states</w:t>
      </w:r>
      <w:r w:rsidR="005D45E4">
        <w:t>,</w:t>
      </w:r>
      <w:r>
        <w:t xml:space="preserve"> and over </w:t>
      </w:r>
      <w:r w:rsidR="00EF7A2E">
        <w:t>93</w:t>
      </w:r>
      <w:r>
        <w:t>% of these funds are targeted for the state energy-efficiency programs.</w:t>
      </w:r>
      <w:r w:rsidR="008310D0">
        <w:t xml:space="preserve"> New England’s preliminary </w:t>
      </w:r>
      <w:r w:rsidR="00C6322D">
        <w:t>CO</w:t>
      </w:r>
      <w:r w:rsidR="00C6322D" w:rsidRPr="00C6322D">
        <w:rPr>
          <w:vertAlign w:val="subscript"/>
        </w:rPr>
        <w:t>2</w:t>
      </w:r>
      <w:r w:rsidR="008310D0">
        <w:t xml:space="preserve"> emissions for 2009 are approximately 30% below the cap of 55.8</w:t>
      </w:r>
      <w:r w:rsidR="006D6335">
        <w:t> </w:t>
      </w:r>
      <w:r w:rsidR="008310D0">
        <w:t>million tons.</w:t>
      </w:r>
      <w:r>
        <w:t xml:space="preserve"> </w:t>
      </w:r>
    </w:p>
    <w:p w:rsidR="00266335" w:rsidRPr="00771763" w:rsidRDefault="00266335" w:rsidP="002068C0">
      <w:pPr>
        <w:pStyle w:val="Bullet-Solid"/>
      </w:pPr>
      <w:r w:rsidRPr="00771763">
        <w:rPr>
          <w:b/>
        </w:rPr>
        <w:t>Renewable Portfolio Standards and Related Policies—</w:t>
      </w:r>
      <w:r w:rsidRPr="00771763">
        <w:t>An ISO analysis based on the 2010 energy forecast shows that Renewable Portfolio Standards and other related goals would result in total demand for renewable resources and energy efficiency reaching 2</w:t>
      </w:r>
      <w:r w:rsidR="00951A59">
        <w:t>5</w:t>
      </w:r>
      <w:r w:rsidRPr="00771763">
        <w:t>.</w:t>
      </w:r>
      <w:r w:rsidR="00951A59">
        <w:t>5</w:t>
      </w:r>
      <w:r w:rsidRPr="00771763">
        <w:t xml:space="preserve">% of </w:t>
      </w:r>
      <w:r w:rsidR="00771763" w:rsidRPr="00771763">
        <w:t xml:space="preserve">New England’s total projected energy use </w:t>
      </w:r>
      <w:r w:rsidRPr="00771763">
        <w:t xml:space="preserve">by 2017 and </w:t>
      </w:r>
      <w:r w:rsidR="00951A59">
        <w:t>30</w:t>
      </w:r>
      <w:r w:rsidRPr="00771763">
        <w:t>.</w:t>
      </w:r>
      <w:r w:rsidR="00951A59">
        <w:t>4</w:t>
      </w:r>
      <w:r w:rsidRPr="00771763">
        <w:t xml:space="preserve">% by 2020. If only 40% of the renewable energy projects </w:t>
      </w:r>
      <w:r w:rsidRPr="000B2D74">
        <w:t xml:space="preserve">in </w:t>
      </w:r>
      <w:r w:rsidR="00D1157E" w:rsidRPr="000B2D74">
        <w:t xml:space="preserve">the </w:t>
      </w:r>
      <w:r w:rsidRPr="000B2D74">
        <w:t xml:space="preserve">ISO’s Generator Interconnection </w:t>
      </w:r>
      <w:r w:rsidR="00C814EB" w:rsidRPr="000B2D74">
        <w:t>Queue (as of April 1, 2010)</w:t>
      </w:r>
      <w:r w:rsidR="007E54CD" w:rsidRPr="000B2D74">
        <w:t xml:space="preserve"> </w:t>
      </w:r>
      <w:r w:rsidRPr="000B2D74">
        <w:t xml:space="preserve">were built, the electric energy from these projects would meet the projected demand for renewable energy in New England up to 2013. </w:t>
      </w:r>
      <w:r w:rsidR="00821C68" w:rsidRPr="000B2D74">
        <w:t>However, other resources, such as resources from adjacent balancing authority areas; new renewable projects in New England not yet in the queue; small, behind-the-meter projects; and existing generators switching to eligible renewable fuels, could fill the RPS compliance need beyond 2013.</w:t>
      </w:r>
      <w:r w:rsidR="000B2D74" w:rsidRPr="000B2D74">
        <w:t xml:space="preserve"> </w:t>
      </w:r>
      <w:r w:rsidRPr="000B2D74">
        <w:t>Other</w:t>
      </w:r>
      <w:r w:rsidRPr="00771763">
        <w:t xml:space="preserve"> options could fill </w:t>
      </w:r>
      <w:r w:rsidR="00EF7A2E">
        <w:t>any shortfalls of</w:t>
      </w:r>
      <w:r w:rsidRPr="00771763">
        <w:t xml:space="preserve"> need, such as making Alternative Compliance Payments, which also serve as a price cap on the cost of </w:t>
      </w:r>
      <w:r w:rsidR="00A707BD" w:rsidRPr="00A707BD">
        <w:t>Renewable Energy Certificate</w:t>
      </w:r>
      <w:r w:rsidR="00C814EB" w:rsidRPr="00771763">
        <w:t>s.</w:t>
      </w:r>
      <w:r w:rsidRPr="00771763">
        <w:t xml:space="preserve"> </w:t>
      </w:r>
    </w:p>
    <w:p w:rsidR="00266335" w:rsidRPr="00096EC2" w:rsidRDefault="00266335" w:rsidP="002068C0">
      <w:pPr>
        <w:pStyle w:val="Bullet-Solid"/>
      </w:pPr>
      <w:r w:rsidRPr="005C6C8D">
        <w:rPr>
          <w:b/>
        </w:rPr>
        <w:t>Integration of New Technologies</w:t>
      </w:r>
      <w:r>
        <w:rPr>
          <w:b/>
        </w:rPr>
        <w:t xml:space="preserve"> and Smart Grid</w:t>
      </w:r>
      <w:r w:rsidRPr="005C6C8D">
        <w:t>—</w:t>
      </w:r>
      <w:r>
        <w:t>T</w:t>
      </w:r>
      <w:r w:rsidRPr="005C6C8D">
        <w:t xml:space="preserve">he ISO is undertaking a </w:t>
      </w:r>
      <w:r w:rsidRPr="006F43D4">
        <w:t>detailed wind integration study</w:t>
      </w:r>
      <w:r w:rsidRPr="005C6C8D">
        <w:t xml:space="preserve"> </w:t>
      </w:r>
      <w:r w:rsidRPr="00900E52">
        <w:t>of up</w:t>
      </w:r>
      <w:r w:rsidRPr="0070022E">
        <w:t xml:space="preserve"> to 1</w:t>
      </w:r>
      <w:r>
        <w:t>2</w:t>
      </w:r>
      <w:r w:rsidRPr="0070022E">
        <w:t xml:space="preserve">,000 MW of </w:t>
      </w:r>
      <w:r>
        <w:t xml:space="preserve">potential </w:t>
      </w:r>
      <w:r w:rsidRPr="0070022E">
        <w:t xml:space="preserve">wind </w:t>
      </w:r>
      <w:r w:rsidRPr="005C6C8D">
        <w:t xml:space="preserve">development. This </w:t>
      </w:r>
      <w:r w:rsidRPr="0070022E">
        <w:t xml:space="preserve">will assist the ISO in planning for the reliable </w:t>
      </w:r>
      <w:r w:rsidRPr="005C6C8D">
        <w:t xml:space="preserve">integration of a large </w:t>
      </w:r>
      <w:r w:rsidRPr="0070022E">
        <w:t>amount of variable-output resource</w:t>
      </w:r>
      <w:r>
        <w:t>s</w:t>
      </w:r>
      <w:r w:rsidRPr="0070022E">
        <w:t xml:space="preserve"> into </w:t>
      </w:r>
      <w:r w:rsidR="00D1157E">
        <w:t xml:space="preserve">the </w:t>
      </w:r>
      <w:r>
        <w:t xml:space="preserve">ISO’s </w:t>
      </w:r>
      <w:r w:rsidRPr="0070022E">
        <w:t>system planning and operation</w:t>
      </w:r>
      <w:r>
        <w:t>s</w:t>
      </w:r>
      <w:r w:rsidRPr="0070022E">
        <w:t xml:space="preserve"> </w:t>
      </w:r>
      <w:r>
        <w:t xml:space="preserve">as well as </w:t>
      </w:r>
      <w:r w:rsidRPr="0070022E">
        <w:t xml:space="preserve">New England’s wholesale electricity markets. The ISO also is taking steps to integrate </w:t>
      </w:r>
      <w:r>
        <w:t xml:space="preserve">active </w:t>
      </w:r>
      <w:r w:rsidRPr="0070022E">
        <w:t xml:space="preserve">demand resources, </w:t>
      </w:r>
      <w:r w:rsidRPr="00C25083">
        <w:t xml:space="preserve">which </w:t>
      </w:r>
      <w:r w:rsidR="00C814EB" w:rsidRPr="00C25083">
        <w:t>currently</w:t>
      </w:r>
      <w:r w:rsidR="00D1157E">
        <w:t xml:space="preserve"> </w:t>
      </w:r>
      <w:r w:rsidRPr="00771763">
        <w:t>represent over 1,</w:t>
      </w:r>
      <w:r w:rsidR="00804617" w:rsidRPr="00771763">
        <w:t>800</w:t>
      </w:r>
      <w:r w:rsidR="00804617">
        <w:t> </w:t>
      </w:r>
      <w:r w:rsidRPr="00771763">
        <w:t>M</w:t>
      </w:r>
      <w:r>
        <w:t>W</w:t>
      </w:r>
      <w:r w:rsidRPr="00C1453F">
        <w:t xml:space="preserve"> system </w:t>
      </w:r>
      <w:r w:rsidRPr="00C25083">
        <w:t>capacity</w:t>
      </w:r>
      <w:r w:rsidR="00C25083">
        <w:t xml:space="preserve"> </w:t>
      </w:r>
      <w:r w:rsidR="00C25083" w:rsidRPr="00C25083">
        <w:t xml:space="preserve">for </w:t>
      </w:r>
      <w:r w:rsidR="00C814EB" w:rsidRPr="00C25083">
        <w:t>201</w:t>
      </w:r>
      <w:r w:rsidR="000B2D74">
        <w:t>2</w:t>
      </w:r>
      <w:r w:rsidRPr="00C25083">
        <w:t>, into</w:t>
      </w:r>
      <w:r w:rsidRPr="00344031">
        <w:t xml:space="preserve"> system operati</w:t>
      </w:r>
      <w:r w:rsidRPr="00D93D8A">
        <w:t>ons and the markets.</w:t>
      </w:r>
      <w:r>
        <w:t xml:space="preserve"> </w:t>
      </w:r>
      <w:r w:rsidR="00D1157E">
        <w:t>Because some New England states now have future targets for solar installations, t</w:t>
      </w:r>
      <w:r>
        <w:t xml:space="preserve">he ISO is following the developments </w:t>
      </w:r>
      <w:r w:rsidR="00D1157E">
        <w:t xml:space="preserve">of </w:t>
      </w:r>
      <w:r>
        <w:t xml:space="preserve">solar photovoltaic installations </w:t>
      </w:r>
      <w:r w:rsidR="00D1157E">
        <w:t>in the region</w:t>
      </w:r>
      <w:r w:rsidR="00662103">
        <w:t xml:space="preserve">. </w:t>
      </w:r>
    </w:p>
    <w:p w:rsidR="00266335" w:rsidRDefault="00266335" w:rsidP="002068C0">
      <w:pPr>
        <w:ind w:left="720"/>
        <w:rPr>
          <w:color w:val="000000"/>
        </w:rPr>
      </w:pPr>
      <w:r w:rsidRPr="007E005D">
        <w:t xml:space="preserve">The federal </w:t>
      </w:r>
      <w:r>
        <w:rPr>
          <w:i/>
          <w:iCs/>
        </w:rPr>
        <w:t xml:space="preserve">Energy Independence and Security Act of 2007 </w:t>
      </w:r>
      <w:r w:rsidRPr="007E005D">
        <w:t xml:space="preserve">is calling for a </w:t>
      </w:r>
      <w:r w:rsidRPr="00A45068">
        <w:t xml:space="preserve">major increase </w:t>
      </w:r>
      <w:r>
        <w:t xml:space="preserve">in the </w:t>
      </w:r>
      <w:r w:rsidRPr="007E005D">
        <w:t xml:space="preserve">use </w:t>
      </w:r>
      <w:r>
        <w:t xml:space="preserve">of smart grid </w:t>
      </w:r>
      <w:r w:rsidRPr="007E005D">
        <w:t xml:space="preserve">technologies to improve the operation and </w:t>
      </w:r>
      <w:r w:rsidRPr="004D59DF">
        <w:t xml:space="preserve">planning of the electricity grid. The ISO already is experienced in using some smart grid technologies and </w:t>
      </w:r>
      <w:r w:rsidR="00C814EB" w:rsidRPr="00C814EB">
        <w:t xml:space="preserve">currently </w:t>
      </w:r>
      <w:r w:rsidRPr="004D59DF">
        <w:t xml:space="preserve">is </w:t>
      </w:r>
      <w:r w:rsidR="00C814EB" w:rsidRPr="00C814EB">
        <w:t xml:space="preserve">using smart grid technologies to </w:t>
      </w:r>
      <w:r w:rsidRPr="004D59DF">
        <w:t>improv</w:t>
      </w:r>
      <w:r w:rsidR="00C814EB" w:rsidRPr="00C814EB">
        <w:t>e</w:t>
      </w:r>
      <w:r w:rsidRPr="004D59DF">
        <w:t xml:space="preserve"> data acquisition, analysis, control, and efficiency of the electric power grid. </w:t>
      </w:r>
      <w:r w:rsidR="00771763" w:rsidRPr="00771763">
        <w:t xml:space="preserve">Funding from the </w:t>
      </w:r>
      <w:r w:rsidR="00771763" w:rsidRPr="00771763">
        <w:rPr>
          <w:i/>
        </w:rPr>
        <w:t xml:space="preserve">American Recovery and Reinvestment Act </w:t>
      </w:r>
      <w:r w:rsidR="00771763" w:rsidRPr="00C25083">
        <w:rPr>
          <w:i/>
        </w:rPr>
        <w:t>of 2009</w:t>
      </w:r>
      <w:r w:rsidR="00771763" w:rsidRPr="00771763">
        <w:t xml:space="preserve"> is supporting additional installations and applications of phasor measurement systems on the New England system. </w:t>
      </w:r>
      <w:r w:rsidRPr="004D59DF">
        <w:t>C</w:t>
      </w:r>
      <w:r>
        <w:t xml:space="preserve">onsiderable </w:t>
      </w:r>
      <w:r w:rsidRPr="00900E52">
        <w:t xml:space="preserve">research and development </w:t>
      </w:r>
      <w:r w:rsidR="00954EC9">
        <w:t>are</w:t>
      </w:r>
      <w:r w:rsidRPr="00900E52">
        <w:t xml:space="preserve"> needed to benefit </w:t>
      </w:r>
      <w:r>
        <w:t xml:space="preserve">fully </w:t>
      </w:r>
      <w:r w:rsidRPr="00900E52">
        <w:t>from these technologies</w:t>
      </w:r>
      <w:r w:rsidR="004D59DF">
        <w:t>, however, and the ISO and its stakeholders are examining t</w:t>
      </w:r>
      <w:r>
        <w:t xml:space="preserve">he use of phasor measurement units, FACTS, dynamic line ratings, and thermal and electricity </w:t>
      </w:r>
      <w:r w:rsidRPr="00900E52">
        <w:t>storage</w:t>
      </w:r>
      <w:r>
        <w:t xml:space="preserve"> technologies</w:t>
      </w:r>
      <w:r w:rsidR="004D59DF">
        <w:t>,</w:t>
      </w:r>
      <w:r>
        <w:t xml:space="preserve"> such as plug-in electric vehicles. All these technologies have the potential to support the reliable and economical operation and planning of the grid and will facilitate the successful integration of renewable energy resources.</w:t>
      </w:r>
      <w:r w:rsidR="009E48DF">
        <w:t xml:space="preserve"> </w:t>
      </w:r>
    </w:p>
    <w:p w:rsidR="00266335" w:rsidRDefault="00266335" w:rsidP="002068C0">
      <w:pPr>
        <w:pStyle w:val="Bullet-Solid"/>
      </w:pPr>
      <w:r>
        <w:rPr>
          <w:b/>
          <w:bCs/>
        </w:rPr>
        <w:t>Economic Planning Studies</w:t>
      </w:r>
      <w:r w:rsidRPr="008F7BDE">
        <w:rPr>
          <w:b/>
        </w:rPr>
        <w:t>—</w:t>
      </w:r>
      <w:r>
        <w:t xml:space="preserve">In response to a request by the New England </w:t>
      </w:r>
      <w:r w:rsidR="00DE016D">
        <w:t>g</w:t>
      </w:r>
      <w:r>
        <w:t xml:space="preserve">overnors, the ISO </w:t>
      </w:r>
      <w:r w:rsidRPr="008310D8">
        <w:t xml:space="preserve">provided technical support </w:t>
      </w:r>
      <w:r w:rsidR="00DE016D">
        <w:t xml:space="preserve">to the governors </w:t>
      </w:r>
      <w:r w:rsidRPr="008310D8">
        <w:t xml:space="preserve">for developing a </w:t>
      </w:r>
      <w:r w:rsidR="00804617">
        <w:t>“</w:t>
      </w:r>
      <w:r w:rsidRPr="008310D8">
        <w:t>blueprint</w:t>
      </w:r>
      <w:r w:rsidR="00804617">
        <w:t>”</w:t>
      </w:r>
      <w:r w:rsidRPr="008310D8">
        <w:t xml:space="preserve"> for integrating large-scale renewable energy resources into the region’s electric power grid</w:t>
      </w:r>
      <w:r>
        <w:t xml:space="preserve">. The </w:t>
      </w:r>
      <w:r w:rsidRPr="00FC58A9">
        <w:t xml:space="preserve">primary findings </w:t>
      </w:r>
      <w:r w:rsidR="00DE016D">
        <w:t xml:space="preserve">of the </w:t>
      </w:r>
      <w:r w:rsidR="00DE016D" w:rsidRPr="00A537EE">
        <w:rPr>
          <w:i/>
        </w:rPr>
        <w:t>2030 Power System Study</w:t>
      </w:r>
      <w:r w:rsidR="00DE016D" w:rsidRPr="00FC58A9">
        <w:t xml:space="preserve"> </w:t>
      </w:r>
      <w:r w:rsidRPr="00FC58A9">
        <w:t xml:space="preserve">indicate that New England has significant </w:t>
      </w:r>
      <w:r>
        <w:t xml:space="preserve">potential for </w:t>
      </w:r>
      <w:r w:rsidRPr="00FC58A9">
        <w:t>onshore and offshore wind</w:t>
      </w:r>
      <w:r w:rsidRPr="00C45B15">
        <w:t xml:space="preserve"> resources that could be developed and added to the </w:t>
      </w:r>
      <w:r>
        <w:t>electric power system</w:t>
      </w:r>
      <w:r w:rsidRPr="00C45B15">
        <w:t xml:space="preserve"> with appropriate transmission expansion. Renewable and low-carbon</w:t>
      </w:r>
      <w:r w:rsidR="00DE016D">
        <w:t>-emitting</w:t>
      </w:r>
      <w:r w:rsidRPr="00C45B15">
        <w:t xml:space="preserve"> resources located nearby in </w:t>
      </w:r>
      <w:r>
        <w:t>e</w:t>
      </w:r>
      <w:r w:rsidRPr="00C45B15">
        <w:t xml:space="preserve">astern Canada </w:t>
      </w:r>
      <w:r w:rsidRPr="002839FF">
        <w:t xml:space="preserve">could be available to New England </w:t>
      </w:r>
      <w:r w:rsidR="00D4331C" w:rsidRPr="00D4331C">
        <w:t>with transmission</w:t>
      </w:r>
      <w:r w:rsidRPr="002839FF">
        <w:t xml:space="preserve"> expansions to the Québec and New Brunswick power systems. </w:t>
      </w:r>
    </w:p>
    <w:p w:rsidR="00266335" w:rsidRDefault="00266335" w:rsidP="002068C0">
      <w:pPr>
        <w:ind w:left="720"/>
      </w:pPr>
      <w:r>
        <w:t xml:space="preserve">In April 2010, </w:t>
      </w:r>
      <w:r w:rsidR="00DE016D">
        <w:t xml:space="preserve">the </w:t>
      </w:r>
      <w:r>
        <w:t xml:space="preserve">ISO received a request from NESCOE to supplement the </w:t>
      </w:r>
      <w:r w:rsidRPr="00A537EE">
        <w:rPr>
          <w:i/>
        </w:rPr>
        <w:t>2030 Power System Study</w:t>
      </w:r>
      <w:r>
        <w:t xml:space="preserve">. This study would </w:t>
      </w:r>
      <w:r w:rsidR="00DE016D">
        <w:t xml:space="preserve">analyze </w:t>
      </w:r>
      <w:r w:rsidRPr="00927E4D">
        <w:t xml:space="preserve">(1) </w:t>
      </w:r>
      <w:r w:rsidR="00E92318">
        <w:t xml:space="preserve">the </w:t>
      </w:r>
      <w:r w:rsidRPr="00927E4D">
        <w:t xml:space="preserve">market-sourced replacement or repowering of older coal- and oil-fired generators, and (2) </w:t>
      </w:r>
      <w:r w:rsidR="00E92318">
        <w:t xml:space="preserve">the </w:t>
      </w:r>
      <w:r w:rsidRPr="00927E4D">
        <w:t>replace</w:t>
      </w:r>
      <w:r>
        <w:t>ment of</w:t>
      </w:r>
      <w:r w:rsidRPr="00927E4D">
        <w:t xml:space="preserve"> the same fossil units through </w:t>
      </w:r>
      <w:r>
        <w:t xml:space="preserve">the </w:t>
      </w:r>
      <w:r w:rsidRPr="00927E4D">
        <w:t>competitive procurement of renewable resources from New England</w:t>
      </w:r>
      <w:r>
        <w:t xml:space="preserve">, </w:t>
      </w:r>
      <w:r w:rsidRPr="00927E4D">
        <w:t>neighboring Canadian provinces</w:t>
      </w:r>
      <w:r>
        <w:t>, or both areas.</w:t>
      </w:r>
    </w:p>
    <w:p w:rsidR="006A7038" w:rsidRDefault="00266335" w:rsidP="000B2D74">
      <w:pPr>
        <w:ind w:left="720"/>
      </w:pPr>
      <w:r>
        <w:t xml:space="preserve">The ISO is also conducting joint production cost studies with PJM and NYISO, examining several scenarios for the 2013 system. The goal of the study is to identify potential transmission bottlenecks that may constrain interregional power transfers and show the effects of relieving those transmission constraints. </w:t>
      </w:r>
    </w:p>
    <w:p w:rsidR="00266335" w:rsidRPr="00CD02D2" w:rsidRDefault="00266335" w:rsidP="002068C0">
      <w:pPr>
        <w:pStyle w:val="Bullet-Solid"/>
      </w:pPr>
      <w:r>
        <w:rPr>
          <w:b/>
        </w:rPr>
        <w:t>Interregional Planning—</w:t>
      </w:r>
      <w:r>
        <w:t xml:space="preserve">ISO New England’s planning activities are closely coordinated among the six New England states as well as with neighboring systems and the federal government. The Northeastern ISO/RTO Planning Protocol has improved interregional planning among </w:t>
      </w:r>
      <w:r w:rsidR="00C83D2B">
        <w:t xml:space="preserve">the </w:t>
      </w:r>
      <w:r>
        <w:t xml:space="preserve">ISO’s neighboring areas, as summarized in the </w:t>
      </w:r>
      <w:r w:rsidRPr="00056C3D">
        <w:t>Northeast Coordinated System Plan</w:t>
      </w:r>
      <w:r>
        <w:t xml:space="preserve">. Sharing capacity resources with other systems, particularly to meet environmental emission requirements, will likely become increasingly necessary. Identifying the potential impacts that proposed generating units and transmission projects could have on neighboring systems is beneficial for </w:t>
      </w:r>
      <w:r w:rsidR="00804617">
        <w:t xml:space="preserve">systemwide </w:t>
      </w:r>
      <w:r>
        <w:t>reliab</w:t>
      </w:r>
      <w:r w:rsidR="00940737">
        <w:t xml:space="preserve">ility </w:t>
      </w:r>
      <w:r>
        <w:t>and economic performance. The ISO has coordinated system plans and</w:t>
      </w:r>
      <w:r w:rsidR="00C83D2B">
        <w:t xml:space="preserve"> </w:t>
      </w:r>
      <w:r>
        <w:t>proactively initiated planning studies with other regions. The Eastern Interconnection Planning Collaborative is coordinating plans across the entire Eastern Interconnection, seeking to promote wide-area technical planning studies.</w:t>
      </w:r>
    </w:p>
    <w:p w:rsidR="00266335" w:rsidRPr="00B17193" w:rsidRDefault="00266335" w:rsidP="002068C0">
      <w:pPr>
        <w:pStyle w:val="Bullet-Solid"/>
        <w:rPr>
          <w:rFonts w:cs="Times New Roman"/>
        </w:rPr>
      </w:pPr>
      <w:r w:rsidRPr="00A06F08">
        <w:rPr>
          <w:b/>
        </w:rPr>
        <w:t>Regional and State Initiatives</w:t>
      </w:r>
      <w:r>
        <w:rPr>
          <w:b/>
        </w:rPr>
        <w:t>—</w:t>
      </w:r>
      <w:r>
        <w:t>The ISO continues to work with stakeholders to improve the RSP and the planning process. Two of these major initiatives will consider the use of the state energy-efficiency goals and the provision of additional information on how nontransmission alternatives can play a role in meeting system needs</w:t>
      </w:r>
      <w:r w:rsidR="00E84B2C">
        <w:t xml:space="preserve">. </w:t>
      </w:r>
    </w:p>
    <w:p w:rsidR="00266335" w:rsidRDefault="00266335" w:rsidP="002068C0">
      <w:pPr>
        <w:tabs>
          <w:tab w:val="left" w:pos="810"/>
        </w:tabs>
        <w:ind w:left="720"/>
      </w:pPr>
      <w:r>
        <w:t xml:space="preserve">Active involvement and participation by all regional stakeholders, including public officials, state agencies, market participants, and other PAC members, are key elements of an open, transparent, and successful planning process. </w:t>
      </w:r>
      <w:r w:rsidRPr="007E005D">
        <w:t>The ISO has continued to work with other representatives of the New England states, primarily through the PAC but also through designated representative organizations</w:t>
      </w:r>
      <w:r>
        <w:t>,</w:t>
      </w:r>
      <w:r w:rsidRPr="007E005D">
        <w:t xml:space="preserve"> such as </w:t>
      </w:r>
      <w:r>
        <w:t xml:space="preserve">the </w:t>
      </w:r>
      <w:r w:rsidRPr="007E005D">
        <w:t xml:space="preserve">New England </w:t>
      </w:r>
      <w:r w:rsidRPr="00A45068">
        <w:t>Committee of Public Utilit</w:t>
      </w:r>
      <w:r>
        <w:t>ies</w:t>
      </w:r>
      <w:r w:rsidRPr="00A45068">
        <w:t xml:space="preserve"> Commissioners</w:t>
      </w:r>
      <w:r>
        <w:t>, the New England States Committee on Electricity,</w:t>
      </w:r>
      <w:r w:rsidRPr="00A45068">
        <w:t xml:space="preserve"> and the New England Governors’ Conference. </w:t>
      </w:r>
      <w:r>
        <w:t xml:space="preserve">The </w:t>
      </w:r>
      <w:r w:rsidRPr="00A45068">
        <w:t>ISO also coordinates study activities on a national level with DOE, FERC, NERC, and other organizations.</w:t>
      </w:r>
    </w:p>
    <w:p w:rsidR="00266335" w:rsidRDefault="00266335" w:rsidP="00073277">
      <w:r>
        <w:t xml:space="preserve">In conclusion, ISO </w:t>
      </w:r>
      <w:r w:rsidR="00940737">
        <w:t xml:space="preserve">New England’s </w:t>
      </w:r>
      <w:r w:rsidR="00940737" w:rsidRPr="00E55EB5">
        <w:rPr>
          <w:i/>
        </w:rPr>
        <w:t>2010 Regional System Plan</w:t>
      </w:r>
      <w:r w:rsidR="00940737">
        <w:t xml:space="preserve"> </w:t>
      </w:r>
      <w:r>
        <w:t xml:space="preserve">presents a comprehensive assessment of the region’s electricity system needs for 2010 through 2019 and fully meets the </w:t>
      </w:r>
      <w:r w:rsidR="00E55EB5">
        <w:t xml:space="preserve">OATT Attachment K </w:t>
      </w:r>
      <w:r>
        <w:t>requirements for regional planning.</w:t>
      </w:r>
    </w:p>
    <w:p w:rsidR="008632D3" w:rsidRPr="008632D3" w:rsidRDefault="008632D3" w:rsidP="00073277">
      <w:pPr>
        <w:sectPr w:rsidR="008632D3" w:rsidRPr="008632D3" w:rsidSect="00015282">
          <w:pgSz w:w="12240" w:h="15840"/>
          <w:pgMar w:top="1350" w:right="1440" w:bottom="1440" w:left="1440" w:header="720" w:footer="720" w:gutter="0"/>
          <w:cols w:space="720"/>
          <w:docGrid w:linePitch="360"/>
        </w:sectPr>
      </w:pPr>
    </w:p>
    <w:p w:rsidR="002E3FB4" w:rsidRDefault="00266335" w:rsidP="009973EA">
      <w:pPr>
        <w:outlineLvl w:val="0"/>
        <w:rPr>
          <w:rFonts w:ascii="Arial" w:eastAsia="Calibri" w:hAnsi="Arial" w:cs="Arial"/>
          <w:b/>
          <w:sz w:val="36"/>
          <w:szCs w:val="36"/>
        </w:rPr>
      </w:pPr>
      <w:bookmarkStart w:id="884" w:name="_Toc271632354"/>
      <w:r w:rsidRPr="00AD7502">
        <w:rPr>
          <w:rFonts w:ascii="Arial" w:eastAsia="Calibri" w:hAnsi="Arial" w:cs="Arial"/>
          <w:b/>
          <w:sz w:val="36"/>
          <w:szCs w:val="36"/>
        </w:rPr>
        <w:t>Appendi</w:t>
      </w:r>
      <w:r w:rsidR="00BD29A6">
        <w:rPr>
          <w:rFonts w:ascii="Arial" w:eastAsia="Calibri" w:hAnsi="Arial" w:cs="Arial"/>
          <w:b/>
          <w:sz w:val="36"/>
          <w:szCs w:val="36"/>
        </w:rPr>
        <w:t>x A</w:t>
      </w:r>
      <w:r w:rsidR="002E3FB4">
        <w:rPr>
          <w:rFonts w:ascii="Arial" w:eastAsia="Calibri" w:hAnsi="Arial" w:cs="Arial"/>
          <w:b/>
          <w:sz w:val="36"/>
          <w:szCs w:val="36"/>
        </w:rPr>
        <w:br/>
      </w:r>
      <w:r w:rsidR="00890D42" w:rsidRPr="00890D42">
        <w:rPr>
          <w:rFonts w:ascii="Arial" w:eastAsia="Calibri" w:hAnsi="Arial" w:cs="Arial"/>
          <w:b/>
          <w:i/>
          <w:sz w:val="36"/>
          <w:szCs w:val="36"/>
        </w:rPr>
        <w:t>RSP Project List</w:t>
      </w:r>
      <w:bookmarkEnd w:id="884"/>
    </w:p>
    <w:p w:rsidR="00AD7502" w:rsidRPr="00FE253A" w:rsidRDefault="00890D42" w:rsidP="002E3FB4">
      <w:r w:rsidRPr="00890D42">
        <w:t xml:space="preserve">RSP10 incorporates information from the June 2010 </w:t>
      </w:r>
      <w:r w:rsidRPr="00890D42">
        <w:rPr>
          <w:i/>
        </w:rPr>
        <w:t xml:space="preserve">RSP Project List. </w:t>
      </w:r>
      <w:r w:rsidRPr="00890D42">
        <w:t xml:space="preserve">The June 2010 and other </w:t>
      </w:r>
      <w:r w:rsidRPr="00890D42">
        <w:rPr>
          <w:i/>
        </w:rPr>
        <w:t>RSP Project Lists</w:t>
      </w:r>
      <w:r w:rsidRPr="00890D42">
        <w:t xml:space="preserve"> are Excel files available at </w:t>
      </w:r>
      <w:hyperlink r:id="rId81" w:history="1">
        <w:r w:rsidRPr="00890D42">
          <w:rPr>
            <w:rStyle w:val="Hyperlink"/>
            <w:color w:val="auto"/>
            <w:u w:val="none"/>
          </w:rPr>
          <w:t>http://www.iso-ne.com/committees/comm_wkgrps/prtcpnts_comm/pac/projects/index.html</w:t>
        </w:r>
      </w:hyperlink>
      <w:r w:rsidRPr="00890D42">
        <w:t>.</w:t>
      </w:r>
    </w:p>
    <w:p w:rsidR="00AD7502" w:rsidRDefault="00BD29A6" w:rsidP="00AD7502">
      <w:pPr>
        <w:outlineLvl w:val="0"/>
        <w:rPr>
          <w:rFonts w:ascii="Arial" w:eastAsia="Calibri" w:hAnsi="Arial" w:cs="Arial"/>
          <w:b/>
          <w:sz w:val="36"/>
          <w:szCs w:val="36"/>
        </w:rPr>
      </w:pPr>
      <w:bookmarkStart w:id="885" w:name="_Toc176245081"/>
      <w:bookmarkStart w:id="886" w:name="_Toc207531923"/>
      <w:bookmarkStart w:id="887" w:name="_Toc239157180"/>
      <w:bookmarkStart w:id="888" w:name="_Toc271632355"/>
      <w:r>
        <w:rPr>
          <w:rFonts w:ascii="Arial" w:eastAsia="Calibri" w:hAnsi="Arial" w:cs="Arial"/>
          <w:b/>
          <w:sz w:val="36"/>
          <w:szCs w:val="36"/>
        </w:rPr>
        <w:t>Appendix B</w:t>
      </w:r>
      <w:r>
        <w:rPr>
          <w:rFonts w:ascii="Arial" w:eastAsia="Calibri" w:hAnsi="Arial" w:cs="Arial"/>
          <w:b/>
          <w:sz w:val="36"/>
          <w:szCs w:val="36"/>
        </w:rPr>
        <w:br/>
      </w:r>
      <w:r w:rsidR="00AD7502" w:rsidRPr="00EA71B0">
        <w:rPr>
          <w:rFonts w:ascii="Arial" w:eastAsia="Calibri" w:hAnsi="Arial" w:cs="Arial"/>
          <w:b/>
          <w:sz w:val="36"/>
          <w:szCs w:val="36"/>
        </w:rPr>
        <w:t xml:space="preserve">List </w:t>
      </w:r>
      <w:r w:rsidR="00AD7502">
        <w:rPr>
          <w:rFonts w:ascii="Arial" w:eastAsia="Calibri" w:hAnsi="Arial" w:cs="Arial"/>
          <w:b/>
          <w:sz w:val="36"/>
          <w:szCs w:val="36"/>
        </w:rPr>
        <w:t>of Acronyms a</w:t>
      </w:r>
      <w:r w:rsidR="00AD7502" w:rsidRPr="00EA71B0">
        <w:rPr>
          <w:rFonts w:ascii="Arial" w:eastAsia="Calibri" w:hAnsi="Arial" w:cs="Arial"/>
          <w:b/>
          <w:sz w:val="36"/>
          <w:szCs w:val="36"/>
        </w:rPr>
        <w:t>nd Abbreviations</w:t>
      </w:r>
      <w:bookmarkEnd w:id="885"/>
      <w:bookmarkEnd w:id="886"/>
      <w:bookmarkEnd w:id="887"/>
      <w:bookmarkEnd w:id="888"/>
    </w:p>
    <w:tbl>
      <w:tblPr>
        <w:tblStyle w:val="MediumShading1-Accent12"/>
        <w:tblW w:w="0" w:type="auto"/>
        <w:jc w:val="lef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2308"/>
        <w:gridCol w:w="7168"/>
      </w:tblGrid>
      <w:tr w:rsidR="00AD7502" w:rsidRPr="00106391" w:rsidTr="00927451">
        <w:trPr>
          <w:cnfStyle w:val="100000000000"/>
          <w:jc w:val="left"/>
        </w:trPr>
        <w:tc>
          <w:tcPr>
            <w:cnfStyle w:val="001000000100"/>
            <w:tcW w:w="0" w:type="auto"/>
            <w:shd w:val="clear" w:color="auto" w:fill="4987EB" w:themeFill="text2" w:themeFillTint="99"/>
          </w:tcPr>
          <w:p w:rsidR="00AD7502" w:rsidRPr="0042121F" w:rsidRDefault="00AD7502" w:rsidP="00051E75">
            <w:pPr>
              <w:spacing w:after="0"/>
              <w:jc w:val="center"/>
              <w:rPr>
                <w:rFonts w:ascii="Arial" w:eastAsia="Calibri" w:hAnsi="Arial" w:cs="Arial"/>
                <w:bCs w:val="0"/>
                <w:sz w:val="18"/>
                <w:szCs w:val="18"/>
              </w:rPr>
            </w:pPr>
            <w:r w:rsidRPr="0042121F">
              <w:rPr>
                <w:rFonts w:ascii="Arial" w:eastAsia="Calibri" w:hAnsi="Arial" w:cs="Arial"/>
                <w:bCs w:val="0"/>
                <w:sz w:val="18"/>
                <w:szCs w:val="18"/>
              </w:rPr>
              <w:t>Acronym/Abbreviation</w:t>
            </w:r>
          </w:p>
        </w:tc>
        <w:tc>
          <w:tcPr>
            <w:tcW w:w="0" w:type="auto"/>
            <w:shd w:val="clear" w:color="auto" w:fill="4987EB" w:themeFill="text2" w:themeFillTint="99"/>
          </w:tcPr>
          <w:p w:rsidR="0070763A" w:rsidRDefault="00AD7502" w:rsidP="00414E02">
            <w:pPr>
              <w:spacing w:after="0"/>
              <w:cnfStyle w:val="100000000000"/>
              <w:rPr>
                <w:rFonts w:ascii="Arial" w:eastAsia="Calibri" w:hAnsi="Arial" w:cs="Arial"/>
                <w:b w:val="0"/>
                <w:bCs w:val="0"/>
                <w:sz w:val="18"/>
                <w:szCs w:val="18"/>
              </w:rPr>
            </w:pPr>
            <w:r w:rsidRPr="0042121F">
              <w:rPr>
                <w:rFonts w:ascii="Arial" w:eastAsia="Calibri" w:hAnsi="Arial" w:cs="Arial"/>
                <w:bCs w:val="0"/>
                <w:sz w:val="18"/>
                <w:szCs w:val="18"/>
              </w:rPr>
              <w:t>Description</w:t>
            </w:r>
          </w:p>
        </w:tc>
      </w:tr>
      <w:tr w:rsidR="00225247" w:rsidRPr="00106391" w:rsidTr="00927451">
        <w:trPr>
          <w:cnfStyle w:val="000000100000"/>
          <w:jc w:val="left"/>
        </w:trPr>
        <w:tc>
          <w:tcPr>
            <w:cnfStyle w:val="001000000000"/>
            <w:tcW w:w="0" w:type="auto"/>
          </w:tcPr>
          <w:p w:rsidR="00225247" w:rsidRPr="00106391" w:rsidRDefault="00225247" w:rsidP="00AD7502">
            <w:pPr>
              <w:spacing w:after="0"/>
              <w:rPr>
                <w:rFonts w:ascii="Arial" w:eastAsia="Calibri" w:hAnsi="Arial" w:cs="Arial"/>
                <w:color w:val="000000"/>
                <w:sz w:val="18"/>
                <w:szCs w:val="18"/>
              </w:rPr>
            </w:pPr>
            <w:r>
              <w:rPr>
                <w:rFonts w:ascii="Arial" w:eastAsia="Calibri" w:hAnsi="Arial" w:cs="Arial"/>
                <w:color w:val="000000"/>
                <w:sz w:val="18"/>
                <w:szCs w:val="18"/>
              </w:rPr>
              <w:t>AC</w:t>
            </w:r>
          </w:p>
        </w:tc>
        <w:tc>
          <w:tcPr>
            <w:tcW w:w="0" w:type="auto"/>
          </w:tcPr>
          <w:p w:rsidR="002878A4" w:rsidRDefault="00225247" w:rsidP="00414E02">
            <w:pPr>
              <w:spacing w:after="0"/>
              <w:jc w:val="left"/>
              <w:cnfStyle w:val="000000100000"/>
              <w:rPr>
                <w:rFonts w:ascii="Arial" w:eastAsia="Calibri" w:hAnsi="Arial" w:cs="Arial"/>
                <w:iCs/>
                <w:color w:val="000000"/>
                <w:sz w:val="18"/>
                <w:szCs w:val="18"/>
              </w:rPr>
            </w:pPr>
            <w:r>
              <w:rPr>
                <w:rFonts w:ascii="Arial" w:eastAsia="Calibri" w:hAnsi="Arial" w:cs="Arial"/>
                <w:iCs/>
                <w:color w:val="000000"/>
                <w:sz w:val="18"/>
                <w:szCs w:val="18"/>
              </w:rPr>
              <w:t>Administrative Committee</w:t>
            </w:r>
          </w:p>
        </w:tc>
      </w:tr>
      <w:tr w:rsidR="00341518" w:rsidRPr="00106391" w:rsidTr="00927451">
        <w:trPr>
          <w:cnfStyle w:val="000000010000"/>
          <w:jc w:val="left"/>
        </w:trPr>
        <w:tc>
          <w:tcPr>
            <w:cnfStyle w:val="001000000000"/>
            <w:tcW w:w="0" w:type="auto"/>
          </w:tcPr>
          <w:p w:rsidR="00341518" w:rsidRPr="00106391" w:rsidRDefault="00341518"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ACEEE</w:t>
            </w:r>
          </w:p>
        </w:tc>
        <w:tc>
          <w:tcPr>
            <w:tcW w:w="0" w:type="auto"/>
          </w:tcPr>
          <w:p w:rsidR="0070763A" w:rsidRDefault="00341518"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American Council for an Energy-Efficient Economy</w:t>
            </w:r>
          </w:p>
        </w:tc>
      </w:tr>
      <w:tr w:rsidR="003F6334" w:rsidRPr="00106391" w:rsidTr="003F6334">
        <w:trPr>
          <w:cnfStyle w:val="000000100000"/>
          <w:jc w:val="left"/>
        </w:trPr>
        <w:tc>
          <w:tcPr>
            <w:cnfStyle w:val="001000000000"/>
            <w:tcW w:w="0" w:type="auto"/>
          </w:tcPr>
          <w:p w:rsidR="003F6334" w:rsidRPr="00106391" w:rsidDel="00AD2F93" w:rsidRDefault="003F6334" w:rsidP="003F6334">
            <w:pPr>
              <w:spacing w:after="0"/>
              <w:rPr>
                <w:rFonts w:ascii="Arial" w:eastAsia="Calibri" w:hAnsi="Arial" w:cs="Arial"/>
                <w:color w:val="000000"/>
                <w:sz w:val="18"/>
                <w:szCs w:val="18"/>
              </w:rPr>
            </w:pPr>
            <w:r w:rsidRPr="00106391">
              <w:rPr>
                <w:rFonts w:ascii="Arial" w:eastAsia="Calibri" w:hAnsi="Arial" w:cs="Arial"/>
                <w:color w:val="000000"/>
                <w:sz w:val="18"/>
                <w:szCs w:val="18"/>
              </w:rPr>
              <w:t>ACP</w:t>
            </w:r>
          </w:p>
        </w:tc>
        <w:tc>
          <w:tcPr>
            <w:tcW w:w="0" w:type="auto"/>
          </w:tcPr>
          <w:p w:rsidR="003F6334" w:rsidRDefault="003F6334" w:rsidP="003F6334">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Alternative Compliance Payment</w:t>
            </w:r>
          </w:p>
        </w:tc>
      </w:tr>
      <w:tr w:rsidR="00AD7502" w:rsidRPr="00106391" w:rsidTr="00927451">
        <w:trPr>
          <w:cnfStyle w:val="000000010000"/>
          <w:jc w:val="left"/>
        </w:trPr>
        <w:tc>
          <w:tcPr>
            <w:cnfStyle w:val="001000000000"/>
            <w:tcW w:w="0" w:type="auto"/>
          </w:tcPr>
          <w:p w:rsidR="00AD7502" w:rsidRPr="00106391" w:rsidRDefault="00AD7502"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AEO</w:t>
            </w:r>
          </w:p>
        </w:tc>
        <w:tc>
          <w:tcPr>
            <w:tcW w:w="0" w:type="auto"/>
          </w:tcPr>
          <w:p w:rsidR="0070763A" w:rsidRDefault="00AD7502"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i/>
                <w:iCs/>
                <w:color w:val="000000"/>
                <w:sz w:val="18"/>
                <w:szCs w:val="18"/>
              </w:rPr>
              <w:t>Annual Energy Outlook</w:t>
            </w:r>
          </w:p>
        </w:tc>
      </w:tr>
      <w:tr w:rsidR="00AD7502" w:rsidRPr="00106391" w:rsidTr="00927451">
        <w:trPr>
          <w:cnfStyle w:val="000000100000"/>
          <w:jc w:val="left"/>
        </w:trPr>
        <w:tc>
          <w:tcPr>
            <w:cnfStyle w:val="001000000000"/>
            <w:tcW w:w="0" w:type="auto"/>
          </w:tcPr>
          <w:p w:rsidR="00AD7502" w:rsidRPr="00106391" w:rsidRDefault="00AD7502"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AGT</w:t>
            </w:r>
          </w:p>
        </w:tc>
        <w:tc>
          <w:tcPr>
            <w:tcW w:w="0" w:type="auto"/>
          </w:tcPr>
          <w:p w:rsidR="0070763A" w:rsidRDefault="00AD7502"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Algonquin Gas Transmission</w:t>
            </w:r>
          </w:p>
        </w:tc>
      </w:tr>
      <w:tr w:rsidR="00AD7502" w:rsidRPr="00106391" w:rsidTr="00927451">
        <w:trPr>
          <w:cnfStyle w:val="000000010000"/>
          <w:jc w:val="left"/>
        </w:trPr>
        <w:tc>
          <w:tcPr>
            <w:cnfStyle w:val="001000000000"/>
            <w:tcW w:w="0" w:type="auto"/>
          </w:tcPr>
          <w:p w:rsidR="00C746A8" w:rsidRPr="00106391" w:rsidRDefault="00AD7502">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AMR</w:t>
            </w:r>
            <w:r w:rsidR="00341518" w:rsidRPr="00336039">
              <w:rPr>
                <w:rFonts w:ascii="Arial" w:eastAsia="Calibri" w:hAnsi="Arial" w:cs="Arial"/>
                <w:i/>
                <w:color w:val="000000"/>
                <w:sz w:val="18"/>
                <w:szCs w:val="18"/>
              </w:rPr>
              <w:t>X</w:t>
            </w:r>
            <w:r w:rsidR="00336039" w:rsidRPr="00336039">
              <w:rPr>
                <w:rFonts w:ascii="Arial" w:eastAsia="Calibri" w:hAnsi="Arial" w:cs="Arial"/>
                <w:i/>
                <w:color w:val="000000"/>
                <w:sz w:val="18"/>
                <w:szCs w:val="18"/>
              </w:rPr>
              <w:t>Y</w:t>
            </w:r>
          </w:p>
        </w:tc>
        <w:tc>
          <w:tcPr>
            <w:tcW w:w="0" w:type="auto"/>
          </w:tcPr>
          <w:p w:rsidR="0070763A" w:rsidRDefault="00AD7502"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i/>
                <w:iCs/>
                <w:color w:val="000000"/>
                <w:sz w:val="18"/>
                <w:szCs w:val="18"/>
              </w:rPr>
              <w:t>20</w:t>
            </w:r>
            <w:r w:rsidR="00341518" w:rsidRPr="00106391">
              <w:rPr>
                <w:rFonts w:ascii="Arial" w:eastAsia="Calibri" w:hAnsi="Arial" w:cs="Arial"/>
                <w:i/>
                <w:iCs/>
                <w:color w:val="000000"/>
                <w:sz w:val="18"/>
                <w:szCs w:val="18"/>
              </w:rPr>
              <w:t>XY</w:t>
            </w:r>
            <w:r w:rsidRPr="00106391">
              <w:rPr>
                <w:rFonts w:ascii="Arial" w:eastAsia="Calibri" w:hAnsi="Arial" w:cs="Arial"/>
                <w:i/>
                <w:iCs/>
                <w:color w:val="000000"/>
                <w:sz w:val="18"/>
                <w:szCs w:val="18"/>
              </w:rPr>
              <w:t> Annual Markets Report</w:t>
            </w:r>
          </w:p>
        </w:tc>
      </w:tr>
      <w:tr w:rsidR="00AD7502" w:rsidRPr="00106391" w:rsidTr="00927451">
        <w:trPr>
          <w:cnfStyle w:val="000000100000"/>
          <w:jc w:val="left"/>
        </w:trPr>
        <w:tc>
          <w:tcPr>
            <w:cnfStyle w:val="001000000000"/>
            <w:tcW w:w="0" w:type="auto"/>
          </w:tcPr>
          <w:p w:rsidR="00AD7502" w:rsidRPr="00106391" w:rsidRDefault="00AD7502"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APS</w:t>
            </w:r>
          </w:p>
        </w:tc>
        <w:tc>
          <w:tcPr>
            <w:tcW w:w="0" w:type="auto"/>
          </w:tcPr>
          <w:p w:rsidR="0070763A" w:rsidRDefault="00AD7502" w:rsidP="00414E02">
            <w:pPr>
              <w:spacing w:after="0"/>
              <w:jc w:val="left"/>
              <w:cnfStyle w:val="000000100000"/>
              <w:rPr>
                <w:rFonts w:ascii="Arial" w:eastAsia="Calibri" w:hAnsi="Arial" w:cs="Arial"/>
                <w:i/>
                <w:iCs/>
                <w:color w:val="000000"/>
                <w:sz w:val="18"/>
                <w:szCs w:val="18"/>
              </w:rPr>
            </w:pPr>
            <w:r w:rsidRPr="00106391">
              <w:rPr>
                <w:rFonts w:ascii="Arial" w:eastAsia="Calibri" w:hAnsi="Arial" w:cs="Arial"/>
                <w:iCs/>
                <w:color w:val="000000"/>
                <w:sz w:val="18"/>
                <w:szCs w:val="18"/>
              </w:rPr>
              <w:t>Alternative Portfolio Standard</w:t>
            </w:r>
          </w:p>
        </w:tc>
      </w:tr>
      <w:tr w:rsidR="00341518" w:rsidRPr="00106391" w:rsidTr="00927451">
        <w:trPr>
          <w:cnfStyle w:val="000000010000"/>
          <w:jc w:val="left"/>
        </w:trPr>
        <w:tc>
          <w:tcPr>
            <w:cnfStyle w:val="001000000000"/>
            <w:tcW w:w="0" w:type="auto"/>
          </w:tcPr>
          <w:p w:rsidR="00341518" w:rsidRPr="00106391" w:rsidRDefault="00341518"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ARA</w:t>
            </w:r>
          </w:p>
        </w:tc>
        <w:tc>
          <w:tcPr>
            <w:tcW w:w="0" w:type="auto"/>
          </w:tcPr>
          <w:p w:rsidR="0070763A" w:rsidRDefault="00341518"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Annual Reconfiguration Auction</w:t>
            </w:r>
          </w:p>
        </w:tc>
      </w:tr>
      <w:tr w:rsidR="00AD7502" w:rsidRPr="00106391" w:rsidTr="00927451">
        <w:trPr>
          <w:cnfStyle w:val="000000100000"/>
          <w:jc w:val="left"/>
        </w:trPr>
        <w:tc>
          <w:tcPr>
            <w:cnfStyle w:val="001000000000"/>
            <w:tcW w:w="0" w:type="auto"/>
          </w:tcPr>
          <w:p w:rsidR="00AD7502" w:rsidRPr="00106391" w:rsidRDefault="00AD7502"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ARR</w:t>
            </w:r>
          </w:p>
        </w:tc>
        <w:tc>
          <w:tcPr>
            <w:tcW w:w="0" w:type="auto"/>
          </w:tcPr>
          <w:p w:rsidR="0070763A" w:rsidRDefault="00AD7502" w:rsidP="00414E02">
            <w:pPr>
              <w:spacing w:after="0"/>
              <w:jc w:val="left"/>
              <w:cnfStyle w:val="000000100000"/>
              <w:rPr>
                <w:rFonts w:ascii="Arial" w:eastAsia="Calibri" w:hAnsi="Arial" w:cs="Arial"/>
                <w:color w:val="000000"/>
                <w:sz w:val="18"/>
                <w:szCs w:val="18"/>
              </w:rPr>
            </w:pPr>
            <w:r w:rsidRPr="00106391">
              <w:rPr>
                <w:rFonts w:ascii="Arial" w:eastAsia="Calibri" w:hAnsi="Arial" w:cs="Arial"/>
                <w:iCs/>
                <w:color w:val="000000"/>
                <w:sz w:val="18"/>
                <w:szCs w:val="18"/>
              </w:rPr>
              <w:t>Auction Revenue Rights</w:t>
            </w:r>
          </w:p>
        </w:tc>
      </w:tr>
      <w:tr w:rsidR="00AD7502" w:rsidRPr="00106391" w:rsidTr="00927451">
        <w:trPr>
          <w:cnfStyle w:val="000000010000"/>
          <w:jc w:val="left"/>
        </w:trPr>
        <w:tc>
          <w:tcPr>
            <w:cnfStyle w:val="001000000000"/>
            <w:tcW w:w="0" w:type="auto"/>
          </w:tcPr>
          <w:p w:rsidR="00AD7502" w:rsidRPr="00106391" w:rsidRDefault="00AD7502"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ARRA</w:t>
            </w:r>
          </w:p>
        </w:tc>
        <w:tc>
          <w:tcPr>
            <w:tcW w:w="0" w:type="auto"/>
          </w:tcPr>
          <w:p w:rsidR="0070763A" w:rsidRDefault="00AD7502" w:rsidP="00414E02">
            <w:pPr>
              <w:spacing w:after="0"/>
              <w:jc w:val="left"/>
              <w:cnfStyle w:val="000000010000"/>
              <w:rPr>
                <w:rFonts w:ascii="Arial" w:eastAsia="Calibri" w:hAnsi="Arial" w:cs="Arial"/>
                <w:color w:val="000000"/>
                <w:sz w:val="18"/>
                <w:szCs w:val="18"/>
              </w:rPr>
            </w:pPr>
            <w:r w:rsidRPr="00106391">
              <w:rPr>
                <w:rFonts w:ascii="Arial" w:eastAsia="Calibri" w:hAnsi="Arial" w:cs="Arial"/>
                <w:i/>
                <w:color w:val="000000"/>
                <w:sz w:val="18"/>
                <w:szCs w:val="18"/>
              </w:rPr>
              <w:t>American Recovery and Reinvestment Act of 2009</w:t>
            </w:r>
          </w:p>
        </w:tc>
      </w:tr>
      <w:tr w:rsidR="00341518" w:rsidRPr="00106391" w:rsidTr="00927451">
        <w:trPr>
          <w:cnfStyle w:val="000000100000"/>
          <w:jc w:val="left"/>
        </w:trPr>
        <w:tc>
          <w:tcPr>
            <w:cnfStyle w:val="001000000000"/>
            <w:tcW w:w="0" w:type="auto"/>
          </w:tcPr>
          <w:p w:rsidR="00341518" w:rsidRPr="00106391" w:rsidRDefault="00341518"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ATR</w:t>
            </w:r>
          </w:p>
        </w:tc>
        <w:tc>
          <w:tcPr>
            <w:tcW w:w="0" w:type="auto"/>
          </w:tcPr>
          <w:p w:rsidR="0070763A" w:rsidRDefault="00341518"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Alternative Technology Regulation (Pilot Program)</w:t>
            </w:r>
          </w:p>
        </w:tc>
      </w:tr>
      <w:tr w:rsidR="00341518" w:rsidRPr="00106391" w:rsidTr="00927451">
        <w:trPr>
          <w:cnfStyle w:val="000000010000"/>
          <w:jc w:val="left"/>
        </w:trPr>
        <w:tc>
          <w:tcPr>
            <w:cnfStyle w:val="001000000000"/>
            <w:tcW w:w="0" w:type="auto"/>
          </w:tcPr>
          <w:p w:rsidR="00341518" w:rsidRPr="00106391" w:rsidRDefault="00341518"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avg.</w:t>
            </w:r>
          </w:p>
        </w:tc>
        <w:tc>
          <w:tcPr>
            <w:tcW w:w="0" w:type="auto"/>
          </w:tcPr>
          <w:p w:rsidR="0070763A" w:rsidRDefault="00341518"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average</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BACT</w:t>
            </w:r>
          </w:p>
        </w:tc>
        <w:tc>
          <w:tcPr>
            <w:tcW w:w="0" w:type="auto"/>
          </w:tcPr>
          <w:p w:rsidR="0070763A" w:rsidRDefault="00602CDA"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best available control technology</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BAT</w:t>
            </w:r>
          </w:p>
        </w:tc>
        <w:tc>
          <w:tcPr>
            <w:tcW w:w="0" w:type="auto"/>
          </w:tcPr>
          <w:p w:rsidR="0070763A" w:rsidRDefault="00602CDA" w:rsidP="00414E02">
            <w:pPr>
              <w:spacing w:after="0"/>
              <w:jc w:val="left"/>
              <w:cnfStyle w:val="000000010000"/>
              <w:rPr>
                <w:rFonts w:ascii="Arial" w:eastAsia="Calibri" w:hAnsi="Arial" w:cs="Arial"/>
                <w:i/>
                <w:color w:val="000000"/>
                <w:sz w:val="18"/>
                <w:szCs w:val="18"/>
              </w:rPr>
            </w:pPr>
            <w:r w:rsidRPr="00106391">
              <w:rPr>
                <w:rFonts w:ascii="Arial" w:eastAsia="Calibri" w:hAnsi="Arial" w:cs="Arial"/>
                <w:color w:val="000000"/>
                <w:sz w:val="18"/>
                <w:szCs w:val="18"/>
              </w:rPr>
              <w:t>best available technology</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b w:val="0"/>
                <w:bCs w:val="0"/>
                <w:color w:val="000000"/>
                <w:sz w:val="18"/>
                <w:szCs w:val="18"/>
              </w:rPr>
            </w:pPr>
            <w:r w:rsidRPr="00106391">
              <w:rPr>
                <w:rFonts w:ascii="Arial" w:eastAsia="Calibri" w:hAnsi="Arial" w:cs="Arial"/>
                <w:bCs w:val="0"/>
                <w:color w:val="000000"/>
                <w:sz w:val="18"/>
                <w:szCs w:val="18"/>
              </w:rPr>
              <w:t>Bcf; Bcf/d</w:t>
            </w:r>
          </w:p>
        </w:tc>
        <w:tc>
          <w:tcPr>
            <w:tcW w:w="0" w:type="auto"/>
          </w:tcPr>
          <w:p w:rsidR="0070763A" w:rsidRDefault="00602CDA"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billion cubic feet; billion cubic feet per day</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bCs w:val="0"/>
                <w:color w:val="000000"/>
                <w:sz w:val="18"/>
                <w:szCs w:val="18"/>
              </w:rPr>
            </w:pPr>
            <w:r w:rsidRPr="00106391">
              <w:rPr>
                <w:rFonts w:ascii="Arial" w:eastAsia="Calibri" w:hAnsi="Arial" w:cs="Arial"/>
                <w:bCs w:val="0"/>
                <w:color w:val="000000"/>
                <w:sz w:val="18"/>
                <w:szCs w:val="18"/>
              </w:rPr>
              <w:t>BHE</w:t>
            </w:r>
          </w:p>
        </w:tc>
        <w:tc>
          <w:tcPr>
            <w:tcW w:w="0" w:type="auto"/>
          </w:tcPr>
          <w:p w:rsidR="0070763A" w:rsidRDefault="00602CDA"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1) RSP subarea of Northeastern Maine</w:t>
            </w:r>
          </w:p>
          <w:p w:rsidR="0070763A" w:rsidRDefault="00602CDA"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2) Bangor Hydro Electric (Company)</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BOSTON</w:t>
            </w:r>
          </w:p>
        </w:tc>
        <w:tc>
          <w:tcPr>
            <w:tcW w:w="0" w:type="auto"/>
          </w:tcPr>
          <w:p w:rsidR="0070763A" w:rsidRDefault="00602CDA"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RSP subarea of Greater Boston, including the North Shore</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Btu</w:t>
            </w:r>
          </w:p>
        </w:tc>
        <w:tc>
          <w:tcPr>
            <w:tcW w:w="0" w:type="auto"/>
          </w:tcPr>
          <w:p w:rsidR="0070763A" w:rsidRDefault="00602CDA"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British thermal unit</w:t>
            </w:r>
            <w:r w:rsidR="004D023F">
              <w:rPr>
                <w:rFonts w:ascii="Arial" w:eastAsia="Calibri" w:hAnsi="Arial" w:cs="Arial"/>
                <w:color w:val="000000"/>
                <w:sz w:val="18"/>
                <w:szCs w:val="18"/>
              </w:rPr>
              <w:t>(s)</w:t>
            </w:r>
          </w:p>
        </w:tc>
      </w:tr>
      <w:tr w:rsidR="004B5CD6" w:rsidRPr="00106391" w:rsidTr="00927451">
        <w:trPr>
          <w:cnfStyle w:val="000000100000"/>
          <w:jc w:val="left"/>
        </w:trPr>
        <w:tc>
          <w:tcPr>
            <w:cnfStyle w:val="001000000000"/>
            <w:tcW w:w="0" w:type="auto"/>
          </w:tcPr>
          <w:p w:rsidR="004B5CD6" w:rsidRPr="00106391" w:rsidRDefault="004B5CD6"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C&amp;I</w:t>
            </w:r>
          </w:p>
        </w:tc>
        <w:tc>
          <w:tcPr>
            <w:tcW w:w="0" w:type="auto"/>
          </w:tcPr>
          <w:p w:rsidR="0070763A" w:rsidRDefault="004B5CD6"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commercial and industrial</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CAGR</w:t>
            </w:r>
          </w:p>
        </w:tc>
        <w:tc>
          <w:tcPr>
            <w:tcW w:w="0" w:type="auto"/>
          </w:tcPr>
          <w:p w:rsidR="0070763A" w:rsidRDefault="00602CDA"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compound annual growth rate</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CAIR</w:t>
            </w:r>
          </w:p>
        </w:tc>
        <w:tc>
          <w:tcPr>
            <w:tcW w:w="0" w:type="auto"/>
          </w:tcPr>
          <w:p w:rsidR="0070763A" w:rsidRDefault="00602CDA" w:rsidP="00414E02">
            <w:pPr>
              <w:spacing w:after="0"/>
              <w:jc w:val="left"/>
              <w:cnfStyle w:val="000000100000"/>
              <w:rPr>
                <w:rFonts w:ascii="Arial" w:eastAsia="Calibri" w:hAnsi="Arial" w:cs="Arial"/>
                <w:i/>
                <w:color w:val="000000"/>
                <w:sz w:val="18"/>
                <w:szCs w:val="18"/>
              </w:rPr>
            </w:pPr>
            <w:r w:rsidRPr="00106391">
              <w:rPr>
                <w:rFonts w:ascii="Arial" w:eastAsia="Calibri" w:hAnsi="Arial" w:cs="Arial"/>
                <w:i/>
                <w:iCs/>
                <w:color w:val="000000"/>
                <w:sz w:val="18"/>
                <w:szCs w:val="18"/>
              </w:rPr>
              <w:t>Clean Air Interstate Rule</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CATR</w:t>
            </w:r>
          </w:p>
        </w:tc>
        <w:tc>
          <w:tcPr>
            <w:tcW w:w="0" w:type="auto"/>
          </w:tcPr>
          <w:p w:rsidR="0070763A" w:rsidRDefault="00602CDA" w:rsidP="00414E02">
            <w:pPr>
              <w:spacing w:after="0"/>
              <w:jc w:val="left"/>
              <w:cnfStyle w:val="000000010000"/>
              <w:rPr>
                <w:rFonts w:ascii="Arial" w:eastAsia="Calibri" w:hAnsi="Arial" w:cs="Arial"/>
                <w:i/>
                <w:color w:val="000000"/>
                <w:sz w:val="18"/>
                <w:szCs w:val="18"/>
              </w:rPr>
            </w:pPr>
            <w:r w:rsidRPr="00106391">
              <w:rPr>
                <w:rFonts w:ascii="Arial" w:eastAsia="Calibri" w:hAnsi="Arial" w:cs="Arial"/>
                <w:i/>
                <w:iCs/>
                <w:color w:val="000000"/>
                <w:sz w:val="18"/>
                <w:szCs w:val="18"/>
              </w:rPr>
              <w:t>Comprehensive Area Transmission Review of the New England Transmission System</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CEAB</w:t>
            </w:r>
          </w:p>
        </w:tc>
        <w:tc>
          <w:tcPr>
            <w:tcW w:w="0" w:type="auto"/>
          </w:tcPr>
          <w:p w:rsidR="0070763A" w:rsidRDefault="00602CDA" w:rsidP="00414E02">
            <w:pPr>
              <w:spacing w:after="0"/>
              <w:jc w:val="left"/>
              <w:cnfStyle w:val="000000100000"/>
              <w:rPr>
                <w:rFonts w:ascii="Arial" w:eastAsia="Calibri" w:hAnsi="Arial" w:cs="Arial"/>
                <w:i/>
                <w:iCs/>
                <w:color w:val="000000"/>
                <w:sz w:val="18"/>
                <w:szCs w:val="18"/>
              </w:rPr>
            </w:pPr>
            <w:r w:rsidRPr="00106391">
              <w:rPr>
                <w:rFonts w:ascii="Arial" w:eastAsia="Calibri" w:hAnsi="Arial" w:cs="Arial"/>
                <w:color w:val="000000"/>
                <w:sz w:val="18"/>
                <w:szCs w:val="18"/>
              </w:rPr>
              <w:t>Connecticut Energy Advisory Board</w:t>
            </w:r>
          </w:p>
        </w:tc>
      </w:tr>
      <w:tr w:rsidR="00602CDA" w:rsidRPr="00106391" w:rsidTr="00927451">
        <w:trPr>
          <w:cnfStyle w:val="00000001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CEEF</w:t>
            </w:r>
          </w:p>
        </w:tc>
        <w:tc>
          <w:tcPr>
            <w:tcW w:w="0" w:type="auto"/>
          </w:tcPr>
          <w:p w:rsidR="0070763A" w:rsidRDefault="00602CDA"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Connecticut Energy Efficiency Fund</w:t>
            </w:r>
          </w:p>
        </w:tc>
      </w:tr>
      <w:tr w:rsidR="00602CDA" w:rsidRPr="00106391" w:rsidTr="00927451">
        <w:trPr>
          <w:cnfStyle w:val="000000100000"/>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CEII</w:t>
            </w:r>
          </w:p>
        </w:tc>
        <w:tc>
          <w:tcPr>
            <w:tcW w:w="0" w:type="auto"/>
          </w:tcPr>
          <w:p w:rsidR="0070763A" w:rsidRDefault="00602CDA" w:rsidP="00414E02">
            <w:pPr>
              <w:spacing w:after="0"/>
              <w:jc w:val="left"/>
              <w:cnfStyle w:val="000000100000"/>
              <w:rPr>
                <w:rFonts w:ascii="Arial" w:eastAsia="Calibri" w:hAnsi="Arial" w:cs="Arial"/>
                <w:i/>
                <w:iCs/>
                <w:color w:val="000000"/>
                <w:sz w:val="18"/>
                <w:szCs w:val="18"/>
              </w:rPr>
            </w:pPr>
            <w:r w:rsidRPr="00106391">
              <w:rPr>
                <w:rFonts w:ascii="Arial" w:eastAsia="Calibri" w:hAnsi="Arial" w:cs="Arial"/>
                <w:iCs/>
                <w:color w:val="000000"/>
                <w:sz w:val="18"/>
                <w:szCs w:val="18"/>
              </w:rPr>
              <w:t>Critical Energy Infrastructure Information</w:t>
            </w:r>
          </w:p>
        </w:tc>
      </w:tr>
      <w:tr w:rsidR="00602CDA" w:rsidRPr="00106391" w:rsidTr="00927451">
        <w:trPr>
          <w:cnfStyle w:val="000000010000"/>
          <w:trHeight w:val="373"/>
          <w:jc w:val="left"/>
        </w:trPr>
        <w:tc>
          <w:tcPr>
            <w:cnfStyle w:val="001000000000"/>
            <w:tcW w:w="0" w:type="auto"/>
          </w:tcPr>
          <w:p w:rsidR="00602CDA" w:rsidRPr="00106391" w:rsidRDefault="00602CDA"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CELT</w:t>
            </w:r>
          </w:p>
        </w:tc>
        <w:tc>
          <w:tcPr>
            <w:tcW w:w="0" w:type="auto"/>
          </w:tcPr>
          <w:p w:rsidR="0070763A" w:rsidRDefault="00602CDA" w:rsidP="00414E02">
            <w:pPr>
              <w:spacing w:after="0"/>
              <w:jc w:val="left"/>
              <w:cnfStyle w:val="000000010000"/>
              <w:rPr>
                <w:rFonts w:ascii="Arial" w:eastAsia="Calibri" w:hAnsi="Arial" w:cs="Arial"/>
                <w:color w:val="000000"/>
                <w:sz w:val="18"/>
                <w:szCs w:val="18"/>
              </w:rPr>
            </w:pPr>
            <w:r w:rsidRPr="00106391">
              <w:rPr>
                <w:rFonts w:ascii="Arial" w:eastAsia="Calibri" w:hAnsi="Arial" w:cs="Arial"/>
                <w:iCs/>
                <w:color w:val="000000"/>
                <w:sz w:val="18"/>
                <w:szCs w:val="18"/>
              </w:rPr>
              <w:t>capacity, energy, loads, and transmission</w:t>
            </w:r>
          </w:p>
        </w:tc>
      </w:tr>
      <w:tr w:rsidR="00602CDA" w:rsidRPr="00106391" w:rsidTr="00927451">
        <w:trPr>
          <w:cnfStyle w:val="000000100000"/>
          <w:jc w:val="left"/>
        </w:trPr>
        <w:tc>
          <w:tcPr>
            <w:cnfStyle w:val="001000000000"/>
            <w:tcW w:w="0" w:type="auto"/>
          </w:tcPr>
          <w:p w:rsidR="00602CDA" w:rsidRPr="00106391" w:rsidRDefault="00BC6F21" w:rsidP="00AD7502">
            <w:pPr>
              <w:spacing w:after="0"/>
              <w:rPr>
                <w:rFonts w:ascii="Arial" w:eastAsia="Calibri" w:hAnsi="Arial" w:cs="Arial"/>
                <w:color w:val="000000"/>
                <w:sz w:val="18"/>
                <w:szCs w:val="18"/>
              </w:rPr>
            </w:pPr>
            <w:r w:rsidRPr="00106391">
              <w:rPr>
                <w:rFonts w:ascii="Arial" w:eastAsia="Calibri" w:hAnsi="Arial" w:cs="Arial"/>
                <w:iCs/>
                <w:color w:val="000000"/>
                <w:sz w:val="18"/>
                <w:szCs w:val="18"/>
              </w:rPr>
              <w:t>2009 CELT Report</w:t>
            </w:r>
          </w:p>
        </w:tc>
        <w:tc>
          <w:tcPr>
            <w:tcW w:w="0" w:type="auto"/>
          </w:tcPr>
          <w:p w:rsidR="0070763A" w:rsidRDefault="00602CDA" w:rsidP="00414E02">
            <w:pPr>
              <w:spacing w:after="0"/>
              <w:jc w:val="left"/>
              <w:cnfStyle w:val="000000100000"/>
              <w:rPr>
                <w:rFonts w:ascii="Arial" w:eastAsia="Calibri" w:hAnsi="Arial" w:cs="Arial"/>
                <w:iCs/>
                <w:color w:val="000000"/>
                <w:sz w:val="18"/>
                <w:szCs w:val="18"/>
              </w:rPr>
            </w:pPr>
            <w:r w:rsidRPr="00106391">
              <w:rPr>
                <w:rFonts w:ascii="Arial" w:eastAsia="Calibri" w:hAnsi="Arial" w:cs="Arial"/>
                <w:i/>
                <w:iCs/>
                <w:color w:val="000000"/>
                <w:sz w:val="18"/>
                <w:szCs w:val="18"/>
              </w:rPr>
              <w:t>2009–2018 Forecast Report of Capacity, Energy, Loads, and Transmission</w:t>
            </w:r>
          </w:p>
        </w:tc>
      </w:tr>
      <w:tr w:rsidR="006C5873" w:rsidRPr="00106391" w:rsidTr="00927451">
        <w:trPr>
          <w:cnfStyle w:val="000000010000"/>
          <w:jc w:val="left"/>
        </w:trPr>
        <w:tc>
          <w:tcPr>
            <w:cnfStyle w:val="001000000000"/>
            <w:tcW w:w="0" w:type="auto"/>
          </w:tcPr>
          <w:p w:rsidR="002B257B" w:rsidRPr="00106391" w:rsidRDefault="006C5873">
            <w:pPr>
              <w:spacing w:after="0"/>
              <w:rPr>
                <w:rFonts w:ascii="Arial" w:eastAsia="Calibri" w:hAnsi="Arial" w:cs="Arial"/>
                <w:b w:val="0"/>
                <w:bCs w:val="0"/>
                <w:color w:val="000000"/>
                <w:sz w:val="18"/>
                <w:szCs w:val="18"/>
              </w:rPr>
            </w:pPr>
            <w:r w:rsidRPr="00106391">
              <w:rPr>
                <w:rFonts w:ascii="Arial" w:eastAsia="Calibri" w:hAnsi="Arial" w:cs="Arial"/>
                <w:iCs/>
                <w:color w:val="000000"/>
                <w:sz w:val="18"/>
                <w:szCs w:val="18"/>
              </w:rPr>
              <w:t>2010 CELT Report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i/>
                <w:iCs/>
                <w:color w:val="000000"/>
                <w:sz w:val="18"/>
                <w:szCs w:val="18"/>
              </w:rPr>
              <w:t>2010–2019 Forecast Report of Capacity, Energy, Loads, and Transmission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CFE</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communications front end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CHP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combined heat and power</w:t>
            </w:r>
          </w:p>
        </w:tc>
      </w:tr>
      <w:tr w:rsidR="006C5873" w:rsidRPr="00106391" w:rsidTr="00927451">
        <w:trPr>
          <w:cnfStyle w:val="000000100000"/>
          <w:trHeight w:val="373"/>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CLG</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Consumer Liaison Group</w:t>
            </w:r>
          </w:p>
        </w:tc>
      </w:tr>
      <w:tr w:rsidR="006C5873" w:rsidRPr="00106391" w:rsidTr="00927451">
        <w:trPr>
          <w:cnfStyle w:val="000000010000"/>
          <w:trHeight w:val="373"/>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CMA/NEMA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subarea comprising central Massachusetts and northeastern Massachusetts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bCs w:val="0"/>
                <w:color w:val="000000"/>
                <w:sz w:val="18"/>
                <w:szCs w:val="18"/>
              </w:rPr>
              <w:t>CMP</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Central Maine Power (Company)</w:t>
            </w:r>
          </w:p>
        </w:tc>
      </w:tr>
      <w:tr w:rsidR="004F45AA" w:rsidRPr="00106391" w:rsidTr="00927451">
        <w:trPr>
          <w:cnfStyle w:val="000000010000"/>
          <w:jc w:val="left"/>
        </w:trPr>
        <w:tc>
          <w:tcPr>
            <w:cnfStyle w:val="001000000000"/>
            <w:tcW w:w="0" w:type="auto"/>
          </w:tcPr>
          <w:p w:rsidR="004F45AA" w:rsidRPr="00106391" w:rsidRDefault="004F45AA" w:rsidP="00AD7502">
            <w:pPr>
              <w:spacing w:after="0"/>
              <w:rPr>
                <w:rFonts w:ascii="Arial" w:eastAsia="Calibri" w:hAnsi="Arial" w:cs="Arial"/>
                <w:color w:val="000000"/>
                <w:sz w:val="18"/>
                <w:szCs w:val="18"/>
              </w:rPr>
            </w:pPr>
            <w:r>
              <w:rPr>
                <w:rFonts w:ascii="Arial" w:eastAsia="Calibri" w:hAnsi="Arial" w:cs="Arial"/>
                <w:color w:val="000000"/>
                <w:sz w:val="18"/>
                <w:szCs w:val="18"/>
              </w:rPr>
              <w:t>C.M.R.</w:t>
            </w:r>
            <w:r w:rsidR="00383501">
              <w:rPr>
                <w:rFonts w:ascii="Arial" w:eastAsia="Calibri" w:hAnsi="Arial" w:cs="Arial"/>
                <w:color w:val="000000"/>
                <w:sz w:val="18"/>
                <w:szCs w:val="18"/>
              </w:rPr>
              <w:t>; CMR</w:t>
            </w:r>
          </w:p>
        </w:tc>
        <w:tc>
          <w:tcPr>
            <w:tcW w:w="0" w:type="auto"/>
          </w:tcPr>
          <w:p w:rsidR="004F45AA" w:rsidRPr="00106391" w:rsidRDefault="004F45AA" w:rsidP="004F45AA">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Code of Massachusetts Regulations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CO</w:t>
            </w:r>
            <w:r w:rsidRPr="00106391">
              <w:rPr>
                <w:rFonts w:ascii="Arial" w:eastAsia="Calibri" w:hAnsi="Arial" w:cs="Arial"/>
                <w:color w:val="000000"/>
                <w:sz w:val="18"/>
                <w:szCs w:val="18"/>
                <w:vertAlign w:val="subscript"/>
              </w:rPr>
              <w:t>2</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carbon dioxide</w:t>
            </w:r>
          </w:p>
        </w:tc>
      </w:tr>
      <w:tr w:rsidR="006D2E7D" w:rsidRPr="00106391" w:rsidTr="00927451">
        <w:trPr>
          <w:cnfStyle w:val="000000010000"/>
          <w:jc w:val="left"/>
        </w:trPr>
        <w:tc>
          <w:tcPr>
            <w:cnfStyle w:val="001000000000"/>
            <w:tcW w:w="0" w:type="auto"/>
          </w:tcPr>
          <w:p w:rsidR="006D2E7D" w:rsidRPr="00106391" w:rsidRDefault="006D2E7D"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CONE</w:t>
            </w:r>
          </w:p>
        </w:tc>
        <w:tc>
          <w:tcPr>
            <w:tcW w:w="0" w:type="auto"/>
          </w:tcPr>
          <w:p w:rsidR="0070763A" w:rsidRDefault="006D2E7D"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cost of new entry</w:t>
            </w:r>
          </w:p>
        </w:tc>
      </w:tr>
      <w:tr w:rsidR="00AE75AD" w:rsidRPr="00106391" w:rsidTr="00927451">
        <w:trPr>
          <w:cnfStyle w:val="000000100000"/>
          <w:jc w:val="left"/>
        </w:trPr>
        <w:tc>
          <w:tcPr>
            <w:cnfStyle w:val="001000000000"/>
            <w:tcW w:w="0" w:type="auto"/>
          </w:tcPr>
          <w:p w:rsidR="00AE75AD" w:rsidRPr="00106391" w:rsidRDefault="00AE75AD"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CPCN</w:t>
            </w:r>
          </w:p>
        </w:tc>
        <w:tc>
          <w:tcPr>
            <w:tcW w:w="0" w:type="auto"/>
          </w:tcPr>
          <w:p w:rsidR="0070763A" w:rsidRDefault="00FA6941" w:rsidP="00414E02">
            <w:pPr>
              <w:spacing w:after="0"/>
              <w:jc w:val="left"/>
              <w:cnfStyle w:val="000000100000"/>
              <w:rPr>
                <w:rFonts w:ascii="Arial" w:eastAsia="Calibri" w:hAnsi="Arial" w:cs="Arial"/>
                <w:color w:val="000000"/>
                <w:sz w:val="18"/>
                <w:szCs w:val="18"/>
              </w:rPr>
            </w:pPr>
            <w:r w:rsidRPr="00106391">
              <w:rPr>
                <w:rFonts w:ascii="Arial" w:hAnsi="Arial" w:cs="Arial"/>
                <w:sz w:val="18"/>
                <w:szCs w:val="18"/>
              </w:rPr>
              <w:t>Certificate of Public Convenience and Necessity</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CRS</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Congressional Research Service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CSO</w:t>
            </w:r>
          </w:p>
        </w:tc>
        <w:tc>
          <w:tcPr>
            <w:tcW w:w="0" w:type="auto"/>
          </w:tcPr>
          <w:p w:rsidR="0070763A" w:rsidRDefault="006C5873" w:rsidP="00414E02">
            <w:pPr>
              <w:spacing w:after="0"/>
              <w:jc w:val="left"/>
              <w:cnfStyle w:val="000000100000"/>
              <w:rPr>
                <w:rFonts w:ascii="Arial" w:eastAsia="Calibri" w:hAnsi="Arial" w:cs="Arial"/>
                <w:bCs/>
                <w:color w:val="000000"/>
                <w:sz w:val="18"/>
                <w:szCs w:val="18"/>
              </w:rPr>
            </w:pPr>
            <w:r w:rsidRPr="00106391">
              <w:rPr>
                <w:rFonts w:ascii="Arial" w:eastAsia="Calibri" w:hAnsi="Arial" w:cs="Arial"/>
                <w:bCs/>
                <w:color w:val="000000"/>
                <w:sz w:val="18"/>
                <w:szCs w:val="18"/>
              </w:rPr>
              <w:t>capacity supply obligation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CT</w:t>
            </w:r>
          </w:p>
        </w:tc>
        <w:tc>
          <w:tcPr>
            <w:tcW w:w="0" w:type="auto"/>
          </w:tcPr>
          <w:p w:rsidR="0070763A" w:rsidRDefault="006C5873" w:rsidP="00414E02">
            <w:pPr>
              <w:spacing w:after="0"/>
              <w:jc w:val="left"/>
              <w:cnfStyle w:val="000000010000"/>
              <w:rPr>
                <w:rFonts w:ascii="Arial" w:eastAsia="Calibri" w:hAnsi="Arial" w:cs="Arial"/>
                <w:bCs/>
                <w:color w:val="000000"/>
                <w:sz w:val="18"/>
                <w:szCs w:val="18"/>
              </w:rPr>
            </w:pPr>
            <w:r w:rsidRPr="00106391">
              <w:rPr>
                <w:rFonts w:ascii="Arial" w:eastAsia="Calibri" w:hAnsi="Arial" w:cs="Arial"/>
                <w:bCs/>
                <w:color w:val="000000"/>
                <w:sz w:val="18"/>
                <w:szCs w:val="18"/>
              </w:rPr>
              <w:t>1) State of Connecticut</w:t>
            </w:r>
          </w:p>
          <w:p w:rsidR="0070763A" w:rsidRDefault="006C5873" w:rsidP="00414E02">
            <w:pPr>
              <w:spacing w:after="0"/>
              <w:jc w:val="left"/>
              <w:cnfStyle w:val="000000010000"/>
              <w:rPr>
                <w:rFonts w:ascii="Arial" w:eastAsia="Calibri" w:hAnsi="Arial" w:cs="Arial"/>
                <w:bCs/>
                <w:color w:val="000000"/>
                <w:sz w:val="18"/>
                <w:szCs w:val="18"/>
              </w:rPr>
            </w:pPr>
            <w:r w:rsidRPr="00106391">
              <w:rPr>
                <w:rFonts w:ascii="Arial" w:eastAsia="Calibri" w:hAnsi="Arial" w:cs="Arial"/>
                <w:bCs/>
                <w:color w:val="000000"/>
                <w:sz w:val="18"/>
                <w:szCs w:val="18"/>
              </w:rPr>
              <w:t>2) RSP subarea that includes northern and eastern Connecticut</w:t>
            </w:r>
          </w:p>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3</w:t>
            </w:r>
            <w:r w:rsidRPr="00106391">
              <w:rPr>
                <w:rFonts w:ascii="Arial" w:eastAsia="Calibri" w:hAnsi="Arial" w:cs="Arial"/>
                <w:bCs/>
                <w:color w:val="000000"/>
                <w:sz w:val="18"/>
                <w:szCs w:val="18"/>
              </w:rPr>
              <w:t>) Connecticut load zone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bCs w:val="0"/>
                <w:color w:val="000000"/>
                <w:sz w:val="18"/>
                <w:szCs w:val="18"/>
              </w:rPr>
            </w:pPr>
            <w:r w:rsidRPr="00106391">
              <w:rPr>
                <w:rFonts w:ascii="Arial" w:eastAsia="Calibri" w:hAnsi="Arial" w:cs="Arial"/>
                <w:bCs w:val="0"/>
                <w:color w:val="000000"/>
                <w:sz w:val="18"/>
                <w:szCs w:val="18"/>
              </w:rPr>
              <w:t>CT DPUC</w:t>
            </w:r>
          </w:p>
        </w:tc>
        <w:tc>
          <w:tcPr>
            <w:tcW w:w="0" w:type="auto"/>
          </w:tcPr>
          <w:p w:rsidR="0070763A" w:rsidRDefault="006C5873" w:rsidP="00414E02">
            <w:pPr>
              <w:spacing w:after="0"/>
              <w:jc w:val="left"/>
              <w:cnfStyle w:val="000000100000"/>
              <w:rPr>
                <w:rFonts w:ascii="Arial" w:eastAsia="Calibri" w:hAnsi="Arial" w:cs="Arial"/>
                <w:bCs/>
                <w:color w:val="000000"/>
                <w:sz w:val="18"/>
                <w:szCs w:val="18"/>
              </w:rPr>
            </w:pPr>
            <w:r w:rsidRPr="00106391">
              <w:rPr>
                <w:rFonts w:ascii="Arial" w:eastAsia="Calibri" w:hAnsi="Arial" w:cs="Arial"/>
                <w:bCs/>
                <w:color w:val="000000"/>
                <w:sz w:val="18"/>
                <w:szCs w:val="18"/>
              </w:rPr>
              <w:t>Connecticut Department of Public Utilit</w:t>
            </w:r>
            <w:r w:rsidR="00924DD3">
              <w:rPr>
                <w:rFonts w:ascii="Arial" w:eastAsia="Calibri" w:hAnsi="Arial" w:cs="Arial"/>
                <w:bCs/>
                <w:color w:val="000000"/>
                <w:sz w:val="18"/>
                <w:szCs w:val="18"/>
              </w:rPr>
              <w:t>y Control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DARD</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dispatchable asset-related demand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District of Columbia; direct current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D.C. Cir.</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District of Columbia Circuit (Court)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DCT</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double-circuit tower</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DDE</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demand-designated entity</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DE</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Delaware</w:t>
            </w:r>
          </w:p>
        </w:tc>
      </w:tr>
      <w:tr w:rsidR="007A6F15" w:rsidRPr="00106391" w:rsidTr="00927451">
        <w:trPr>
          <w:cnfStyle w:val="000000010000"/>
          <w:jc w:val="left"/>
        </w:trPr>
        <w:tc>
          <w:tcPr>
            <w:cnfStyle w:val="001000000000"/>
            <w:tcW w:w="0" w:type="auto"/>
          </w:tcPr>
          <w:p w:rsidR="007A6F15" w:rsidRPr="00106391" w:rsidRDefault="007A6F15" w:rsidP="00AD7502">
            <w:pPr>
              <w:spacing w:after="0"/>
              <w:rPr>
                <w:rFonts w:ascii="Arial" w:eastAsia="Calibri" w:hAnsi="Arial" w:cs="Arial"/>
                <w:color w:val="000000"/>
                <w:sz w:val="18"/>
                <w:szCs w:val="18"/>
              </w:rPr>
            </w:pPr>
            <w:r>
              <w:rPr>
                <w:rFonts w:ascii="Arial" w:eastAsia="Calibri" w:hAnsi="Arial" w:cs="Arial"/>
                <w:color w:val="000000"/>
                <w:sz w:val="18"/>
                <w:szCs w:val="18"/>
              </w:rPr>
              <w:t>DEP</w:t>
            </w:r>
          </w:p>
        </w:tc>
        <w:tc>
          <w:tcPr>
            <w:tcW w:w="0" w:type="auto"/>
          </w:tcPr>
          <w:p w:rsidR="007A6F15" w:rsidRPr="00106391" w:rsidRDefault="007A6F15" w:rsidP="007A6F15">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Department of Environmental Protection (Maine, New Jersey)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DG</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distributed generation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DLN</w:t>
            </w:r>
          </w:p>
        </w:tc>
        <w:tc>
          <w:tcPr>
            <w:tcW w:w="0" w:type="auto"/>
          </w:tcPr>
          <w:p w:rsidR="0070763A" w:rsidRDefault="003F6334" w:rsidP="00221FDA">
            <w:pPr>
              <w:spacing w:after="0"/>
              <w:jc w:val="left"/>
              <w:cnfStyle w:val="000000010000"/>
              <w:rPr>
                <w:rFonts w:ascii="Arial" w:eastAsia="Calibri" w:hAnsi="Arial" w:cs="Arial"/>
                <w:i/>
                <w:iCs/>
                <w:color w:val="000000"/>
                <w:sz w:val="18"/>
                <w:szCs w:val="18"/>
              </w:rPr>
            </w:pPr>
            <w:r>
              <w:rPr>
                <w:rFonts w:ascii="Arial" w:eastAsia="Calibri" w:hAnsi="Arial" w:cs="Arial"/>
                <w:iCs/>
                <w:color w:val="000000"/>
                <w:sz w:val="18"/>
                <w:szCs w:val="18"/>
              </w:rPr>
              <w:t>d</w:t>
            </w:r>
            <w:r w:rsidR="006C5873" w:rsidRPr="00106391">
              <w:rPr>
                <w:rFonts w:ascii="Arial" w:eastAsia="Calibri" w:hAnsi="Arial" w:cs="Arial"/>
                <w:iCs/>
                <w:color w:val="000000"/>
                <w:sz w:val="18"/>
                <w:szCs w:val="18"/>
              </w:rPr>
              <w:t>ry</w:t>
            </w:r>
            <w:r>
              <w:rPr>
                <w:rFonts w:ascii="Arial" w:eastAsia="Calibri" w:hAnsi="Arial" w:cs="Arial"/>
                <w:iCs/>
                <w:color w:val="000000"/>
                <w:sz w:val="18"/>
                <w:szCs w:val="18"/>
              </w:rPr>
              <w:t>,</w:t>
            </w:r>
            <w:r w:rsidR="006C5873" w:rsidRPr="00106391">
              <w:rPr>
                <w:rFonts w:ascii="Arial" w:eastAsia="Calibri" w:hAnsi="Arial" w:cs="Arial"/>
                <w:iCs/>
                <w:color w:val="000000"/>
                <w:sz w:val="18"/>
                <w:szCs w:val="18"/>
              </w:rPr>
              <w:t xml:space="preserve"> low</w:t>
            </w:r>
            <w:r w:rsidR="00221FDA">
              <w:rPr>
                <w:rFonts w:ascii="Arial" w:eastAsia="Calibri" w:hAnsi="Arial" w:cs="Arial"/>
                <w:iCs/>
                <w:color w:val="000000"/>
                <w:sz w:val="18"/>
                <w:szCs w:val="18"/>
              </w:rPr>
              <w:t xml:space="preserve"> </w:t>
            </w:r>
            <w:r w:rsidR="006C5873" w:rsidRPr="00106391">
              <w:rPr>
                <w:rFonts w:ascii="Arial" w:eastAsia="Calibri" w:hAnsi="Arial" w:cs="Arial"/>
                <w:iCs/>
                <w:color w:val="000000"/>
                <w:sz w:val="18"/>
                <w:szCs w:val="18"/>
              </w:rPr>
              <w:t>nitrogen oxide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DLR</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dynamic line rating</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highlight w:val="yellow"/>
              </w:rPr>
            </w:pPr>
            <w:r w:rsidRPr="00106391">
              <w:rPr>
                <w:rFonts w:ascii="Arial" w:eastAsia="Calibri" w:hAnsi="Arial" w:cs="Arial"/>
                <w:color w:val="000000"/>
                <w:sz w:val="18"/>
                <w:szCs w:val="18"/>
              </w:rPr>
              <w:t>DOE</w:t>
            </w:r>
          </w:p>
        </w:tc>
        <w:tc>
          <w:tcPr>
            <w:tcW w:w="0" w:type="auto"/>
          </w:tcPr>
          <w:p w:rsidR="0070763A" w:rsidRDefault="006C5873" w:rsidP="00414E02">
            <w:pPr>
              <w:spacing w:after="0"/>
              <w:jc w:val="left"/>
              <w:cnfStyle w:val="000000010000"/>
              <w:rPr>
                <w:rFonts w:ascii="Arial" w:eastAsia="Calibri" w:hAnsi="Arial" w:cs="Arial"/>
                <w:color w:val="000000"/>
                <w:sz w:val="18"/>
                <w:szCs w:val="18"/>
                <w:highlight w:val="yellow"/>
              </w:rPr>
            </w:pPr>
            <w:r w:rsidRPr="00106391">
              <w:rPr>
                <w:rFonts w:ascii="Arial" w:eastAsia="Calibri" w:hAnsi="Arial" w:cs="Arial"/>
                <w:color w:val="000000"/>
                <w:sz w:val="18"/>
                <w:szCs w:val="18"/>
              </w:rPr>
              <w:t>U.S. Department of Energy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DOER</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Department of Energy Resources (Massachusetts)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DOMAC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Distrigas of Massachusetts</w:t>
            </w:r>
          </w:p>
        </w:tc>
      </w:tr>
      <w:tr w:rsidR="006C5873" w:rsidRPr="00106391" w:rsidTr="00927451">
        <w:trPr>
          <w:cnfStyle w:val="000000100000"/>
          <w:jc w:val="left"/>
        </w:trPr>
        <w:tc>
          <w:tcPr>
            <w:cnfStyle w:val="001000000000"/>
            <w:tcW w:w="0" w:type="auto"/>
          </w:tcPr>
          <w:p w:rsidR="006C5873" w:rsidRPr="006F4C06" w:rsidRDefault="00D4331C" w:rsidP="00AD7502">
            <w:pPr>
              <w:spacing w:after="0"/>
              <w:rPr>
                <w:rFonts w:ascii="Arial" w:eastAsia="Calibri" w:hAnsi="Arial" w:cs="Arial"/>
                <w:color w:val="000000"/>
                <w:sz w:val="18"/>
                <w:szCs w:val="18"/>
              </w:rPr>
            </w:pPr>
            <w:r w:rsidRPr="00D4331C">
              <w:rPr>
                <w:rFonts w:ascii="Arial" w:eastAsia="Calibri" w:hAnsi="Arial" w:cs="Arial"/>
                <w:color w:val="000000"/>
                <w:sz w:val="18"/>
                <w:szCs w:val="18"/>
              </w:rPr>
              <w:t>DPUC</w:t>
            </w:r>
          </w:p>
        </w:tc>
        <w:tc>
          <w:tcPr>
            <w:tcW w:w="0" w:type="auto"/>
          </w:tcPr>
          <w:p w:rsidR="0070763A" w:rsidRPr="006F4C06" w:rsidRDefault="00D4331C" w:rsidP="00414E02">
            <w:pPr>
              <w:spacing w:after="0"/>
              <w:jc w:val="left"/>
              <w:cnfStyle w:val="000000100000"/>
              <w:rPr>
                <w:rFonts w:ascii="Arial" w:eastAsia="Calibri" w:hAnsi="Arial" w:cs="Arial"/>
                <w:color w:val="000000"/>
                <w:sz w:val="18"/>
                <w:szCs w:val="18"/>
              </w:rPr>
            </w:pPr>
            <w:r w:rsidRPr="00D4331C">
              <w:rPr>
                <w:rFonts w:ascii="Arial" w:eastAsia="Calibri" w:hAnsi="Arial" w:cs="Arial"/>
                <w:color w:val="000000"/>
                <w:sz w:val="18"/>
                <w:szCs w:val="18"/>
              </w:rPr>
              <w:t>Department of Public Utility Control (Connecticut)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DRR Pilot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Demand-Response Reserve Pilot Program</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ECMB</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Energy Conservation Management Board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EE</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energy efficiency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EEAC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Energy Efficiency Advisory Council (MA)</w:t>
            </w:r>
          </w:p>
        </w:tc>
      </w:tr>
      <w:tr w:rsidR="00FA383D" w:rsidRPr="00106391" w:rsidTr="00927451">
        <w:trPr>
          <w:cnfStyle w:val="000000010000"/>
          <w:jc w:val="left"/>
        </w:trPr>
        <w:tc>
          <w:tcPr>
            <w:cnfStyle w:val="001000000000"/>
            <w:tcW w:w="0" w:type="auto"/>
          </w:tcPr>
          <w:p w:rsidR="00FA383D"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EERF</w:t>
            </w:r>
          </w:p>
        </w:tc>
        <w:tc>
          <w:tcPr>
            <w:tcW w:w="0" w:type="auto"/>
          </w:tcPr>
          <w:p w:rsidR="0070763A" w:rsidRDefault="004825D1" w:rsidP="00414E02">
            <w:pPr>
              <w:spacing w:after="0"/>
              <w:jc w:val="left"/>
              <w:cnfStyle w:val="000000010000"/>
              <w:rPr>
                <w:rFonts w:ascii="Arial" w:eastAsia="Calibri" w:hAnsi="Arial" w:cs="Arial"/>
                <w:color w:val="000000"/>
                <w:sz w:val="18"/>
                <w:szCs w:val="18"/>
              </w:rPr>
            </w:pPr>
            <w:r w:rsidRPr="00106391">
              <w:rPr>
                <w:rFonts w:ascii="Arial" w:hAnsi="Arial" w:cs="Arial"/>
                <w:color w:val="000000" w:themeColor="text1"/>
                <w:sz w:val="18"/>
                <w:szCs w:val="18"/>
              </w:rPr>
              <w:t>Energy-Efficiency Reconciliation Factor</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EERS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Electric Efficiency Resource Standard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EGOC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Electric/Gas Operations Committee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EIA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Energy Information Administration (U.S. DOT)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EIPC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Eastern Interconnection Planning Collaborative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EISPC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Eastern Interconnection States Planning Council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EMS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Energy Management System</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EPA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U.S. Environmental Protection Agency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EPAct</w:t>
            </w:r>
          </w:p>
        </w:tc>
        <w:tc>
          <w:tcPr>
            <w:tcW w:w="0" w:type="auto"/>
          </w:tcPr>
          <w:p w:rsidR="0070763A" w:rsidRDefault="006C5873"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i/>
                <w:iCs/>
                <w:color w:val="000000"/>
                <w:sz w:val="18"/>
                <w:szCs w:val="18"/>
              </w:rPr>
              <w:t>Energy Policy Act of 2005</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EPRI</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Electric Power Research Institute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ERCOT</w:t>
            </w:r>
          </w:p>
        </w:tc>
        <w:tc>
          <w:tcPr>
            <w:tcW w:w="0" w:type="auto"/>
          </w:tcPr>
          <w:p w:rsidR="0070763A" w:rsidRDefault="006C5873"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color w:val="000000"/>
                <w:sz w:val="18"/>
                <w:szCs w:val="18"/>
              </w:rPr>
              <w:t>Electric Reliability Council of Texas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ERO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Electric Reliability Organization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EV</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Efficiency Vermont</w:t>
            </w:r>
          </w:p>
        </w:tc>
      </w:tr>
      <w:tr w:rsidR="00C05CD8" w:rsidRPr="00106391" w:rsidTr="00927451">
        <w:trPr>
          <w:cnfStyle w:val="000000100000"/>
          <w:jc w:val="left"/>
        </w:trPr>
        <w:tc>
          <w:tcPr>
            <w:cnfStyle w:val="001000000000"/>
            <w:tcW w:w="0" w:type="auto"/>
          </w:tcPr>
          <w:p w:rsidR="00C05CD8" w:rsidRPr="00106391" w:rsidRDefault="00C05CD8" w:rsidP="00AD7502">
            <w:pPr>
              <w:spacing w:after="0"/>
              <w:rPr>
                <w:rFonts w:ascii="Arial" w:eastAsia="Calibri" w:hAnsi="Arial" w:cs="Arial"/>
                <w:color w:val="000000"/>
                <w:sz w:val="18"/>
                <w:szCs w:val="18"/>
              </w:rPr>
            </w:pPr>
            <w:r>
              <w:rPr>
                <w:rFonts w:ascii="Arial" w:eastAsia="Calibri" w:hAnsi="Arial" w:cs="Arial"/>
                <w:color w:val="000000"/>
                <w:sz w:val="18"/>
                <w:szCs w:val="18"/>
              </w:rPr>
              <w:t>EWITS</w:t>
            </w:r>
          </w:p>
        </w:tc>
        <w:tc>
          <w:tcPr>
            <w:tcW w:w="0" w:type="auto"/>
          </w:tcPr>
          <w:p w:rsidR="00E27C5C" w:rsidRDefault="00C05CD8" w:rsidP="00414E02">
            <w:pPr>
              <w:spacing w:after="0"/>
              <w:jc w:val="left"/>
              <w:cnfStyle w:val="000000100000"/>
              <w:rPr>
                <w:rFonts w:ascii="Arial" w:eastAsia="Calibri" w:hAnsi="Arial" w:cs="Arial"/>
                <w:i/>
                <w:color w:val="000000"/>
                <w:sz w:val="18"/>
                <w:szCs w:val="18"/>
              </w:rPr>
            </w:pPr>
            <w:r>
              <w:rPr>
                <w:rFonts w:ascii="Arial" w:eastAsia="Calibri" w:hAnsi="Arial" w:cs="Arial"/>
                <w:i/>
                <w:color w:val="000000"/>
                <w:sz w:val="18"/>
                <w:szCs w:val="18"/>
              </w:rPr>
              <w:t>Eastern Wind Integration and Transmission Study</w:t>
            </w:r>
            <w:r w:rsidR="00D4331C" w:rsidRPr="00D4331C">
              <w:rPr>
                <w:rFonts w:ascii="Arial" w:eastAsia="Calibri" w:hAnsi="Arial" w:cs="Arial"/>
                <w:color w:val="000000"/>
                <w:sz w:val="18"/>
                <w:szCs w:val="18"/>
              </w:rPr>
              <w:t xml:space="preserve"> (U.S. DOE, NREL)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FACTS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Flexible Alternating-Current Transmission System</w:t>
            </w:r>
          </w:p>
        </w:tc>
      </w:tr>
      <w:tr w:rsidR="00FA64A4" w:rsidRPr="00106391" w:rsidTr="00927451">
        <w:trPr>
          <w:cnfStyle w:val="000000100000"/>
          <w:jc w:val="left"/>
        </w:trPr>
        <w:tc>
          <w:tcPr>
            <w:cnfStyle w:val="001000000000"/>
            <w:tcW w:w="0" w:type="auto"/>
          </w:tcPr>
          <w:p w:rsidR="00FA64A4" w:rsidRPr="00106391" w:rsidRDefault="00FA64A4" w:rsidP="00AD7502">
            <w:pPr>
              <w:spacing w:after="0"/>
              <w:rPr>
                <w:rFonts w:ascii="Arial" w:eastAsia="Calibri" w:hAnsi="Arial" w:cs="Arial"/>
                <w:color w:val="000000"/>
                <w:sz w:val="18"/>
                <w:szCs w:val="18"/>
              </w:rPr>
            </w:pPr>
            <w:r>
              <w:rPr>
                <w:rFonts w:ascii="Arial" w:eastAsia="Calibri" w:hAnsi="Arial" w:cs="Arial"/>
                <w:color w:val="000000"/>
                <w:sz w:val="18"/>
                <w:szCs w:val="18"/>
              </w:rPr>
              <w:t>FAQ</w:t>
            </w:r>
          </w:p>
        </w:tc>
        <w:tc>
          <w:tcPr>
            <w:tcW w:w="0" w:type="auto"/>
          </w:tcPr>
          <w:p w:rsidR="00E27C5C" w:rsidRDefault="00FA64A4" w:rsidP="00414E02">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frequently asked question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FCA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Forward Capacity Auction</w:t>
            </w:r>
          </w:p>
        </w:tc>
      </w:tr>
      <w:tr w:rsidR="006C5873" w:rsidRPr="00106391" w:rsidTr="00927451">
        <w:trPr>
          <w:cnfStyle w:val="000000100000"/>
          <w:jc w:val="left"/>
        </w:trPr>
        <w:tc>
          <w:tcPr>
            <w:cnfStyle w:val="001000000000"/>
            <w:tcW w:w="0" w:type="auto"/>
          </w:tcPr>
          <w:p w:rsidR="006C5873" w:rsidRPr="00106391" w:rsidRDefault="006C5873">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FCA</w:t>
            </w:r>
            <w:r w:rsidR="004A1D7C">
              <w:rPr>
                <w:rFonts w:ascii="Arial" w:eastAsia="Calibri" w:hAnsi="Arial" w:cs="Arial"/>
                <w:color w:val="000000"/>
                <w:sz w:val="18"/>
                <w:szCs w:val="18"/>
              </w:rPr>
              <w:t xml:space="preserve"> </w:t>
            </w:r>
            <w:r w:rsidRPr="00106391">
              <w:rPr>
                <w:rFonts w:ascii="Arial" w:eastAsia="Calibri" w:hAnsi="Arial" w:cs="Arial"/>
                <w:color w:val="000000"/>
                <w:sz w:val="18"/>
                <w:szCs w:val="18"/>
              </w:rPr>
              <w:t>#N</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Nth Forward Capacity Auction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FCM</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Forward Capacity Market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FERC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Federal Energy Regulatory Commission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FIT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feed-in tariff</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FOA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Funding Opportunity Announcement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FRM</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Forward Reserve Market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FTR</w:t>
            </w:r>
          </w:p>
        </w:tc>
        <w:tc>
          <w:tcPr>
            <w:tcW w:w="0" w:type="auto"/>
          </w:tcPr>
          <w:p w:rsidR="0070763A" w:rsidRDefault="004D023F"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Financial Transmission Rights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GCA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4D023F">
              <w:rPr>
                <w:rFonts w:ascii="Arial" w:eastAsia="Calibri" w:hAnsi="Arial" w:cs="Arial"/>
                <w:i/>
                <w:color w:val="000000"/>
                <w:sz w:val="18"/>
                <w:szCs w:val="18"/>
              </w:rPr>
              <w:t>Green Communities Act</w:t>
            </w:r>
            <w:r w:rsidRPr="00106391">
              <w:rPr>
                <w:rFonts w:ascii="Arial" w:eastAsia="Calibri" w:hAnsi="Arial" w:cs="Arial"/>
                <w:color w:val="000000"/>
                <w:sz w:val="18"/>
                <w:szCs w:val="18"/>
              </w:rPr>
              <w:t xml:space="preserve"> (MA)</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GDF</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Gaz de France</w:t>
            </w:r>
          </w:p>
        </w:tc>
      </w:tr>
      <w:tr w:rsidR="00D87591" w:rsidRPr="00106391" w:rsidTr="00927451">
        <w:trPr>
          <w:cnfStyle w:val="000000010000"/>
          <w:jc w:val="left"/>
        </w:trPr>
        <w:tc>
          <w:tcPr>
            <w:cnfStyle w:val="001000000000"/>
            <w:tcW w:w="0" w:type="auto"/>
          </w:tcPr>
          <w:p w:rsidR="00D87591" w:rsidRPr="00106391" w:rsidRDefault="00D87591" w:rsidP="00AD7502">
            <w:pPr>
              <w:spacing w:after="0"/>
              <w:rPr>
                <w:rFonts w:ascii="Arial" w:eastAsia="Calibri" w:hAnsi="Arial" w:cs="Arial"/>
                <w:color w:val="000000"/>
                <w:sz w:val="18"/>
                <w:szCs w:val="18"/>
              </w:rPr>
            </w:pPr>
            <w:r>
              <w:rPr>
                <w:rFonts w:ascii="Arial" w:eastAsia="Calibri" w:hAnsi="Arial" w:cs="Arial"/>
                <w:color w:val="000000"/>
                <w:sz w:val="18"/>
                <w:szCs w:val="18"/>
              </w:rPr>
              <w:t>GDP</w:t>
            </w:r>
          </w:p>
        </w:tc>
        <w:tc>
          <w:tcPr>
            <w:tcW w:w="0" w:type="auto"/>
          </w:tcPr>
          <w:p w:rsidR="00D87591" w:rsidRPr="00106391" w:rsidRDefault="00D87591" w:rsidP="00D87591">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gross domestic product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GE F-Class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General Electric’s F class of gas turbines</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GHG</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greenhouse gas</w:t>
            </w:r>
          </w:p>
        </w:tc>
      </w:tr>
      <w:tr w:rsidR="004F45AA" w:rsidRPr="00106391" w:rsidTr="00927451">
        <w:trPr>
          <w:cnfStyle w:val="000000100000"/>
          <w:jc w:val="left"/>
        </w:trPr>
        <w:tc>
          <w:tcPr>
            <w:cnfStyle w:val="001000000000"/>
            <w:tcW w:w="0" w:type="auto"/>
          </w:tcPr>
          <w:p w:rsidR="004F45AA" w:rsidRPr="00106391" w:rsidRDefault="004F45AA" w:rsidP="00AD7502">
            <w:pPr>
              <w:spacing w:after="0"/>
              <w:rPr>
                <w:rFonts w:ascii="Arial" w:eastAsia="Calibri" w:hAnsi="Arial" w:cs="Arial"/>
                <w:color w:val="000000"/>
                <w:sz w:val="18"/>
                <w:szCs w:val="18"/>
              </w:rPr>
            </w:pPr>
            <w:r>
              <w:rPr>
                <w:rFonts w:ascii="Arial" w:eastAsia="Calibri" w:hAnsi="Arial" w:cs="Arial"/>
                <w:color w:val="000000"/>
                <w:sz w:val="18"/>
                <w:szCs w:val="18"/>
              </w:rPr>
              <w:t>G.L.</w:t>
            </w:r>
          </w:p>
        </w:tc>
        <w:tc>
          <w:tcPr>
            <w:tcW w:w="0" w:type="auto"/>
          </w:tcPr>
          <w:p w:rsidR="004F45AA" w:rsidRPr="00106391" w:rsidRDefault="004F45AA" w:rsidP="004F45AA">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general law</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GPS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global positioning satellite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Greater Connecticut</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RSP study area that includes the RSP subareas of NOR, SWCT, and CT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Greater Southwest Connecticut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study area that includes the southwestern and western portions of Connecticut and comprises the SWCT and NOR subareas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GRI</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Greater Rhode Island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GSRP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Greater Springfield Reliability Project</w:t>
            </w:r>
          </w:p>
        </w:tc>
      </w:tr>
      <w:tr w:rsidR="008F66DC" w:rsidRPr="00106391" w:rsidTr="00927451">
        <w:trPr>
          <w:cnfStyle w:val="000000100000"/>
          <w:jc w:val="left"/>
        </w:trPr>
        <w:tc>
          <w:tcPr>
            <w:cnfStyle w:val="001000000000"/>
            <w:tcW w:w="0" w:type="auto"/>
          </w:tcPr>
          <w:p w:rsidR="008F66DC"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GT</w:t>
            </w:r>
          </w:p>
        </w:tc>
        <w:tc>
          <w:tcPr>
            <w:tcW w:w="0" w:type="auto"/>
          </w:tcPr>
          <w:p w:rsidR="0070763A" w:rsidRDefault="00206FDB"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gas turbine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GW</w:t>
            </w:r>
          </w:p>
        </w:tc>
        <w:tc>
          <w:tcPr>
            <w:tcW w:w="0" w:type="auto"/>
          </w:tcPr>
          <w:p w:rsidR="0070763A" w:rsidRDefault="004D023F" w:rsidP="004D023F">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g</w:t>
            </w:r>
            <w:r w:rsidR="006C5873" w:rsidRPr="00106391">
              <w:rPr>
                <w:rFonts w:ascii="Arial" w:eastAsia="Calibri" w:hAnsi="Arial" w:cs="Arial"/>
                <w:color w:val="000000"/>
                <w:sz w:val="18"/>
                <w:szCs w:val="18"/>
              </w:rPr>
              <w:t>igawatt</w:t>
            </w:r>
            <w:r>
              <w:rPr>
                <w:rFonts w:ascii="Arial" w:eastAsia="Calibri" w:hAnsi="Arial" w:cs="Arial"/>
                <w:color w:val="000000"/>
                <w:sz w:val="18"/>
                <w:szCs w:val="18"/>
              </w:rPr>
              <w:t>(s)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GWh</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gigawatt-hour(s)</w:t>
            </w:r>
          </w:p>
        </w:tc>
      </w:tr>
      <w:tr w:rsidR="006C5873" w:rsidRPr="00106391" w:rsidTr="00927451">
        <w:trPr>
          <w:cnfStyle w:val="000000010000"/>
          <w:jc w:val="left"/>
        </w:trPr>
        <w:tc>
          <w:tcPr>
            <w:cnfStyle w:val="001000000000"/>
            <w:tcW w:w="0" w:type="auto"/>
          </w:tcPr>
          <w:p w:rsidR="006C5873" w:rsidRPr="00106391" w:rsidRDefault="006C5873">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HEDD</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High Electric Demand Day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HQ</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Hydro-Québec Balancing Authority Area</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HQICC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Hydro-Québec Installed Capability Credit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H.R.</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House of Representatives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HVAC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heating, ventilation, and air conditioning</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HVDC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high-voltage direct current</w:t>
            </w:r>
          </w:p>
        </w:tc>
      </w:tr>
      <w:tr w:rsidR="006C5873" w:rsidRPr="00106391" w:rsidTr="00927451">
        <w:trPr>
          <w:cnfStyle w:val="00000001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HY</w:t>
            </w:r>
          </w:p>
        </w:tc>
        <w:tc>
          <w:tcPr>
            <w:tcW w:w="0" w:type="auto"/>
          </w:tcPr>
          <w:p w:rsidR="0070763A" w:rsidRDefault="004A1D7C"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h</w:t>
            </w:r>
            <w:r w:rsidR="00206FDB" w:rsidRPr="00106391">
              <w:rPr>
                <w:rFonts w:ascii="Arial" w:eastAsia="Calibri" w:hAnsi="Arial" w:cs="Arial"/>
                <w:color w:val="000000"/>
                <w:sz w:val="18"/>
                <w:szCs w:val="18"/>
              </w:rPr>
              <w:t>ydraulic turbine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IBCS OS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Internet-Based Communication System Open Solution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ICAP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installed capacity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ICR</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Installed Capacity Requirement</w:t>
            </w:r>
          </w:p>
        </w:tc>
      </w:tr>
      <w:tr w:rsidR="006C5873" w:rsidRPr="00106391" w:rsidTr="00927451">
        <w:trPr>
          <w:cnfStyle w:val="00000001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IEEE</w:t>
            </w:r>
          </w:p>
        </w:tc>
        <w:tc>
          <w:tcPr>
            <w:tcW w:w="0" w:type="auto"/>
          </w:tcPr>
          <w:p w:rsidR="0070763A" w:rsidRDefault="00206FDB"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Institute of Electrical and Electronics Engineers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IESO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Independent Electric System Operator (Ontario, Canada)</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IGTS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Iroquois Gas Transmission System</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IMO</w:t>
            </w:r>
          </w:p>
        </w:tc>
        <w:tc>
          <w:tcPr>
            <w:tcW w:w="0" w:type="auto"/>
          </w:tcPr>
          <w:p w:rsidR="0070763A" w:rsidRDefault="00206FDB"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Independent Electricity Market Operator of Ontario</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IPSAC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Inter-Area Planning Stakeholder Advisory Committee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IRC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ISO/RTO Council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IREMM</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Interregional Electric Market Model</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IRP</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Interstate Reliability Plan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ISO</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Independent System Operator of New England; ISO New England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ISO/RTO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Independent System Operator/Regional Transmission Organization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ISOs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Independent System Operators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IVGTF</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Integrating Variable Generation Task Force (NERC)</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JIPC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Joint ISO/RTO Planning Committee</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kton</w:t>
            </w:r>
          </w:p>
        </w:tc>
        <w:tc>
          <w:tcPr>
            <w:tcW w:w="0" w:type="auto"/>
          </w:tcPr>
          <w:p w:rsidR="0070763A" w:rsidRDefault="00CF1047" w:rsidP="00CF1047">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k</w:t>
            </w:r>
            <w:r w:rsidR="00BC6F21" w:rsidRPr="00106391">
              <w:rPr>
                <w:rFonts w:ascii="Arial" w:eastAsia="Calibri" w:hAnsi="Arial" w:cs="Arial"/>
                <w:color w:val="000000"/>
                <w:sz w:val="18"/>
                <w:szCs w:val="18"/>
              </w:rPr>
              <w:t>iloton</w:t>
            </w:r>
            <w:r>
              <w:rPr>
                <w:rFonts w:ascii="Arial" w:eastAsia="Calibri" w:hAnsi="Arial" w:cs="Arial"/>
                <w:color w:val="000000"/>
                <w:sz w:val="18"/>
                <w:szCs w:val="18"/>
              </w:rPr>
              <w: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kV</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kilovolt(s)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kW</w:t>
            </w:r>
          </w:p>
        </w:tc>
        <w:tc>
          <w:tcPr>
            <w:tcW w:w="0" w:type="auto"/>
          </w:tcPr>
          <w:p w:rsidR="0070763A" w:rsidRDefault="00CF1047" w:rsidP="00414E02">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k</w:t>
            </w:r>
            <w:r w:rsidR="006C5873" w:rsidRPr="00106391">
              <w:rPr>
                <w:rFonts w:ascii="Arial" w:eastAsia="Calibri" w:hAnsi="Arial" w:cs="Arial"/>
                <w:color w:val="000000"/>
                <w:sz w:val="18"/>
                <w:szCs w:val="18"/>
              </w:rPr>
              <w:t>ilowatt</w:t>
            </w:r>
            <w:r w:rsidR="004D023F">
              <w:rPr>
                <w:rFonts w:ascii="Arial" w:eastAsia="Calibri" w:hAnsi="Arial" w:cs="Arial"/>
                <w:color w:val="000000"/>
                <w:sz w:val="18"/>
                <w:szCs w:val="18"/>
              </w:rPr>
              <w: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kWh</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kilowatt-hour</w:t>
            </w:r>
            <w:r w:rsidR="004D023F">
              <w:rPr>
                <w:rFonts w:ascii="Arial" w:eastAsia="Calibri" w:hAnsi="Arial" w:cs="Arial"/>
                <w:color w:val="000000"/>
                <w:sz w:val="18"/>
                <w:szCs w:val="18"/>
              </w:rPr>
              <w:t>(s)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lb</w:t>
            </w:r>
          </w:p>
        </w:tc>
        <w:tc>
          <w:tcPr>
            <w:tcW w:w="0" w:type="auto"/>
          </w:tcPr>
          <w:p w:rsidR="0070763A" w:rsidRDefault="00CF1047" w:rsidP="00CF1047">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p</w:t>
            </w:r>
            <w:r w:rsidR="006C5873" w:rsidRPr="00106391">
              <w:rPr>
                <w:rFonts w:ascii="Arial" w:eastAsia="Calibri" w:hAnsi="Arial" w:cs="Arial"/>
                <w:color w:val="000000"/>
                <w:sz w:val="18"/>
                <w:szCs w:val="18"/>
              </w:rPr>
              <w:t>ound</w:t>
            </w:r>
            <w:r w:rsidR="004D023F">
              <w:rPr>
                <w:rFonts w:ascii="Arial" w:eastAsia="Calibri" w:hAnsi="Arial" w:cs="Arial"/>
                <w:color w:val="000000"/>
                <w:sz w:val="18"/>
                <w:szCs w:val="18"/>
              </w:rPr>
              <w: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LDC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local distribution company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LFG</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landfill gas</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LLC</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limited liability company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LMP</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locational marginal price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LNG</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liquefied natural gas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LOLE</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loss-of-load expectation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LOS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loss of source</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Lower SEMA; LSM</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Lower</w:t>
            </w:r>
            <w:r w:rsidR="00391A5A">
              <w:rPr>
                <w:rFonts w:ascii="Arial" w:eastAsia="Calibri" w:hAnsi="Arial" w:cs="Arial"/>
                <w:color w:val="000000"/>
                <w:sz w:val="18"/>
                <w:szCs w:val="18"/>
              </w:rPr>
              <w:t xml:space="preserve"> </w:t>
            </w:r>
            <w:r w:rsidRPr="00106391">
              <w:rPr>
                <w:rFonts w:ascii="Arial" w:eastAsia="Calibri" w:hAnsi="Arial" w:cs="Arial"/>
                <w:color w:val="000000"/>
                <w:sz w:val="18"/>
                <w:szCs w:val="18"/>
              </w:rPr>
              <w:t>southeastern Massachusetts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LRA</w:t>
            </w:r>
          </w:p>
        </w:tc>
        <w:tc>
          <w:tcPr>
            <w:tcW w:w="0" w:type="auto"/>
          </w:tcPr>
          <w:p w:rsidR="0070763A" w:rsidRDefault="00BB585F" w:rsidP="00BB585F">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l</w:t>
            </w:r>
            <w:r w:rsidR="006C5873" w:rsidRPr="00106391">
              <w:rPr>
                <w:rFonts w:ascii="Arial" w:eastAsia="Calibri" w:hAnsi="Arial" w:cs="Arial"/>
                <w:color w:val="000000"/>
                <w:sz w:val="18"/>
                <w:szCs w:val="18"/>
              </w:rPr>
              <w:t xml:space="preserve">ocal </w:t>
            </w:r>
            <w:r>
              <w:rPr>
                <w:rFonts w:ascii="Arial" w:eastAsia="Calibri" w:hAnsi="Arial" w:cs="Arial"/>
                <w:color w:val="000000"/>
                <w:sz w:val="18"/>
                <w:szCs w:val="18"/>
              </w:rPr>
              <w:t>r</w:t>
            </w:r>
            <w:r w:rsidR="006C5873" w:rsidRPr="00106391">
              <w:rPr>
                <w:rFonts w:ascii="Arial" w:eastAsia="Calibri" w:hAnsi="Arial" w:cs="Arial"/>
                <w:color w:val="000000"/>
                <w:sz w:val="18"/>
                <w:szCs w:val="18"/>
              </w:rPr>
              <w:t xml:space="preserve">esource </w:t>
            </w:r>
            <w:r>
              <w:rPr>
                <w:rFonts w:ascii="Arial" w:eastAsia="Calibri" w:hAnsi="Arial" w:cs="Arial"/>
                <w:color w:val="000000"/>
                <w:sz w:val="18"/>
                <w:szCs w:val="18"/>
              </w:rPr>
              <w:t>a</w:t>
            </w:r>
            <w:r w:rsidR="006C5873" w:rsidRPr="00106391">
              <w:rPr>
                <w:rFonts w:ascii="Arial" w:eastAsia="Calibri" w:hAnsi="Arial" w:cs="Arial"/>
                <w:color w:val="000000"/>
                <w:sz w:val="18"/>
                <w:szCs w:val="18"/>
              </w:rPr>
              <w:t>dequacy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LSE</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load-serving entity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LSR</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local sourcing requirement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M&amp;NE</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Maritimes and Northeast (Pipeline)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Massachusetts</w:t>
            </w:r>
          </w:p>
        </w:tc>
      </w:tr>
      <w:tr w:rsidR="00E43704" w:rsidRPr="00106391" w:rsidTr="00927451">
        <w:trPr>
          <w:cnfStyle w:val="000000100000"/>
          <w:jc w:val="left"/>
        </w:trPr>
        <w:tc>
          <w:tcPr>
            <w:cnfStyle w:val="001000000000"/>
            <w:tcW w:w="0" w:type="auto"/>
          </w:tcPr>
          <w:p w:rsidR="00E43704" w:rsidRPr="00106391" w:rsidRDefault="00E43704"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MAAC</w:t>
            </w:r>
          </w:p>
        </w:tc>
        <w:tc>
          <w:tcPr>
            <w:tcW w:w="0" w:type="auto"/>
          </w:tcPr>
          <w:p w:rsidR="0070763A" w:rsidRDefault="00E43704"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Mid-Atlantic Area Council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 DOER</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Massachusetts Department of Energy Resources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 DPU</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Massachusetts Department of Public Utilities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MAOP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maximum allowable operating pressure</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MARS</w:t>
            </w:r>
          </w:p>
        </w:tc>
        <w:tc>
          <w:tcPr>
            <w:tcW w:w="0" w:type="auto"/>
          </w:tcPr>
          <w:p w:rsidR="0070763A" w:rsidRDefault="00206FDB"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Minimum-Area Reliability Simulation Program (General Electric)</w:t>
            </w:r>
          </w:p>
        </w:tc>
      </w:tr>
      <w:tr w:rsidR="008D0D0F" w:rsidRPr="00106391" w:rsidTr="00927451">
        <w:trPr>
          <w:cnfStyle w:val="000000010000"/>
          <w:jc w:val="left"/>
        </w:trPr>
        <w:tc>
          <w:tcPr>
            <w:cnfStyle w:val="001000000000"/>
            <w:tcW w:w="0" w:type="auto"/>
          </w:tcPr>
          <w:p w:rsidR="008D0D0F" w:rsidRPr="00106391" w:rsidRDefault="008D0D0F" w:rsidP="00AD7502">
            <w:pPr>
              <w:spacing w:after="0"/>
              <w:rPr>
                <w:rFonts w:ascii="Arial" w:eastAsia="Calibri" w:hAnsi="Arial" w:cs="Arial"/>
                <w:color w:val="000000"/>
                <w:sz w:val="18"/>
                <w:szCs w:val="18"/>
              </w:rPr>
            </w:pPr>
            <w:r>
              <w:rPr>
                <w:rFonts w:ascii="Arial" w:eastAsia="Calibri" w:hAnsi="Arial" w:cs="Arial"/>
                <w:color w:val="000000"/>
                <w:sz w:val="18"/>
                <w:szCs w:val="18"/>
              </w:rPr>
              <w:t>max</w:t>
            </w:r>
          </w:p>
        </w:tc>
        <w:tc>
          <w:tcPr>
            <w:tcW w:w="0" w:type="auto"/>
          </w:tcPr>
          <w:p w:rsidR="008D0D0F" w:rsidRPr="00106391" w:rsidRDefault="008D0D0F"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maximum</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MCL</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maximum capacity limit</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MD</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Maryland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bCs w:val="0"/>
                <w:color w:val="000000"/>
                <w:sz w:val="18"/>
                <w:szCs w:val="18"/>
              </w:rPr>
              <w:t>ME</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1) State of Maine</w:t>
            </w:r>
          </w:p>
          <w:p w:rsidR="0070763A" w:rsidRDefault="006C5873" w:rsidP="00414E02">
            <w:pPr>
              <w:spacing w:after="0"/>
              <w:ind w:left="230" w:hanging="23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2) RSP subarea that includes western and central Maine and Saco Valley, New Hampshire</w:t>
            </w:r>
          </w:p>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3) Maine load zone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bCs w:val="0"/>
                <w:color w:val="000000"/>
                <w:sz w:val="18"/>
                <w:szCs w:val="18"/>
              </w:rPr>
            </w:pPr>
            <w:r w:rsidRPr="00106391">
              <w:rPr>
                <w:rFonts w:ascii="Arial" w:eastAsia="Calibri" w:hAnsi="Arial" w:cs="Arial"/>
                <w:bCs w:val="0"/>
                <w:color w:val="000000"/>
                <w:sz w:val="18"/>
                <w:szCs w:val="18"/>
              </w:rPr>
              <w:t>MEA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Marginal Emissions Analysis</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MEPCO</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Maine Electric Power Company, Inc.</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METU</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Market Efficiency Transmission Upgrade</w:t>
            </w:r>
          </w:p>
        </w:tc>
      </w:tr>
      <w:tr w:rsidR="006C5873" w:rsidRPr="00106391" w:rsidTr="00927451">
        <w:trPr>
          <w:cnfStyle w:val="000000100000"/>
          <w:jc w:val="left"/>
        </w:trPr>
        <w:tc>
          <w:tcPr>
            <w:cnfStyle w:val="001000000000"/>
            <w:tcW w:w="0" w:type="auto"/>
          </w:tcPr>
          <w:p w:rsidR="006C5873" w:rsidRPr="00106391" w:rsidRDefault="006C5873" w:rsidP="00C746A8">
            <w:pPr>
              <w:spacing w:after="0"/>
              <w:rPr>
                <w:rFonts w:ascii="Arial" w:eastAsia="Calibri" w:hAnsi="Arial" w:cs="Arial"/>
                <w:color w:val="000000"/>
                <w:sz w:val="18"/>
                <w:szCs w:val="18"/>
              </w:rPr>
            </w:pPr>
            <w:r w:rsidRPr="00106391">
              <w:rPr>
                <w:rFonts w:ascii="Arial" w:eastAsia="Calibri" w:hAnsi="Arial" w:cs="Arial"/>
                <w:color w:val="000000"/>
                <w:sz w:val="18"/>
                <w:szCs w:val="18"/>
              </w:rPr>
              <w:t>MISO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Midwest Independent System Operator</w:t>
            </w:r>
          </w:p>
        </w:tc>
      </w:tr>
      <w:tr w:rsidR="001729D4" w:rsidRPr="00106391" w:rsidTr="00927451">
        <w:trPr>
          <w:cnfStyle w:val="000000010000"/>
          <w:jc w:val="left"/>
        </w:trPr>
        <w:tc>
          <w:tcPr>
            <w:cnfStyle w:val="001000000000"/>
            <w:tcW w:w="0" w:type="auto"/>
          </w:tcPr>
          <w:p w:rsidR="001729D4" w:rsidRPr="00106391" w:rsidRDefault="001729D4" w:rsidP="00C746A8">
            <w:pPr>
              <w:spacing w:after="0"/>
              <w:rPr>
                <w:rFonts w:ascii="Arial" w:eastAsia="Calibri" w:hAnsi="Arial" w:cs="Arial"/>
                <w:color w:val="000000"/>
                <w:sz w:val="18"/>
                <w:szCs w:val="18"/>
              </w:rPr>
            </w:pPr>
            <w:r>
              <w:rPr>
                <w:rFonts w:ascii="Arial" w:eastAsia="Calibri" w:hAnsi="Arial" w:cs="Arial"/>
                <w:color w:val="000000"/>
                <w:sz w:val="18"/>
                <w:szCs w:val="18"/>
              </w:rPr>
              <w:t>mils</w:t>
            </w:r>
          </w:p>
        </w:tc>
        <w:tc>
          <w:tcPr>
            <w:tcW w:w="0" w:type="auto"/>
          </w:tcPr>
          <w:p w:rsidR="003F3D84" w:rsidRDefault="001729D4"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one thousandth of a dollar</w:t>
            </w:r>
          </w:p>
        </w:tc>
      </w:tr>
      <w:tr w:rsidR="006C5873" w:rsidRPr="00106391" w:rsidTr="00927451">
        <w:trPr>
          <w:cnfStyle w:val="000000100000"/>
          <w:jc w:val="left"/>
        </w:trPr>
        <w:tc>
          <w:tcPr>
            <w:cnfStyle w:val="001000000000"/>
            <w:tcW w:w="0" w:type="auto"/>
          </w:tcPr>
          <w:p w:rsidR="006C5873" w:rsidRPr="00106391" w:rsidRDefault="006C5873" w:rsidP="00C746A8">
            <w:pPr>
              <w:spacing w:after="0"/>
              <w:rPr>
                <w:rFonts w:ascii="Arial" w:eastAsia="Calibri" w:hAnsi="Arial" w:cs="Arial"/>
                <w:color w:val="000000"/>
                <w:sz w:val="18"/>
                <w:szCs w:val="18"/>
              </w:rPr>
            </w:pPr>
            <w:r w:rsidRPr="00106391">
              <w:rPr>
                <w:rFonts w:ascii="Arial" w:eastAsia="Calibri" w:hAnsi="Arial" w:cs="Arial"/>
                <w:color w:val="000000"/>
                <w:sz w:val="18"/>
                <w:szCs w:val="18"/>
              </w:rPr>
              <w:t>M/LCC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Master/Local Control Center</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M/LCC2</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 xml:space="preserve">Master/Local Control Center Procedure No. 2, </w:t>
            </w:r>
            <w:r w:rsidRPr="00106391">
              <w:rPr>
                <w:rFonts w:ascii="Arial" w:eastAsia="Calibri" w:hAnsi="Arial" w:cs="Arial"/>
                <w:i/>
                <w:color w:val="000000"/>
                <w:sz w:val="18"/>
                <w:szCs w:val="18"/>
              </w:rPr>
              <w:t>Abnormal Conditions Alert</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MMBtu</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million British thermal unit</w:t>
            </w:r>
            <w:r w:rsidR="00CF1047">
              <w:rPr>
                <w:rFonts w:ascii="Arial" w:eastAsia="Calibri" w:hAnsi="Arial" w:cs="Arial"/>
                <w:color w:val="000000"/>
                <w:sz w:val="18"/>
                <w:szCs w:val="18"/>
              </w:rPr>
              <w:t>(</w:t>
            </w:r>
            <w:r w:rsidRPr="00106391">
              <w:rPr>
                <w:rFonts w:ascii="Arial" w:eastAsia="Calibri" w:hAnsi="Arial" w:cs="Arial"/>
                <w:color w:val="000000"/>
                <w:sz w:val="18"/>
                <w:szCs w:val="18"/>
              </w:rPr>
              <w:t>s</w:t>
            </w:r>
            <w:r w:rsidR="00CF1047">
              <w:rPr>
                <w:rFonts w:ascii="Arial" w:eastAsia="Calibri" w:hAnsi="Arial" w:cs="Arial"/>
                <w:color w:val="000000"/>
                <w:sz w:val="18"/>
                <w:szCs w:val="18"/>
              </w:rPr>
              <w: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mo.</w:t>
            </w:r>
          </w:p>
        </w:tc>
        <w:tc>
          <w:tcPr>
            <w:tcW w:w="0" w:type="auto"/>
          </w:tcPr>
          <w:p w:rsidR="0070763A" w:rsidRDefault="00CF1047"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m</w:t>
            </w:r>
            <w:r w:rsidR="006C5873" w:rsidRPr="00106391">
              <w:rPr>
                <w:rFonts w:ascii="Arial" w:eastAsia="Calibri" w:hAnsi="Arial" w:cs="Arial"/>
                <w:color w:val="000000"/>
                <w:sz w:val="18"/>
                <w:szCs w:val="18"/>
              </w:rPr>
              <w:t>onth</w:t>
            </w:r>
            <w:r>
              <w:rPr>
                <w:rFonts w:ascii="Arial" w:eastAsia="Calibri" w:hAnsi="Arial" w:cs="Arial"/>
                <w:color w:val="000000"/>
                <w:sz w:val="18"/>
                <w:szCs w:val="18"/>
              </w:rPr>
              <w:t>(es)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MOU</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Memorandum of Understanding</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MPRP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Maine Power Reliability Program</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MPS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Maine Public Service</w:t>
            </w:r>
          </w:p>
        </w:tc>
      </w:tr>
      <w:tr w:rsidR="00836BB1" w:rsidRPr="00106391" w:rsidTr="00927451">
        <w:trPr>
          <w:cnfStyle w:val="000000010000"/>
          <w:jc w:val="left"/>
        </w:trPr>
        <w:tc>
          <w:tcPr>
            <w:cnfStyle w:val="001000000000"/>
            <w:tcW w:w="0" w:type="auto"/>
          </w:tcPr>
          <w:p w:rsidR="00836BB1" w:rsidRPr="00106391" w:rsidRDefault="00836BB1" w:rsidP="006C5873">
            <w:pPr>
              <w:spacing w:after="0"/>
              <w:rPr>
                <w:rFonts w:ascii="Arial" w:eastAsia="Calibri" w:hAnsi="Arial" w:cs="Arial"/>
                <w:color w:val="000000"/>
                <w:sz w:val="18"/>
                <w:szCs w:val="18"/>
              </w:rPr>
            </w:pPr>
            <w:r w:rsidRPr="00106391">
              <w:rPr>
                <w:rFonts w:ascii="Arial" w:eastAsia="Calibri" w:hAnsi="Arial" w:cs="Arial"/>
                <w:color w:val="000000"/>
                <w:sz w:val="18"/>
                <w:szCs w:val="18"/>
              </w:rPr>
              <w:t>MPUC</w:t>
            </w:r>
          </w:p>
        </w:tc>
        <w:tc>
          <w:tcPr>
            <w:tcW w:w="0" w:type="auto"/>
          </w:tcPr>
          <w:p w:rsidR="0070763A" w:rsidRDefault="00836BB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Maine Public Utilities Commission</w:t>
            </w:r>
          </w:p>
        </w:tc>
      </w:tr>
      <w:tr w:rsidR="006C5873" w:rsidRPr="00106391" w:rsidTr="00927451">
        <w:trPr>
          <w:cnfStyle w:val="000000100000"/>
          <w:jc w:val="left"/>
        </w:trPr>
        <w:tc>
          <w:tcPr>
            <w:cnfStyle w:val="001000000000"/>
            <w:tcW w:w="0" w:type="auto"/>
          </w:tcPr>
          <w:p w:rsidR="006C5873" w:rsidRPr="00106391" w:rsidRDefault="00BC7F25" w:rsidP="006C5873">
            <w:pPr>
              <w:spacing w:after="0"/>
              <w:rPr>
                <w:rFonts w:ascii="Arial" w:eastAsia="Calibri" w:hAnsi="Arial" w:cs="Arial"/>
                <w:color w:val="000000"/>
                <w:sz w:val="18"/>
                <w:szCs w:val="18"/>
              </w:rPr>
            </w:pPr>
            <w:r w:rsidRPr="00106391">
              <w:rPr>
                <w:rFonts w:ascii="Arial" w:eastAsia="Calibri" w:hAnsi="Arial" w:cs="Arial"/>
                <w:color w:val="000000"/>
                <w:sz w:val="18"/>
                <w:szCs w:val="18"/>
              </w:rPr>
              <w:t>MSW</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municipal solid waste</w:t>
            </w:r>
          </w:p>
        </w:tc>
      </w:tr>
      <w:tr w:rsidR="006C5873" w:rsidRPr="00106391" w:rsidTr="00927451">
        <w:trPr>
          <w:cnfStyle w:val="000000010000"/>
          <w:jc w:val="left"/>
        </w:trPr>
        <w:tc>
          <w:tcPr>
            <w:cnfStyle w:val="001000000000"/>
            <w:tcW w:w="0" w:type="auto"/>
          </w:tcPr>
          <w:p w:rsidR="006C5873" w:rsidRPr="00106391" w:rsidRDefault="00BC7F25" w:rsidP="006C5873">
            <w:pPr>
              <w:spacing w:after="0"/>
              <w:rPr>
                <w:rFonts w:ascii="Arial" w:eastAsia="Calibri" w:hAnsi="Arial" w:cs="Arial"/>
                <w:color w:val="000000"/>
                <w:sz w:val="18"/>
                <w:szCs w:val="18"/>
              </w:rPr>
            </w:pPr>
            <w:r w:rsidRPr="00106391">
              <w:rPr>
                <w:rFonts w:ascii="Arial" w:eastAsia="Calibri" w:hAnsi="Arial" w:cs="Arial"/>
                <w:color w:val="000000"/>
                <w:sz w:val="18"/>
                <w:szCs w:val="18"/>
              </w:rPr>
              <w:t>mton</w:t>
            </w:r>
          </w:p>
        </w:tc>
        <w:tc>
          <w:tcPr>
            <w:tcW w:w="0" w:type="auto"/>
          </w:tcPr>
          <w:p w:rsidR="0070763A" w:rsidRDefault="00BC7F25"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million ton</w:t>
            </w:r>
            <w:r w:rsidR="00CF1047">
              <w:rPr>
                <w:rFonts w:ascii="Arial" w:eastAsia="Calibri" w:hAnsi="Arial" w:cs="Arial"/>
                <w:color w:val="000000"/>
                <w:sz w:val="18"/>
                <w:szCs w:val="18"/>
              </w:rPr>
              <w:t>(</w:t>
            </w:r>
            <w:r w:rsidRPr="00106391">
              <w:rPr>
                <w:rFonts w:ascii="Arial" w:eastAsia="Calibri" w:hAnsi="Arial" w:cs="Arial"/>
                <w:color w:val="000000"/>
                <w:sz w:val="18"/>
                <w:szCs w:val="18"/>
              </w:rPr>
              <w:t>s</w:t>
            </w:r>
            <w:r w:rsidR="00CF1047">
              <w:rPr>
                <w:rFonts w:ascii="Arial" w:eastAsia="Calibri" w:hAnsi="Arial" w:cs="Arial"/>
                <w:color w:val="000000"/>
                <w:sz w:val="18"/>
                <w:szCs w:val="18"/>
              </w:rPr>
              <w:t>)</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MVAR</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megavolt-ampere</w:t>
            </w:r>
            <w:r w:rsidR="00CF1047">
              <w:rPr>
                <w:rFonts w:ascii="Arial" w:eastAsia="Calibri" w:hAnsi="Arial" w:cs="Arial"/>
                <w:color w:val="000000"/>
                <w:sz w:val="18"/>
                <w:szCs w:val="18"/>
              </w:rPr>
              <w:t>(s)</w:t>
            </w:r>
            <w:r w:rsidRPr="00106391">
              <w:rPr>
                <w:rFonts w:ascii="Arial" w:eastAsia="Calibri" w:hAnsi="Arial" w:cs="Arial"/>
                <w:color w:val="000000"/>
                <w:sz w:val="18"/>
                <w:szCs w:val="18"/>
              </w:rPr>
              <w:t xml:space="preserve"> reactive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MW</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megawatt(s)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MWh</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megawatt-hour(s)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N-1</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first-contingency loss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N-1-1</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second-contingency loss</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na</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not applicable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NAAQS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National Ambient Air Quality Standard</w:t>
            </w:r>
            <w:r w:rsidR="00BC6F21" w:rsidRPr="00106391">
              <w:rPr>
                <w:rFonts w:ascii="Arial" w:eastAsia="Calibri" w:hAnsi="Arial" w:cs="Arial"/>
                <w:color w:val="000000"/>
                <w:sz w:val="18"/>
                <w:szCs w:val="18"/>
              </w:rPr>
              <w:t>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highlight w:val="yellow"/>
              </w:rPr>
            </w:pPr>
            <w:r w:rsidRPr="00106391">
              <w:rPr>
                <w:rFonts w:ascii="Arial" w:eastAsia="Calibri" w:hAnsi="Arial" w:cs="Arial"/>
                <w:color w:val="000000"/>
                <w:sz w:val="18"/>
                <w:szCs w:val="18"/>
              </w:rPr>
              <w:t>NAESB</w:t>
            </w:r>
          </w:p>
        </w:tc>
        <w:tc>
          <w:tcPr>
            <w:tcW w:w="0" w:type="auto"/>
          </w:tcPr>
          <w:p w:rsidR="0070763A" w:rsidRDefault="006C5873" w:rsidP="00414E02">
            <w:pPr>
              <w:spacing w:after="0"/>
              <w:jc w:val="left"/>
              <w:cnfStyle w:val="000000010000"/>
              <w:rPr>
                <w:rFonts w:ascii="Arial" w:eastAsia="Calibri" w:hAnsi="Arial" w:cs="Arial"/>
                <w:color w:val="000000"/>
                <w:sz w:val="18"/>
                <w:szCs w:val="18"/>
                <w:highlight w:val="yellow"/>
              </w:rPr>
            </w:pPr>
            <w:r w:rsidRPr="00106391">
              <w:rPr>
                <w:rFonts w:ascii="Arial" w:eastAsia="Calibri" w:hAnsi="Arial" w:cs="Arial"/>
                <w:color w:val="000000"/>
                <w:sz w:val="18"/>
                <w:szCs w:val="18"/>
              </w:rPr>
              <w:t>North American Energy Standards Board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NB</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Brunswick</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n.d.</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no date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NBSO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Brunswick System Operator</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NCPC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Net Commitment-Period Compensation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NECPUC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England Conference of Public Utilities Commissioners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NEEWS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England East–West Solution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NEGC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England Governors' Conference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NEG/ECP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England Governors/Eastern Canadian Premiers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NEITC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England Independent Transmission Company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NEL</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net energy for load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NEMA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1) RSP subarea for Northeast Massachusetts</w:t>
            </w:r>
          </w:p>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2) Northeast Massachusetts load zone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NEMA/Boston</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Combined load zone that includes Northeast Massachusetts and the Boston area</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NEPGA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England Power Generators Association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NEPOOL</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England Power Pool</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NERC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North American Electric Reliability Corporation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NESCOE</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England States Committee on Electricity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NEWIS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England Wind Integration Study</w:t>
            </w:r>
          </w:p>
        </w:tc>
      </w:tr>
      <w:tr w:rsidR="006C5873" w:rsidRPr="00106391" w:rsidTr="00927451">
        <w:trPr>
          <w:cnfStyle w:val="00000001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NG</w:t>
            </w:r>
          </w:p>
        </w:tc>
        <w:tc>
          <w:tcPr>
            <w:tcW w:w="0" w:type="auto"/>
          </w:tcPr>
          <w:p w:rsidR="0070763A" w:rsidRDefault="00206FDB"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natural gas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NGA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Northeast Gas Association</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NGCC</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natural gas combined cycle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NGRID</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National Grid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NH</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1) State of New Hampshire</w:t>
            </w:r>
          </w:p>
          <w:p w:rsidR="0070763A" w:rsidRDefault="006C5873" w:rsidP="00414E02">
            <w:pPr>
              <w:spacing w:after="0"/>
              <w:ind w:left="230" w:hanging="23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2) RSP subarea comprising northern, eastern, and central New Hampshire; eastern Vermont; and southwestern Maine</w:t>
            </w:r>
          </w:p>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3) New Hampshire load zone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NIETC</w:t>
            </w:r>
          </w:p>
        </w:tc>
        <w:tc>
          <w:tcPr>
            <w:tcW w:w="0" w:type="auto"/>
          </w:tcPr>
          <w:p w:rsidR="0070763A" w:rsidRDefault="006C5873" w:rsidP="00414E02">
            <w:pPr>
              <w:spacing w:after="0"/>
              <w:jc w:val="left"/>
              <w:cnfStyle w:val="000000100000"/>
              <w:rPr>
                <w:rFonts w:ascii="Arial" w:eastAsia="Calibri" w:hAnsi="Arial" w:cs="Arial"/>
                <w:bCs/>
                <w:color w:val="000000"/>
                <w:sz w:val="18"/>
                <w:szCs w:val="18"/>
              </w:rPr>
            </w:pPr>
            <w:r w:rsidRPr="00106391">
              <w:rPr>
                <w:rFonts w:ascii="Arial" w:eastAsia="Calibri" w:hAnsi="Arial" w:cs="Arial"/>
                <w:bCs/>
                <w:color w:val="000000"/>
                <w:sz w:val="18"/>
                <w:szCs w:val="18"/>
              </w:rPr>
              <w:t>National Interest Electric Transmission Corridors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NIST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National Institute of Standards and Technology</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NJ</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Jersey</w:t>
            </w:r>
          </w:p>
        </w:tc>
      </w:tr>
      <w:tr w:rsidR="005900C3" w:rsidRPr="00106391" w:rsidTr="00927451">
        <w:trPr>
          <w:cnfStyle w:val="000000010000"/>
          <w:jc w:val="left"/>
        </w:trPr>
        <w:tc>
          <w:tcPr>
            <w:cnfStyle w:val="001000000000"/>
            <w:tcW w:w="0" w:type="auto"/>
          </w:tcPr>
          <w:p w:rsidR="005900C3" w:rsidRPr="00106391" w:rsidRDefault="005900C3" w:rsidP="00AD7502">
            <w:pPr>
              <w:spacing w:after="0"/>
              <w:rPr>
                <w:rFonts w:ascii="Arial" w:eastAsia="Calibri" w:hAnsi="Arial" w:cs="Arial"/>
                <w:color w:val="000000"/>
                <w:sz w:val="18"/>
                <w:szCs w:val="18"/>
              </w:rPr>
            </w:pPr>
            <w:r>
              <w:rPr>
                <w:rFonts w:ascii="Arial" w:eastAsia="Calibri" w:hAnsi="Arial" w:cs="Arial"/>
                <w:color w:val="000000"/>
                <w:sz w:val="18"/>
                <w:szCs w:val="18"/>
              </w:rPr>
              <w:t>NMISA</w:t>
            </w:r>
          </w:p>
        </w:tc>
        <w:tc>
          <w:tcPr>
            <w:tcW w:w="0" w:type="auto"/>
          </w:tcPr>
          <w:p w:rsidR="005900C3" w:rsidRPr="00106391" w:rsidRDefault="005900C3" w:rsidP="005900C3">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Northern Maine Independent System Administrator, Inc.</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NNC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Norwalk Harbor–Northport Cable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NNE</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northern New England</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bCs w:val="0"/>
                <w:color w:val="000000"/>
                <w:sz w:val="18"/>
                <w:szCs w:val="18"/>
              </w:rPr>
              <w:t>No.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number</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bCs w:val="0"/>
                <w:color w:val="000000"/>
                <w:sz w:val="18"/>
                <w:szCs w:val="18"/>
              </w:rPr>
            </w:pPr>
            <w:r w:rsidRPr="00106391">
              <w:rPr>
                <w:rFonts w:ascii="Arial" w:eastAsia="Calibri" w:hAnsi="Arial" w:cs="Arial"/>
                <w:bCs w:val="0"/>
                <w:color w:val="000000"/>
                <w:sz w:val="18"/>
                <w:szCs w:val="18"/>
              </w:rPr>
              <w:t>NOR</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subarea that includes Norwalk and Stamford, Connecticut</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NO</w:t>
            </w:r>
            <w:r w:rsidRPr="00106391">
              <w:rPr>
                <w:rFonts w:ascii="Arial" w:eastAsia="Calibri" w:hAnsi="Arial" w:cs="Arial"/>
                <w:color w:val="000000"/>
                <w:sz w:val="18"/>
                <w:szCs w:val="18"/>
                <w:vertAlign w:val="subscript"/>
              </w:rPr>
              <w:t>2</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nitrogen dioxide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NO</w:t>
            </w:r>
            <w:r w:rsidRPr="00106391">
              <w:rPr>
                <w:rFonts w:ascii="Arial" w:eastAsia="Calibri" w:hAnsi="Arial" w:cs="Arial"/>
                <w:color w:val="000000"/>
                <w:sz w:val="18"/>
                <w:szCs w:val="18"/>
                <w:vertAlign w:val="subscript"/>
              </w:rPr>
              <w:t>X</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nitrogen oxide(s)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NPCC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Northeast Power Coordinating Council, Inc.</w:t>
            </w:r>
          </w:p>
        </w:tc>
      </w:tr>
      <w:tr w:rsidR="00C05CD8" w:rsidRPr="00106391" w:rsidTr="00927451">
        <w:trPr>
          <w:cnfStyle w:val="000000010000"/>
          <w:jc w:val="left"/>
        </w:trPr>
        <w:tc>
          <w:tcPr>
            <w:cnfStyle w:val="001000000000"/>
            <w:tcW w:w="0" w:type="auto"/>
          </w:tcPr>
          <w:p w:rsidR="00C05CD8" w:rsidRPr="00106391" w:rsidRDefault="00C05CD8" w:rsidP="00AD7502">
            <w:pPr>
              <w:spacing w:after="0"/>
              <w:rPr>
                <w:rFonts w:ascii="Arial" w:eastAsia="Calibri" w:hAnsi="Arial" w:cs="Arial"/>
                <w:snapToGrid w:val="0"/>
                <w:color w:val="000000"/>
                <w:sz w:val="18"/>
                <w:szCs w:val="18"/>
              </w:rPr>
            </w:pPr>
            <w:r>
              <w:rPr>
                <w:rFonts w:ascii="Arial" w:eastAsia="Calibri" w:hAnsi="Arial" w:cs="Arial"/>
                <w:snapToGrid w:val="0"/>
                <w:color w:val="000000"/>
                <w:sz w:val="18"/>
                <w:szCs w:val="18"/>
              </w:rPr>
              <w:t>NREL</w:t>
            </w:r>
          </w:p>
        </w:tc>
        <w:tc>
          <w:tcPr>
            <w:tcW w:w="0" w:type="auto"/>
          </w:tcPr>
          <w:p w:rsidR="00E27C5C" w:rsidRDefault="00C05CD8" w:rsidP="00414E02">
            <w:pPr>
              <w:spacing w:after="0"/>
              <w:jc w:val="left"/>
              <w:cnfStyle w:val="000000010000"/>
              <w:rPr>
                <w:rFonts w:ascii="Arial" w:eastAsia="Calibri" w:hAnsi="Arial" w:cs="Arial"/>
                <w:snapToGrid w:val="0"/>
                <w:color w:val="000000"/>
                <w:sz w:val="18"/>
                <w:szCs w:val="18"/>
              </w:rPr>
            </w:pPr>
            <w:r>
              <w:rPr>
                <w:rFonts w:ascii="Arial" w:eastAsia="Calibri" w:hAnsi="Arial" w:cs="Arial"/>
                <w:snapToGrid w:val="0"/>
                <w:color w:val="000000"/>
                <w:sz w:val="18"/>
                <w:szCs w:val="18"/>
              </w:rPr>
              <w:t>National Renewable Energy Laboratory (U.S. DOE)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snapToGrid w:val="0"/>
                <w:color w:val="000000"/>
                <w:sz w:val="18"/>
                <w:szCs w:val="18"/>
              </w:rPr>
              <w:t>NRI</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snapToGrid w:val="0"/>
                <w:color w:val="000000"/>
                <w:sz w:val="18"/>
                <w:szCs w:val="18"/>
              </w:rPr>
              <w:t>Northeast Reliability Interconnection</w:t>
            </w:r>
          </w:p>
        </w:tc>
      </w:tr>
      <w:tr w:rsidR="00927451" w:rsidRPr="00106391" w:rsidTr="00927451">
        <w:trPr>
          <w:cnfStyle w:val="000000010000"/>
          <w:jc w:val="left"/>
        </w:trPr>
        <w:tc>
          <w:tcPr>
            <w:cnfStyle w:val="001000000000"/>
            <w:tcW w:w="0" w:type="auto"/>
          </w:tcPr>
          <w:p w:rsidR="00927451" w:rsidRPr="00106391" w:rsidRDefault="00927451" w:rsidP="00AD7502">
            <w:pPr>
              <w:spacing w:after="0"/>
              <w:rPr>
                <w:rFonts w:ascii="Arial" w:eastAsia="Calibri" w:hAnsi="Arial" w:cs="Arial"/>
                <w:color w:val="000000"/>
                <w:sz w:val="18"/>
                <w:szCs w:val="18"/>
              </w:rPr>
            </w:pPr>
            <w:r>
              <w:rPr>
                <w:rFonts w:ascii="Arial" w:eastAsia="Calibri" w:hAnsi="Arial" w:cs="Arial"/>
                <w:color w:val="000000"/>
                <w:sz w:val="18"/>
                <w:szCs w:val="18"/>
              </w:rPr>
              <w:t>NTA</w:t>
            </w:r>
          </w:p>
        </w:tc>
        <w:tc>
          <w:tcPr>
            <w:tcW w:w="0" w:type="auto"/>
          </w:tcPr>
          <w:p w:rsidR="0070763A" w:rsidRDefault="00927451"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nontransmission alternative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Nuc</w:t>
            </w:r>
          </w:p>
        </w:tc>
        <w:tc>
          <w:tcPr>
            <w:tcW w:w="0" w:type="auto"/>
          </w:tcPr>
          <w:p w:rsidR="0070763A" w:rsidRDefault="00206FDB"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nuclear</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NWVT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Northwest Vermont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NY</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York Balancing Authority Area</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NYISO</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York Independent System Operator</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NYPA</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New York Power Authority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NYSERDA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New York State Energy Research Development Authority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w:t>
            </w:r>
            <w:r w:rsidRPr="00106391">
              <w:rPr>
                <w:rFonts w:ascii="Arial" w:eastAsia="Calibri" w:hAnsi="Arial" w:cs="Arial"/>
                <w:color w:val="000000"/>
                <w:sz w:val="18"/>
                <w:szCs w:val="18"/>
                <w:vertAlign w:val="subscript"/>
              </w:rPr>
              <w:t>3</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ozone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OATT</w:t>
            </w:r>
          </w:p>
        </w:tc>
        <w:tc>
          <w:tcPr>
            <w:tcW w:w="0" w:type="auto"/>
          </w:tcPr>
          <w:p w:rsidR="0070763A" w:rsidRPr="002607A1" w:rsidRDefault="006C5873" w:rsidP="00414E02">
            <w:pPr>
              <w:spacing w:after="0"/>
              <w:jc w:val="left"/>
              <w:cnfStyle w:val="000000010000"/>
              <w:rPr>
                <w:rFonts w:ascii="Arial" w:eastAsia="Calibri" w:hAnsi="Arial" w:cs="Arial"/>
                <w:i/>
                <w:color w:val="000000"/>
                <w:sz w:val="18"/>
                <w:szCs w:val="18"/>
              </w:rPr>
            </w:pPr>
            <w:r w:rsidRPr="002607A1">
              <w:rPr>
                <w:rFonts w:ascii="Arial" w:eastAsia="Calibri" w:hAnsi="Arial" w:cs="Arial"/>
                <w:i/>
                <w:color w:val="000000"/>
                <w:sz w:val="18"/>
                <w:szCs w:val="18"/>
              </w:rPr>
              <w:t>Open Access Transmission Tariff</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OP 4</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 xml:space="preserve">ISO Operating Procedure No. 4, </w:t>
            </w:r>
            <w:r w:rsidRPr="00106391">
              <w:rPr>
                <w:rFonts w:ascii="Arial" w:eastAsia="Calibri" w:hAnsi="Arial" w:cs="Arial"/>
                <w:i/>
                <w:iCs/>
                <w:color w:val="000000"/>
                <w:sz w:val="18"/>
                <w:szCs w:val="18"/>
              </w:rPr>
              <w:t>Action during a Capacity Deficiency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OP 7</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 xml:space="preserve">ISO Operating Procedure No. 7, </w:t>
            </w:r>
            <w:r w:rsidRPr="00106391">
              <w:rPr>
                <w:rFonts w:ascii="Arial" w:eastAsia="Calibri" w:hAnsi="Arial" w:cs="Arial"/>
                <w:i/>
                <w:iCs/>
                <w:color w:val="000000"/>
                <w:sz w:val="18"/>
                <w:szCs w:val="18"/>
              </w:rPr>
              <w:t>Action in an Emergency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OP 8</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 xml:space="preserve">ISO Operating Procedure No. 8, </w:t>
            </w:r>
            <w:r w:rsidRPr="00106391">
              <w:rPr>
                <w:rFonts w:ascii="Arial" w:eastAsia="Calibri" w:hAnsi="Arial" w:cs="Arial"/>
                <w:i/>
                <w:iCs/>
                <w:color w:val="000000"/>
                <w:sz w:val="18"/>
                <w:szCs w:val="18"/>
              </w:rPr>
              <w:t>Operating Reserve and Regulation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OP 19</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 xml:space="preserve">ISO Operating Procedure No. 19, </w:t>
            </w:r>
            <w:r w:rsidRPr="00106391">
              <w:rPr>
                <w:rFonts w:ascii="Arial" w:eastAsia="Calibri" w:hAnsi="Arial" w:cs="Arial"/>
                <w:i/>
                <w:iCs/>
                <w:color w:val="000000"/>
                <w:sz w:val="18"/>
                <w:szCs w:val="18"/>
              </w:rPr>
              <w:t>Transmission Operations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iCs/>
                <w:color w:val="000000"/>
                <w:sz w:val="18"/>
                <w:szCs w:val="18"/>
              </w:rPr>
              <w:t>OP 21</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 xml:space="preserve">ISO Operating Procedure No. 21, </w:t>
            </w:r>
            <w:r w:rsidRPr="00106391">
              <w:rPr>
                <w:rFonts w:ascii="Arial" w:eastAsia="Calibri" w:hAnsi="Arial" w:cs="Arial"/>
                <w:i/>
                <w:iCs/>
                <w:color w:val="000000"/>
                <w:sz w:val="18"/>
                <w:szCs w:val="18"/>
              </w:rPr>
              <w:t>Action during an Energy Emergency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 xml:space="preserve">OPA </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Ontario Power Authority</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OTC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Ozone Transport Commission</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 xml:space="preserve">PA </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Pennsylvania</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PAC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Planning Advisory Committee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PDC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phasor data concentrator</w:t>
            </w:r>
          </w:p>
        </w:tc>
      </w:tr>
      <w:tr w:rsidR="006A7038" w:rsidRPr="00106391" w:rsidTr="00927451">
        <w:trPr>
          <w:cnfStyle w:val="000000100000"/>
          <w:jc w:val="left"/>
        </w:trPr>
        <w:tc>
          <w:tcPr>
            <w:cnfStyle w:val="001000000000"/>
            <w:tcW w:w="0" w:type="auto"/>
          </w:tcPr>
          <w:p w:rsidR="006A7038"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PDR</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passive demand resource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PER</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peak energy rent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PEV</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plug-in electric vehicle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PJM</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snapToGrid w:val="0"/>
                <w:color w:val="000000"/>
                <w:sz w:val="18"/>
                <w:szCs w:val="18"/>
              </w:rPr>
              <w:t>PJM Interconnection LLC, the RTO for all or parts of Delaware, Illinois, Indiana, Kentucky, Maryland, Michigan, New Jersey, North Carolina, Ohio, Pennsylvania, Tennessee, Virginia, and the District of Columbia</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PM</w:t>
            </w:r>
            <w:r w:rsidRPr="00106391">
              <w:rPr>
                <w:rFonts w:ascii="Arial" w:eastAsia="Calibri" w:hAnsi="Arial" w:cs="Arial"/>
                <w:color w:val="000000"/>
                <w:sz w:val="18"/>
                <w:szCs w:val="18"/>
                <w:vertAlign w:val="subscript"/>
              </w:rPr>
              <w:t>2.5</w:t>
            </w:r>
          </w:p>
        </w:tc>
        <w:tc>
          <w:tcPr>
            <w:tcW w:w="0" w:type="auto"/>
          </w:tcPr>
          <w:p w:rsidR="0070763A" w:rsidRDefault="00BC6F21" w:rsidP="00414E02">
            <w:pPr>
              <w:spacing w:after="0"/>
              <w:jc w:val="left"/>
              <w:cnfStyle w:val="000000100000"/>
              <w:rPr>
                <w:rFonts w:ascii="Arial" w:eastAsia="Calibri" w:hAnsi="Arial" w:cs="Arial"/>
                <w:snapToGrid w:val="0"/>
                <w:color w:val="000000"/>
                <w:sz w:val="18"/>
                <w:szCs w:val="18"/>
              </w:rPr>
            </w:pPr>
            <w:r w:rsidRPr="00106391">
              <w:rPr>
                <w:rFonts w:ascii="Arial" w:eastAsia="Calibri" w:hAnsi="Arial" w:cs="Arial"/>
                <w:snapToGrid w:val="0"/>
                <w:color w:val="000000"/>
                <w:sz w:val="18"/>
                <w:szCs w:val="18"/>
              </w:rPr>
              <w:t>fine particulates</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PMU</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snapToGrid w:val="0"/>
                <w:color w:val="000000"/>
                <w:sz w:val="18"/>
                <w:szCs w:val="18"/>
              </w:rPr>
              <w:t>phasor measurement unit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pnode</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pricing node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PNGTS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Portland Natural Gas Transmission System</w:t>
            </w:r>
          </w:p>
        </w:tc>
      </w:tr>
      <w:tr w:rsidR="00E955A8" w:rsidRPr="00106391" w:rsidTr="00927451">
        <w:trPr>
          <w:cnfStyle w:val="000000100000"/>
          <w:jc w:val="left"/>
        </w:trPr>
        <w:tc>
          <w:tcPr>
            <w:cnfStyle w:val="001000000000"/>
            <w:tcW w:w="0" w:type="auto"/>
          </w:tcPr>
          <w:p w:rsidR="00AD6DCF" w:rsidRDefault="00E955A8">
            <w:pPr>
              <w:spacing w:after="0"/>
              <w:rPr>
                <w:rFonts w:ascii="Arial" w:eastAsia="Calibri" w:hAnsi="Arial" w:cs="Arial"/>
                <w:color w:val="000000"/>
                <w:sz w:val="18"/>
                <w:szCs w:val="18"/>
              </w:rPr>
            </w:pPr>
            <w:r>
              <w:rPr>
                <w:rFonts w:ascii="Arial" w:eastAsia="Calibri" w:hAnsi="Arial" w:cs="Arial"/>
                <w:color w:val="000000"/>
                <w:sz w:val="18"/>
                <w:szCs w:val="18"/>
              </w:rPr>
              <w:t>PP 3</w:t>
            </w:r>
          </w:p>
        </w:tc>
        <w:tc>
          <w:tcPr>
            <w:tcW w:w="0" w:type="auto"/>
          </w:tcPr>
          <w:p w:rsidR="00AD6DCF" w:rsidRDefault="00D4331C" w:rsidP="00414E02">
            <w:pPr>
              <w:spacing w:after="0"/>
              <w:jc w:val="left"/>
              <w:cnfStyle w:val="000000100000"/>
              <w:rPr>
                <w:rFonts w:ascii="Arial" w:eastAsia="Calibri" w:hAnsi="Arial" w:cs="Arial"/>
                <w:i/>
                <w:color w:val="000000"/>
                <w:sz w:val="18"/>
                <w:szCs w:val="18"/>
              </w:rPr>
            </w:pPr>
            <w:r w:rsidRPr="00D4331C">
              <w:rPr>
                <w:rFonts w:ascii="Arial" w:eastAsia="Calibri" w:hAnsi="Arial" w:cs="Arial"/>
                <w:color w:val="000000"/>
                <w:sz w:val="18"/>
                <w:szCs w:val="18"/>
              </w:rPr>
              <w:t xml:space="preserve">ISO Planning ISO Planning Procedure No. 3, </w:t>
            </w:r>
            <w:r w:rsidR="00E955A8" w:rsidRPr="00E955A8">
              <w:rPr>
                <w:rFonts w:ascii="Arial" w:eastAsia="Calibri" w:hAnsi="Arial" w:cs="Arial"/>
                <w:i/>
                <w:color w:val="000000"/>
                <w:sz w:val="18"/>
                <w:szCs w:val="18"/>
              </w:rPr>
              <w:t>Reliability Standards for the</w:t>
            </w:r>
          </w:p>
          <w:p w:rsidR="00AD6DCF" w:rsidRDefault="00E955A8" w:rsidP="00414E02">
            <w:pPr>
              <w:spacing w:after="0"/>
              <w:jc w:val="left"/>
              <w:cnfStyle w:val="000000100000"/>
              <w:rPr>
                <w:rFonts w:ascii="Arial" w:eastAsia="Calibri" w:hAnsi="Arial" w:cs="Arial"/>
                <w:i/>
                <w:color w:val="000000"/>
                <w:sz w:val="18"/>
                <w:szCs w:val="18"/>
              </w:rPr>
            </w:pPr>
            <w:r w:rsidRPr="00E955A8">
              <w:rPr>
                <w:rFonts w:ascii="Arial" w:eastAsia="Calibri" w:hAnsi="Arial" w:cs="Arial"/>
                <w:i/>
                <w:color w:val="000000"/>
                <w:sz w:val="18"/>
                <w:szCs w:val="18"/>
              </w:rPr>
              <w:t>New England Area Bulk Power Supply System</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PP 4</w:t>
            </w:r>
          </w:p>
        </w:tc>
        <w:tc>
          <w:tcPr>
            <w:tcW w:w="0" w:type="auto"/>
          </w:tcPr>
          <w:p w:rsidR="00AD6DCF" w:rsidRDefault="00E955A8" w:rsidP="00414E02">
            <w:pPr>
              <w:spacing w:after="0"/>
              <w:jc w:val="left"/>
              <w:cnfStyle w:val="000000010000"/>
              <w:rPr>
                <w:rFonts w:ascii="Arial" w:eastAsia="Calibri" w:hAnsi="Arial" w:cs="Arial"/>
                <w:i/>
                <w:color w:val="000000"/>
                <w:sz w:val="18"/>
                <w:szCs w:val="18"/>
              </w:rPr>
            </w:pPr>
            <w:r>
              <w:rPr>
                <w:rFonts w:ascii="Arial" w:eastAsia="Calibri" w:hAnsi="Arial" w:cs="Arial"/>
                <w:color w:val="000000"/>
                <w:sz w:val="18"/>
                <w:szCs w:val="18"/>
              </w:rPr>
              <w:t xml:space="preserve">ISO Planning Procedure No. 4, </w:t>
            </w:r>
            <w:r w:rsidR="006C5873" w:rsidRPr="00106391">
              <w:rPr>
                <w:rFonts w:ascii="Arial" w:eastAsia="Calibri" w:hAnsi="Arial" w:cs="Arial"/>
                <w:i/>
                <w:color w:val="000000"/>
                <w:sz w:val="18"/>
                <w:szCs w:val="18"/>
              </w:rPr>
              <w:t xml:space="preserve">Procedure </w:t>
            </w:r>
            <w:r>
              <w:rPr>
                <w:rFonts w:ascii="Arial" w:eastAsia="Calibri" w:hAnsi="Arial" w:cs="Arial"/>
                <w:i/>
                <w:color w:val="000000"/>
                <w:sz w:val="18"/>
                <w:szCs w:val="18"/>
              </w:rPr>
              <w:t>for</w:t>
            </w:r>
            <w:r w:rsidR="006C5873" w:rsidRPr="00106391">
              <w:rPr>
                <w:rFonts w:ascii="Arial" w:eastAsia="Calibri" w:hAnsi="Arial" w:cs="Arial"/>
                <w:i/>
                <w:color w:val="000000"/>
                <w:sz w:val="18"/>
                <w:szCs w:val="18"/>
              </w:rPr>
              <w:t xml:space="preserve"> Pool-Supported PTF Cost Review</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PP 10</w:t>
            </w:r>
          </w:p>
        </w:tc>
        <w:tc>
          <w:tcPr>
            <w:tcW w:w="0" w:type="auto"/>
          </w:tcPr>
          <w:p w:rsidR="0070763A" w:rsidRDefault="006C5873" w:rsidP="00414E02">
            <w:pPr>
              <w:spacing w:after="0"/>
              <w:jc w:val="left"/>
              <w:cnfStyle w:val="000000100000"/>
              <w:rPr>
                <w:rFonts w:ascii="Arial" w:eastAsia="Calibri" w:hAnsi="Arial" w:cs="Arial"/>
                <w:iCs/>
                <w:color w:val="000000"/>
                <w:sz w:val="18"/>
                <w:szCs w:val="18"/>
              </w:rPr>
            </w:pPr>
            <w:r w:rsidRPr="00106391">
              <w:rPr>
                <w:rFonts w:ascii="Arial" w:hAnsi="Arial" w:cs="Arial"/>
                <w:sz w:val="18"/>
                <w:szCs w:val="18"/>
              </w:rPr>
              <w:t xml:space="preserve">ISO Planning Procedure No. 10, </w:t>
            </w:r>
            <w:r w:rsidRPr="00106391">
              <w:rPr>
                <w:rFonts w:ascii="Arial" w:hAnsi="Arial" w:cs="Arial"/>
                <w:i/>
                <w:sz w:val="18"/>
                <w:szCs w:val="18"/>
              </w:rPr>
              <w:t>Planning Procedure to Support the Forward Capacity Market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 xml:space="preserve">PPA </w:t>
            </w:r>
          </w:p>
        </w:tc>
        <w:tc>
          <w:tcPr>
            <w:tcW w:w="0" w:type="auto"/>
          </w:tcPr>
          <w:p w:rsidR="0070763A" w:rsidRDefault="006C5873"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Power Purchase Agreement</w:t>
            </w:r>
          </w:p>
        </w:tc>
      </w:tr>
      <w:tr w:rsidR="006C5873" w:rsidRPr="00106391" w:rsidTr="00927451">
        <w:trPr>
          <w:cnfStyle w:val="000000100000"/>
          <w:jc w:val="left"/>
        </w:trPr>
        <w:tc>
          <w:tcPr>
            <w:cnfStyle w:val="001000000000"/>
            <w:tcW w:w="0" w:type="auto"/>
          </w:tcPr>
          <w:p w:rsidR="006C5873" w:rsidRPr="00106391" w:rsidRDefault="002A6DF6" w:rsidP="00AD7502">
            <w:pPr>
              <w:spacing w:after="0"/>
              <w:rPr>
                <w:rFonts w:ascii="Arial" w:eastAsia="Calibri" w:hAnsi="Arial" w:cs="Arial"/>
                <w:color w:val="000000"/>
                <w:sz w:val="18"/>
                <w:szCs w:val="18"/>
              </w:rPr>
            </w:pPr>
            <w:r>
              <w:rPr>
                <w:rFonts w:ascii="Arial" w:eastAsia="Calibri" w:hAnsi="Arial" w:cs="Arial"/>
                <w:color w:val="000000"/>
                <w:sz w:val="18"/>
                <w:szCs w:val="18"/>
              </w:rPr>
              <w:t>p</w:t>
            </w:r>
            <w:r w:rsidR="006C5873" w:rsidRPr="00106391">
              <w:rPr>
                <w:rFonts w:ascii="Arial" w:eastAsia="Calibri" w:hAnsi="Arial" w:cs="Arial"/>
                <w:color w:val="000000"/>
                <w:sz w:val="18"/>
                <w:szCs w:val="18"/>
              </w:rPr>
              <w:t>pb</w:t>
            </w:r>
          </w:p>
        </w:tc>
        <w:tc>
          <w:tcPr>
            <w:tcW w:w="0" w:type="auto"/>
          </w:tcPr>
          <w:p w:rsidR="0070763A" w:rsidRDefault="002A6DF6" w:rsidP="002A6DF6">
            <w:pPr>
              <w:spacing w:after="0"/>
              <w:jc w:val="left"/>
              <w:cnfStyle w:val="000000100000"/>
              <w:rPr>
                <w:rFonts w:ascii="Arial" w:eastAsia="Calibri" w:hAnsi="Arial" w:cs="Arial"/>
                <w:iCs/>
                <w:color w:val="000000"/>
                <w:sz w:val="18"/>
                <w:szCs w:val="18"/>
              </w:rPr>
            </w:pPr>
            <w:r>
              <w:rPr>
                <w:rFonts w:ascii="Arial" w:eastAsia="Calibri" w:hAnsi="Arial" w:cs="Arial"/>
                <w:iCs/>
                <w:color w:val="000000"/>
                <w:sz w:val="18"/>
                <w:szCs w:val="18"/>
              </w:rPr>
              <w:t>p</w:t>
            </w:r>
            <w:r w:rsidR="006C5873" w:rsidRPr="00106391">
              <w:rPr>
                <w:rFonts w:ascii="Arial" w:eastAsia="Calibri" w:hAnsi="Arial" w:cs="Arial"/>
                <w:iCs/>
                <w:color w:val="000000"/>
                <w:sz w:val="18"/>
                <w:szCs w:val="18"/>
              </w:rPr>
              <w:t>art</w:t>
            </w:r>
            <w:r>
              <w:rPr>
                <w:rFonts w:ascii="Arial" w:eastAsia="Calibri" w:hAnsi="Arial" w:cs="Arial"/>
                <w:iCs/>
                <w:color w:val="000000"/>
                <w:sz w:val="18"/>
                <w:szCs w:val="18"/>
              </w:rPr>
              <w:t>(</w:t>
            </w:r>
            <w:r w:rsidR="006C5873" w:rsidRPr="00106391">
              <w:rPr>
                <w:rFonts w:ascii="Arial" w:eastAsia="Calibri" w:hAnsi="Arial" w:cs="Arial"/>
                <w:iCs/>
                <w:color w:val="000000"/>
                <w:sz w:val="18"/>
                <w:szCs w:val="18"/>
              </w:rPr>
              <w:t>s</w:t>
            </w:r>
            <w:r>
              <w:rPr>
                <w:rFonts w:ascii="Arial" w:eastAsia="Calibri" w:hAnsi="Arial" w:cs="Arial"/>
                <w:iCs/>
                <w:color w:val="000000"/>
                <w:sz w:val="18"/>
                <w:szCs w:val="18"/>
              </w:rPr>
              <w:t>)</w:t>
            </w:r>
            <w:r w:rsidR="006C5873" w:rsidRPr="00106391">
              <w:rPr>
                <w:rFonts w:ascii="Arial" w:eastAsia="Calibri" w:hAnsi="Arial" w:cs="Arial"/>
                <w:iCs/>
                <w:color w:val="000000"/>
                <w:sz w:val="18"/>
                <w:szCs w:val="18"/>
              </w:rPr>
              <w:t xml:space="preserve"> per billion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PSPC</w:t>
            </w:r>
          </w:p>
        </w:tc>
        <w:tc>
          <w:tcPr>
            <w:tcW w:w="0" w:type="auto"/>
          </w:tcPr>
          <w:p w:rsidR="0070763A" w:rsidRDefault="006C5873"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Power Supply Planning Committee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PTF</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pool transmission facility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PTO</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participating transmission owner</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Pub. L.</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public law</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PUC</w:t>
            </w:r>
          </w:p>
        </w:tc>
        <w:tc>
          <w:tcPr>
            <w:tcW w:w="0" w:type="auto"/>
          </w:tcPr>
          <w:p w:rsidR="0070763A" w:rsidRDefault="006C5873"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Public Utilities Commission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PV</w:t>
            </w:r>
          </w:p>
        </w:tc>
        <w:tc>
          <w:tcPr>
            <w:tcW w:w="0" w:type="auto"/>
          </w:tcPr>
          <w:p w:rsidR="0070763A" w:rsidRDefault="006C5873" w:rsidP="00414E02">
            <w:pPr>
              <w:spacing w:after="0"/>
              <w:jc w:val="left"/>
              <w:cnfStyle w:val="000000100000"/>
              <w:rPr>
                <w:rFonts w:ascii="Arial" w:eastAsia="Calibri" w:hAnsi="Arial" w:cs="Arial"/>
                <w:iCs/>
                <w:color w:val="000000"/>
                <w:sz w:val="18"/>
                <w:szCs w:val="18"/>
              </w:rPr>
            </w:pPr>
            <w:r w:rsidRPr="00106391">
              <w:rPr>
                <w:rFonts w:ascii="Arial" w:eastAsia="Calibri" w:hAnsi="Arial" w:cs="Arial"/>
                <w:iCs/>
                <w:color w:val="000000"/>
                <w:sz w:val="18"/>
                <w:szCs w:val="18"/>
              </w:rPr>
              <w:t>photovoltaic</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queue (the)</w:t>
            </w:r>
          </w:p>
        </w:tc>
        <w:tc>
          <w:tcPr>
            <w:tcW w:w="0" w:type="auto"/>
          </w:tcPr>
          <w:p w:rsidR="0070763A" w:rsidRDefault="006C5873" w:rsidP="00414E02">
            <w:pPr>
              <w:spacing w:after="0"/>
              <w:jc w:val="left"/>
              <w:cnfStyle w:val="000000010000"/>
              <w:rPr>
                <w:rFonts w:ascii="Arial" w:eastAsia="Calibri" w:hAnsi="Arial" w:cs="Arial"/>
                <w:iCs/>
                <w:color w:val="000000"/>
                <w:sz w:val="18"/>
                <w:szCs w:val="18"/>
              </w:rPr>
            </w:pPr>
            <w:r w:rsidRPr="00106391">
              <w:rPr>
                <w:rFonts w:ascii="Arial" w:eastAsia="Calibri" w:hAnsi="Arial" w:cs="Arial"/>
                <w:iCs/>
                <w:color w:val="000000"/>
                <w:sz w:val="18"/>
                <w:szCs w:val="18"/>
              </w:rPr>
              <w:t>ISO Generator Interconnection Queue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RC</w:t>
            </w:r>
          </w:p>
        </w:tc>
        <w:tc>
          <w:tcPr>
            <w:tcW w:w="0" w:type="auto"/>
          </w:tcPr>
          <w:p w:rsidR="0070763A" w:rsidRDefault="006C5873" w:rsidP="00414E02">
            <w:pPr>
              <w:spacing w:after="0"/>
              <w:jc w:val="left"/>
              <w:cnfStyle w:val="000000100000"/>
              <w:rPr>
                <w:rFonts w:ascii="Arial" w:eastAsia="Calibri" w:hAnsi="Arial" w:cs="Arial"/>
                <w:iCs/>
                <w:color w:val="000000"/>
                <w:sz w:val="18"/>
                <w:szCs w:val="18"/>
              </w:rPr>
            </w:pPr>
            <w:r w:rsidRPr="00106391">
              <w:rPr>
                <w:rFonts w:ascii="Arial" w:eastAsia="Calibri" w:hAnsi="Arial" w:cs="Arial"/>
                <w:iCs/>
                <w:color w:val="000000"/>
                <w:sz w:val="18"/>
                <w:szCs w:val="18"/>
              </w:rPr>
              <w:t>Reliability Committee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REC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Renewable Energy Certificate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REEI</w:t>
            </w:r>
          </w:p>
        </w:tc>
        <w:tc>
          <w:tcPr>
            <w:tcW w:w="0" w:type="auto"/>
          </w:tcPr>
          <w:p w:rsidR="00E27C5C"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Regional Energy</w:t>
            </w:r>
            <w:r w:rsidR="00273981">
              <w:rPr>
                <w:rFonts w:ascii="Arial" w:eastAsia="Calibri" w:hAnsi="Arial" w:cs="Arial"/>
                <w:color w:val="000000"/>
                <w:sz w:val="18"/>
                <w:szCs w:val="18"/>
              </w:rPr>
              <w:t>-</w:t>
            </w:r>
            <w:r w:rsidRPr="00106391">
              <w:rPr>
                <w:rFonts w:ascii="Arial" w:eastAsia="Calibri" w:hAnsi="Arial" w:cs="Arial"/>
                <w:color w:val="000000"/>
                <w:sz w:val="18"/>
                <w:szCs w:val="18"/>
              </w:rPr>
              <w:t>Efficiency Initiative</w:t>
            </w:r>
            <w:r w:rsidR="00273981">
              <w:rPr>
                <w:rFonts w:ascii="Arial" w:eastAsia="Calibri" w:hAnsi="Arial" w:cs="Arial"/>
                <w:color w:val="000000"/>
                <w:sz w:val="18"/>
                <w:szCs w:val="18"/>
              </w:rPr>
              <w:t xml:space="preserve"> (ISO New England)</w:t>
            </w:r>
          </w:p>
        </w:tc>
      </w:tr>
      <w:tr w:rsidR="006C5873" w:rsidRPr="00106391" w:rsidTr="00927451">
        <w:trPr>
          <w:cnfStyle w:val="00000001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Renw</w:t>
            </w:r>
          </w:p>
        </w:tc>
        <w:tc>
          <w:tcPr>
            <w:tcW w:w="0" w:type="auto"/>
          </w:tcPr>
          <w:p w:rsidR="0070763A" w:rsidRDefault="00BC7F25"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renewable</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Resid</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residual</w:t>
            </w:r>
          </w:p>
        </w:tc>
      </w:tr>
      <w:tr w:rsidR="002A6DF6" w:rsidRPr="00106391" w:rsidTr="003417B6">
        <w:trPr>
          <w:cnfStyle w:val="000000010000"/>
          <w:jc w:val="left"/>
        </w:trPr>
        <w:tc>
          <w:tcPr>
            <w:cnfStyle w:val="001000000000"/>
            <w:tcW w:w="0" w:type="auto"/>
          </w:tcPr>
          <w:p w:rsidR="002A6DF6" w:rsidRPr="00106391" w:rsidRDefault="002A6DF6" w:rsidP="003417B6">
            <w:pPr>
              <w:spacing w:after="0"/>
              <w:rPr>
                <w:rFonts w:ascii="Arial" w:eastAsia="Calibri" w:hAnsi="Arial" w:cs="Arial"/>
                <w:color w:val="000000"/>
                <w:sz w:val="18"/>
                <w:szCs w:val="18"/>
              </w:rPr>
            </w:pPr>
            <w:r w:rsidRPr="00106391">
              <w:rPr>
                <w:rFonts w:ascii="Arial" w:eastAsia="Calibri" w:hAnsi="Arial" w:cs="Arial"/>
                <w:color w:val="000000"/>
                <w:sz w:val="18"/>
                <w:szCs w:val="18"/>
              </w:rPr>
              <w:t>RFP</w:t>
            </w:r>
          </w:p>
        </w:tc>
        <w:tc>
          <w:tcPr>
            <w:tcW w:w="0" w:type="auto"/>
          </w:tcPr>
          <w:p w:rsidR="002A6DF6" w:rsidRDefault="002A6DF6" w:rsidP="002A6DF6">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r</w:t>
            </w:r>
            <w:r w:rsidRPr="00106391">
              <w:rPr>
                <w:rFonts w:ascii="Arial" w:eastAsia="Calibri" w:hAnsi="Arial" w:cs="Arial"/>
                <w:color w:val="000000"/>
                <w:sz w:val="18"/>
                <w:szCs w:val="18"/>
              </w:rPr>
              <w:t xml:space="preserve">equest for </w:t>
            </w:r>
            <w:r>
              <w:rPr>
                <w:rFonts w:ascii="Arial" w:eastAsia="Calibri" w:hAnsi="Arial" w:cs="Arial"/>
                <w:color w:val="000000"/>
                <w:sz w:val="18"/>
                <w:szCs w:val="18"/>
              </w:rPr>
              <w:t>p</w:t>
            </w:r>
            <w:r w:rsidRPr="00106391">
              <w:rPr>
                <w:rFonts w:ascii="Arial" w:eastAsia="Calibri" w:hAnsi="Arial" w:cs="Arial"/>
                <w:color w:val="000000"/>
                <w:sz w:val="18"/>
                <w:szCs w:val="18"/>
              </w:rPr>
              <w:t>roposal</w:t>
            </w:r>
          </w:p>
        </w:tc>
      </w:tr>
      <w:tr w:rsidR="002A6DF6" w:rsidRPr="00106391" w:rsidTr="003417B6">
        <w:trPr>
          <w:cnfStyle w:val="000000100000"/>
          <w:jc w:val="left"/>
        </w:trPr>
        <w:tc>
          <w:tcPr>
            <w:cnfStyle w:val="001000000000"/>
            <w:tcW w:w="0" w:type="auto"/>
          </w:tcPr>
          <w:p w:rsidR="002A6DF6" w:rsidRPr="00106391" w:rsidRDefault="002A6DF6" w:rsidP="003417B6">
            <w:pPr>
              <w:spacing w:after="0"/>
              <w:rPr>
                <w:rFonts w:ascii="Arial" w:eastAsia="Calibri" w:hAnsi="Arial" w:cs="Arial"/>
                <w:color w:val="000000"/>
                <w:sz w:val="18"/>
                <w:szCs w:val="18"/>
              </w:rPr>
            </w:pPr>
            <w:r w:rsidRPr="00106391">
              <w:rPr>
                <w:rFonts w:ascii="Arial" w:eastAsia="Calibri" w:hAnsi="Arial" w:cs="Arial"/>
                <w:color w:val="000000"/>
                <w:sz w:val="18"/>
                <w:szCs w:val="18"/>
              </w:rPr>
              <w:t>RGGI</w:t>
            </w:r>
          </w:p>
        </w:tc>
        <w:tc>
          <w:tcPr>
            <w:tcW w:w="0" w:type="auto"/>
          </w:tcPr>
          <w:p w:rsidR="002A6DF6" w:rsidRDefault="002A6DF6" w:rsidP="003417B6">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Regional Greenhouse Gas Initiative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RI</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1) State of Rhode Island</w:t>
            </w:r>
          </w:p>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2) RSP subarea that includes the part of Rhode Island bordering Massachusetts</w:t>
            </w:r>
          </w:p>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3) Rhode Island load zone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RIRP</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Rhode Island Reliability Project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RNS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Regional Network Service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RPS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Renewable Portfolio Standard</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RSP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Regional System Plan</w:t>
            </w:r>
          </w:p>
        </w:tc>
      </w:tr>
      <w:tr w:rsidR="006C5873" w:rsidRPr="00106391" w:rsidTr="00927451">
        <w:trPr>
          <w:cnfStyle w:val="000000100000"/>
          <w:jc w:val="left"/>
        </w:trPr>
        <w:tc>
          <w:tcPr>
            <w:cnfStyle w:val="001000000000"/>
            <w:tcW w:w="0" w:type="auto"/>
          </w:tcPr>
          <w:p w:rsidR="006C5873" w:rsidRPr="00106391" w:rsidRDefault="006C5873">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RSP</w:t>
            </w:r>
            <w:r w:rsidRPr="002607A1">
              <w:rPr>
                <w:rFonts w:ascii="Arial" w:eastAsia="Calibri" w:hAnsi="Arial" w:cs="Arial"/>
                <w:i/>
                <w:color w:val="000000"/>
                <w:sz w:val="18"/>
                <w:szCs w:val="18"/>
              </w:rPr>
              <w:t>XY</w:t>
            </w:r>
          </w:p>
        </w:tc>
        <w:tc>
          <w:tcPr>
            <w:tcW w:w="0" w:type="auto"/>
          </w:tcPr>
          <w:p w:rsidR="0070763A" w:rsidRDefault="006C5873" w:rsidP="00414E02">
            <w:pPr>
              <w:spacing w:after="0"/>
              <w:jc w:val="left"/>
              <w:cnfStyle w:val="000000100000"/>
              <w:rPr>
                <w:rFonts w:ascii="Arial" w:eastAsia="Calibri" w:hAnsi="Arial" w:cs="Arial"/>
                <w:i/>
                <w:iCs/>
                <w:color w:val="000000"/>
                <w:sz w:val="18"/>
                <w:szCs w:val="18"/>
              </w:rPr>
            </w:pPr>
            <w:r w:rsidRPr="00106391">
              <w:rPr>
                <w:rFonts w:ascii="Arial" w:eastAsia="Calibri" w:hAnsi="Arial" w:cs="Arial"/>
                <w:i/>
                <w:iCs/>
                <w:color w:val="000000"/>
                <w:sz w:val="18"/>
                <w:szCs w:val="18"/>
              </w:rPr>
              <w:t>20XY Regional System Plan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RTDR</w:t>
            </w:r>
          </w:p>
        </w:tc>
        <w:tc>
          <w:tcPr>
            <w:tcW w:w="0" w:type="auto"/>
          </w:tcPr>
          <w:p w:rsidR="0070763A" w:rsidRDefault="006C5873"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color w:val="000000"/>
                <w:sz w:val="18"/>
                <w:szCs w:val="18"/>
              </w:rPr>
              <w:t>real-time demand response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RTEG</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real-time emergency generation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RTO</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Regional Transmission Organization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RTPRP</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Real-Time Price-Response Program</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RTU</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remote terminal unit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RWK</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Rumford–Woodstock–Kimball Road</w:t>
            </w:r>
          </w:p>
        </w:tc>
      </w:tr>
      <w:tr w:rsidR="006C5873" w:rsidRPr="00106391" w:rsidTr="00927451">
        <w:trPr>
          <w:cnfStyle w:val="00000001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w:t>
            </w:r>
          </w:p>
        </w:tc>
        <w:tc>
          <w:tcPr>
            <w:tcW w:w="0" w:type="auto"/>
          </w:tcPr>
          <w:p w:rsidR="0070763A" w:rsidRDefault="00BC6F21"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Senate (U.S.)</w:t>
            </w:r>
          </w:p>
        </w:tc>
      </w:tr>
      <w:tr w:rsidR="006C5873" w:rsidRPr="00106391" w:rsidTr="00927451">
        <w:trPr>
          <w:cnfStyle w:val="000000100000"/>
          <w:jc w:val="left"/>
        </w:trPr>
        <w:tc>
          <w:tcPr>
            <w:cnfStyle w:val="001000000000"/>
            <w:tcW w:w="0" w:type="auto"/>
          </w:tcPr>
          <w:p w:rsidR="006C5873" w:rsidRPr="00106391" w:rsidRDefault="00BC6F21"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SB</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Senate Bill</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SBC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system benefits charge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SCC</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seasonal claimed capability</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SCADA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System Control and Data Acquisition</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SEMA</w:t>
            </w:r>
          </w:p>
        </w:tc>
        <w:tc>
          <w:tcPr>
            <w:tcW w:w="0" w:type="auto"/>
          </w:tcPr>
          <w:p w:rsidR="0070763A" w:rsidRDefault="006C5873" w:rsidP="00414E02">
            <w:pPr>
              <w:spacing w:after="0"/>
              <w:ind w:left="230" w:hanging="23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1) RSP subarea comprising southeastern Massachusetts and Newport, Rhode Island</w:t>
            </w:r>
          </w:p>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2) Southeastern Massachusetts load zone</w:t>
            </w:r>
          </w:p>
        </w:tc>
      </w:tr>
      <w:tr w:rsidR="006C5873" w:rsidRPr="00106391" w:rsidTr="00927451">
        <w:trPr>
          <w:cnfStyle w:val="000000010000"/>
          <w:jc w:val="left"/>
        </w:trPr>
        <w:tc>
          <w:tcPr>
            <w:cnfStyle w:val="001000000000"/>
            <w:tcW w:w="0" w:type="auto"/>
          </w:tcPr>
          <w:p w:rsidR="006C5873" w:rsidRPr="00106391" w:rsidRDefault="004116BF">
            <w:pPr>
              <w:spacing w:after="0"/>
              <w:rPr>
                <w:rFonts w:ascii="Arial" w:eastAsia="Calibri" w:hAnsi="Arial" w:cs="Arial"/>
                <w:color w:val="000000"/>
                <w:sz w:val="18"/>
                <w:szCs w:val="18"/>
              </w:rPr>
            </w:pPr>
            <w:r w:rsidRPr="00106391">
              <w:rPr>
                <w:rFonts w:ascii="Arial" w:eastAsia="Calibri" w:hAnsi="Arial" w:cs="Arial"/>
                <w:color w:val="000000"/>
                <w:sz w:val="18"/>
                <w:szCs w:val="18"/>
              </w:rPr>
              <w:t>Sess.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Session (Congress)</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SIDU</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synchrophasor infrastructure and data utilization</w:t>
            </w:r>
          </w:p>
        </w:tc>
      </w:tr>
      <w:tr w:rsidR="00C76C43" w:rsidRPr="00106391" w:rsidTr="00927451">
        <w:trPr>
          <w:cnfStyle w:val="000000010000"/>
          <w:jc w:val="left"/>
        </w:trPr>
        <w:tc>
          <w:tcPr>
            <w:cnfStyle w:val="001000000000"/>
            <w:tcW w:w="0" w:type="auto"/>
          </w:tcPr>
          <w:p w:rsidR="00C76C43" w:rsidRPr="00106391" w:rsidRDefault="00C76C43" w:rsidP="00AD7502">
            <w:pPr>
              <w:spacing w:after="0"/>
              <w:rPr>
                <w:rFonts w:ascii="Arial" w:eastAsia="Calibri" w:hAnsi="Arial" w:cs="Arial"/>
                <w:color w:val="000000"/>
                <w:sz w:val="18"/>
                <w:szCs w:val="18"/>
              </w:rPr>
            </w:pPr>
            <w:r>
              <w:rPr>
                <w:rFonts w:ascii="Arial" w:eastAsia="Calibri" w:hAnsi="Arial" w:cs="Arial"/>
                <w:color w:val="000000"/>
                <w:sz w:val="18"/>
                <w:szCs w:val="18"/>
              </w:rPr>
              <w:t>SLR</w:t>
            </w:r>
          </w:p>
        </w:tc>
        <w:tc>
          <w:tcPr>
            <w:tcW w:w="0" w:type="auto"/>
          </w:tcPr>
          <w:p w:rsidR="00E27C5C" w:rsidRDefault="00C76C43" w:rsidP="00414E02">
            <w:pPr>
              <w:spacing w:after="0"/>
              <w:jc w:val="left"/>
              <w:cnfStyle w:val="000000010000"/>
              <w:rPr>
                <w:rFonts w:ascii="Arial" w:eastAsia="Calibri" w:hAnsi="Arial" w:cs="Arial"/>
                <w:color w:val="000000"/>
                <w:sz w:val="18"/>
                <w:szCs w:val="18"/>
              </w:rPr>
            </w:pPr>
            <w:r>
              <w:rPr>
                <w:rFonts w:ascii="Arial" w:eastAsia="Calibri" w:hAnsi="Arial" w:cs="Arial"/>
                <w:color w:val="000000"/>
                <w:sz w:val="18"/>
                <w:szCs w:val="18"/>
              </w:rPr>
              <w:t>static line rating</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SMD</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Standard Market Design</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bCs w:val="0"/>
                <w:color w:val="000000"/>
                <w:sz w:val="18"/>
                <w:szCs w:val="18"/>
              </w:rPr>
              <w:t>SME</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subarea for Southeastern Maine</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SO</w:t>
            </w:r>
            <w:r w:rsidRPr="00106391">
              <w:rPr>
                <w:rFonts w:ascii="Arial" w:eastAsia="Calibri" w:hAnsi="Arial" w:cs="Arial"/>
                <w:color w:val="000000"/>
                <w:sz w:val="18"/>
                <w:szCs w:val="18"/>
                <w:vertAlign w:val="subscript"/>
              </w:rPr>
              <w:t>2</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sulfur dioxide</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SOEP</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Sable Offshore Energy Project</w:t>
            </w:r>
          </w:p>
        </w:tc>
      </w:tr>
      <w:tr w:rsidR="006C5873"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b w:val="0"/>
                <w:bCs w:val="0"/>
                <w:color w:val="000000"/>
                <w:sz w:val="18"/>
                <w:szCs w:val="18"/>
              </w:rPr>
            </w:pPr>
            <w:r w:rsidRPr="00106391">
              <w:rPr>
                <w:rFonts w:ascii="Arial" w:eastAsia="Calibri" w:hAnsi="Arial" w:cs="Arial"/>
                <w:color w:val="000000"/>
                <w:sz w:val="18"/>
                <w:szCs w:val="18"/>
              </w:rPr>
              <w:t>SPEED</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Sustainably Priced Energy Enterprise Development</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SPS</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special protection system</w:t>
            </w:r>
          </w:p>
        </w:tc>
      </w:tr>
      <w:tr w:rsidR="006C5873" w:rsidRPr="00106391" w:rsidTr="00927451">
        <w:trPr>
          <w:cnfStyle w:val="000000100000"/>
          <w:jc w:val="left"/>
        </w:trPr>
        <w:tc>
          <w:tcPr>
            <w:cnfStyle w:val="001000000000"/>
            <w:tcW w:w="0" w:type="auto"/>
          </w:tcPr>
          <w:p w:rsidR="006C5873" w:rsidRPr="00106391" w:rsidRDefault="00F6452E"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w:t>
            </w:r>
            <w:r w:rsidR="00BC6F21" w:rsidRPr="00106391">
              <w:rPr>
                <w:rFonts w:ascii="Arial" w:eastAsia="Calibri" w:hAnsi="Arial" w:cs="Arial"/>
                <w:color w:val="000000"/>
                <w:sz w:val="18"/>
                <w:szCs w:val="18"/>
              </w:rPr>
              <w:t>q.</w:t>
            </w:r>
          </w:p>
        </w:tc>
        <w:tc>
          <w:tcPr>
            <w:tcW w:w="0" w:type="auto"/>
          </w:tcPr>
          <w:p w:rsidR="0070763A" w:rsidRDefault="00BC6F21"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square</w:t>
            </w:r>
          </w:p>
        </w:tc>
      </w:tr>
      <w:tr w:rsidR="006C5873" w:rsidRPr="00106391" w:rsidTr="00927451">
        <w:trPr>
          <w:cnfStyle w:val="000000010000"/>
          <w:jc w:val="left"/>
        </w:trPr>
        <w:tc>
          <w:tcPr>
            <w:cnfStyle w:val="001000000000"/>
            <w:tcW w:w="0" w:type="auto"/>
          </w:tcPr>
          <w:p w:rsidR="006C5873" w:rsidRPr="00106391" w:rsidRDefault="00D9629D" w:rsidP="00D9629D">
            <w:pPr>
              <w:spacing w:after="0"/>
              <w:rPr>
                <w:rFonts w:ascii="Arial" w:eastAsia="Calibri" w:hAnsi="Arial" w:cs="Arial"/>
                <w:color w:val="000000"/>
                <w:sz w:val="18"/>
                <w:szCs w:val="18"/>
              </w:rPr>
            </w:pPr>
            <w:r>
              <w:rPr>
                <w:rFonts w:ascii="Arial" w:eastAsia="Calibri" w:hAnsi="Arial" w:cs="Arial"/>
                <w:color w:val="000000"/>
                <w:sz w:val="18"/>
                <w:szCs w:val="18"/>
              </w:rPr>
              <w:t>S-REC</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Solar Renewable Energy Credit</w:t>
            </w:r>
          </w:p>
        </w:tc>
      </w:tr>
      <w:tr w:rsidR="006C5873"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ST</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steam</w:t>
            </w:r>
          </w:p>
        </w:tc>
      </w:tr>
      <w:tr w:rsidR="006C5873"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SWCT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subarea for Southwest Connecticut</w:t>
            </w:r>
          </w:p>
        </w:tc>
      </w:tr>
      <w:tr w:rsidR="00143C71" w:rsidRPr="00106391" w:rsidTr="00927451">
        <w:trPr>
          <w:cnfStyle w:val="00000010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TBD</w:t>
            </w:r>
          </w:p>
        </w:tc>
        <w:tc>
          <w:tcPr>
            <w:tcW w:w="0" w:type="auto"/>
          </w:tcPr>
          <w:p w:rsidR="0070763A" w:rsidRDefault="00BC7F25"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to be determined</w:t>
            </w:r>
          </w:p>
        </w:tc>
      </w:tr>
      <w:tr w:rsidR="00143C71"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Tcf</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trillion cubic feet</w:t>
            </w:r>
          </w:p>
        </w:tc>
      </w:tr>
      <w:tr w:rsidR="00143C71"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highlight w:val="yellow"/>
              </w:rPr>
            </w:pPr>
            <w:r w:rsidRPr="00106391">
              <w:rPr>
                <w:rFonts w:ascii="Arial" w:eastAsia="Calibri" w:hAnsi="Arial" w:cs="Arial"/>
                <w:color w:val="000000"/>
                <w:sz w:val="18"/>
                <w:szCs w:val="18"/>
              </w:rPr>
              <w:t>TGP</w:t>
            </w:r>
          </w:p>
        </w:tc>
        <w:tc>
          <w:tcPr>
            <w:tcW w:w="0" w:type="auto"/>
          </w:tcPr>
          <w:p w:rsidR="0070763A" w:rsidRDefault="006C5873" w:rsidP="00414E02">
            <w:pPr>
              <w:spacing w:after="0"/>
              <w:jc w:val="left"/>
              <w:cnfStyle w:val="000000100000"/>
              <w:rPr>
                <w:rFonts w:ascii="Arial" w:eastAsia="Calibri" w:hAnsi="Arial" w:cs="Arial"/>
                <w:color w:val="000000"/>
                <w:sz w:val="18"/>
                <w:szCs w:val="18"/>
                <w:highlight w:val="yellow"/>
              </w:rPr>
            </w:pPr>
            <w:r w:rsidRPr="00106391">
              <w:rPr>
                <w:rFonts w:ascii="Arial" w:eastAsia="Calibri" w:hAnsi="Arial" w:cs="Arial"/>
                <w:color w:val="000000"/>
                <w:sz w:val="18"/>
                <w:szCs w:val="18"/>
              </w:rPr>
              <w:t>Tennessee Gas Pipeline</w:t>
            </w:r>
          </w:p>
        </w:tc>
      </w:tr>
      <w:tr w:rsidR="00143C71"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TO</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transmission owner</w:t>
            </w:r>
          </w:p>
        </w:tc>
      </w:tr>
      <w:tr w:rsidR="00924C53" w:rsidRPr="00106391" w:rsidTr="00927451">
        <w:trPr>
          <w:cnfStyle w:val="000000100000"/>
          <w:jc w:val="left"/>
        </w:trPr>
        <w:tc>
          <w:tcPr>
            <w:cnfStyle w:val="001000000000"/>
            <w:tcW w:w="0" w:type="auto"/>
          </w:tcPr>
          <w:p w:rsidR="00924C53" w:rsidRPr="00106391" w:rsidRDefault="00924C53" w:rsidP="00AD7502">
            <w:pPr>
              <w:spacing w:after="0"/>
              <w:rPr>
                <w:rFonts w:ascii="Arial" w:eastAsia="Calibri" w:hAnsi="Arial" w:cs="Arial"/>
                <w:color w:val="000000"/>
                <w:sz w:val="18"/>
                <w:szCs w:val="18"/>
              </w:rPr>
            </w:pPr>
            <w:r>
              <w:rPr>
                <w:rFonts w:ascii="Arial" w:eastAsia="Calibri" w:hAnsi="Arial" w:cs="Arial"/>
                <w:color w:val="000000"/>
                <w:sz w:val="18"/>
                <w:szCs w:val="18"/>
              </w:rPr>
              <w:t>TP</w:t>
            </w:r>
          </w:p>
        </w:tc>
        <w:tc>
          <w:tcPr>
            <w:tcW w:w="0" w:type="auto"/>
          </w:tcPr>
          <w:p w:rsidR="0070763A" w:rsidRDefault="00924C53" w:rsidP="00414E02">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transmission provider</w:t>
            </w:r>
          </w:p>
        </w:tc>
      </w:tr>
      <w:tr w:rsidR="00325FA2" w:rsidRPr="00106391" w:rsidTr="00927451">
        <w:trPr>
          <w:cnfStyle w:val="000000010000"/>
          <w:jc w:val="left"/>
        </w:trPr>
        <w:tc>
          <w:tcPr>
            <w:cnfStyle w:val="001000000000"/>
            <w:tcW w:w="0" w:type="auto"/>
          </w:tcPr>
          <w:p w:rsidR="006C5873" w:rsidRPr="00106391" w:rsidRDefault="00BC7F25"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TRC</w:t>
            </w:r>
          </w:p>
        </w:tc>
        <w:tc>
          <w:tcPr>
            <w:tcW w:w="0" w:type="auto"/>
          </w:tcPr>
          <w:p w:rsidR="0070763A" w:rsidRDefault="00BC7F25"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Tradable Renewable Credit; Technical Review Committee</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TSA</w:t>
            </w:r>
          </w:p>
        </w:tc>
        <w:tc>
          <w:tcPr>
            <w:tcW w:w="0" w:type="auto"/>
          </w:tcPr>
          <w:p w:rsidR="0070763A" w:rsidRDefault="00BB585F" w:rsidP="00BB585F">
            <w:pPr>
              <w:spacing w:after="0"/>
              <w:jc w:val="left"/>
              <w:cnfStyle w:val="000000100000"/>
              <w:rPr>
                <w:rFonts w:ascii="Arial" w:eastAsia="Calibri" w:hAnsi="Arial" w:cs="Arial"/>
                <w:color w:val="000000"/>
                <w:sz w:val="18"/>
                <w:szCs w:val="18"/>
              </w:rPr>
            </w:pPr>
            <w:r>
              <w:rPr>
                <w:rFonts w:ascii="Arial" w:eastAsia="Calibri" w:hAnsi="Arial" w:cs="Arial"/>
                <w:color w:val="000000"/>
                <w:sz w:val="18"/>
                <w:szCs w:val="18"/>
              </w:rPr>
              <w:t>t</w:t>
            </w:r>
            <w:r w:rsidR="006C5873" w:rsidRPr="00106391">
              <w:rPr>
                <w:rFonts w:ascii="Arial" w:eastAsia="Calibri" w:hAnsi="Arial" w:cs="Arial"/>
                <w:color w:val="000000"/>
                <w:sz w:val="18"/>
                <w:szCs w:val="18"/>
              </w:rPr>
              <w:t xml:space="preserve">ransmission </w:t>
            </w:r>
            <w:r>
              <w:rPr>
                <w:rFonts w:ascii="Arial" w:eastAsia="Calibri" w:hAnsi="Arial" w:cs="Arial"/>
                <w:color w:val="000000"/>
                <w:sz w:val="18"/>
                <w:szCs w:val="18"/>
              </w:rPr>
              <w:t>s</w:t>
            </w:r>
            <w:r w:rsidR="006C5873" w:rsidRPr="00106391">
              <w:rPr>
                <w:rFonts w:ascii="Arial" w:eastAsia="Calibri" w:hAnsi="Arial" w:cs="Arial"/>
                <w:color w:val="000000"/>
                <w:sz w:val="18"/>
                <w:szCs w:val="18"/>
              </w:rPr>
              <w:t xml:space="preserve">ecurity </w:t>
            </w:r>
            <w:r>
              <w:rPr>
                <w:rFonts w:ascii="Arial" w:eastAsia="Calibri" w:hAnsi="Arial" w:cs="Arial"/>
                <w:color w:val="000000"/>
                <w:sz w:val="18"/>
                <w:szCs w:val="18"/>
              </w:rPr>
              <w:t>a</w:t>
            </w:r>
            <w:r w:rsidR="006C5873" w:rsidRPr="00106391">
              <w:rPr>
                <w:rFonts w:ascii="Arial" w:eastAsia="Calibri" w:hAnsi="Arial" w:cs="Arial"/>
                <w:color w:val="000000"/>
                <w:sz w:val="18"/>
                <w:szCs w:val="18"/>
              </w:rPr>
              <w:t>nalysis</w:t>
            </w:r>
          </w:p>
        </w:tc>
      </w:tr>
      <w:tr w:rsidR="00325FA2"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 xml:space="preserve">UDS </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Unit Dispatch System</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U.S.</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United States</w:t>
            </w:r>
          </w:p>
        </w:tc>
      </w:tr>
      <w:tr w:rsidR="00325FA2"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V2G</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vehicle to grid</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VELCO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Vermont Electric Power Company</w:t>
            </w:r>
          </w:p>
        </w:tc>
      </w:tr>
      <w:tr w:rsidR="00325FA2"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bCs w:val="0"/>
                <w:color w:val="000000"/>
                <w:sz w:val="18"/>
                <w:szCs w:val="18"/>
              </w:rPr>
            </w:pPr>
            <w:r w:rsidRPr="00106391">
              <w:rPr>
                <w:rFonts w:ascii="Arial" w:eastAsia="Calibri" w:hAnsi="Arial" w:cs="Arial"/>
                <w:bCs w:val="0"/>
                <w:color w:val="000000"/>
                <w:sz w:val="18"/>
                <w:szCs w:val="18"/>
              </w:rPr>
              <w:t>VFT</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variable-frequency transformer</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bCs w:val="0"/>
                <w:color w:val="000000"/>
                <w:sz w:val="18"/>
                <w:szCs w:val="18"/>
              </w:rPr>
              <w:t>VT</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1) State of Vermont</w:t>
            </w:r>
          </w:p>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2) RSP subarea that includes Vermont and southwestern New Hampshire</w:t>
            </w:r>
          </w:p>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bCs/>
                <w:color w:val="000000"/>
                <w:sz w:val="18"/>
                <w:szCs w:val="18"/>
              </w:rPr>
              <w:t>3) Vermont load zone</w:t>
            </w:r>
          </w:p>
        </w:tc>
      </w:tr>
      <w:tr w:rsidR="00325FA2" w:rsidRPr="00106391" w:rsidTr="00927451">
        <w:trPr>
          <w:cnfStyle w:val="000000010000"/>
          <w:jc w:val="left"/>
        </w:trPr>
        <w:tc>
          <w:tcPr>
            <w:cnfStyle w:val="001000000000"/>
            <w:tcW w:w="0" w:type="auto"/>
          </w:tcPr>
          <w:p w:rsidR="006C5873" w:rsidRPr="00106391" w:rsidRDefault="006C5873">
            <w:pPr>
              <w:spacing w:after="0"/>
              <w:rPr>
                <w:rFonts w:ascii="Arial" w:eastAsia="Calibri" w:hAnsi="Arial" w:cs="Arial"/>
                <w:b w:val="0"/>
                <w:bCs w:val="0"/>
                <w:color w:val="000000"/>
                <w:sz w:val="18"/>
                <w:szCs w:val="18"/>
              </w:rPr>
            </w:pPr>
            <w:r w:rsidRPr="00106391">
              <w:rPr>
                <w:rFonts w:ascii="Arial" w:eastAsia="Calibri" w:hAnsi="Arial" w:cs="Arial"/>
                <w:bCs w:val="0"/>
                <w:color w:val="000000"/>
                <w:sz w:val="18"/>
                <w:szCs w:val="18"/>
              </w:rPr>
              <w:t>20</w:t>
            </w:r>
            <w:r w:rsidRPr="002607A1">
              <w:rPr>
                <w:rFonts w:ascii="Arial" w:eastAsia="Calibri" w:hAnsi="Arial" w:cs="Arial"/>
                <w:bCs w:val="0"/>
                <w:i/>
                <w:color w:val="000000"/>
                <w:sz w:val="18"/>
                <w:szCs w:val="18"/>
              </w:rPr>
              <w:t>XY</w:t>
            </w:r>
            <w:r w:rsidRPr="00106391">
              <w:rPr>
                <w:rFonts w:ascii="Arial" w:eastAsia="Calibri" w:hAnsi="Arial" w:cs="Arial"/>
                <w:bCs w:val="0"/>
                <w:color w:val="000000"/>
                <w:sz w:val="18"/>
                <w:szCs w:val="18"/>
              </w:rPr>
              <w:t xml:space="preserve"> VT LRP</w:t>
            </w:r>
          </w:p>
        </w:tc>
        <w:tc>
          <w:tcPr>
            <w:tcW w:w="0" w:type="auto"/>
          </w:tcPr>
          <w:p w:rsidR="0070763A" w:rsidRDefault="006C5873" w:rsidP="00414E02">
            <w:pPr>
              <w:spacing w:after="0"/>
              <w:jc w:val="left"/>
              <w:cnfStyle w:val="000000010000"/>
              <w:rPr>
                <w:rFonts w:ascii="Arial" w:eastAsia="Calibri" w:hAnsi="Arial" w:cs="Arial"/>
                <w:i/>
                <w:iCs/>
                <w:color w:val="000000"/>
                <w:sz w:val="18"/>
                <w:szCs w:val="18"/>
              </w:rPr>
            </w:pPr>
            <w:r w:rsidRPr="00106391">
              <w:rPr>
                <w:rFonts w:ascii="Arial" w:eastAsia="Calibri" w:hAnsi="Arial" w:cs="Arial"/>
                <w:i/>
                <w:iCs/>
                <w:color w:val="000000"/>
                <w:sz w:val="18"/>
                <w:szCs w:val="18"/>
              </w:rPr>
              <w:t>20XY Vermont Long-Range Plan</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WCMA</w:t>
            </w:r>
          </w:p>
        </w:tc>
        <w:tc>
          <w:tcPr>
            <w:tcW w:w="0" w:type="auto"/>
          </w:tcPr>
          <w:p w:rsidR="0070763A" w:rsidRDefault="00CC4FB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West</w:t>
            </w:r>
            <w:r w:rsidR="00206FDB" w:rsidRPr="00106391">
              <w:rPr>
                <w:rFonts w:ascii="Arial" w:eastAsia="Calibri" w:hAnsi="Arial" w:cs="Arial"/>
                <w:color w:val="000000"/>
                <w:sz w:val="18"/>
                <w:szCs w:val="18"/>
              </w:rPr>
              <w:t>ern/</w:t>
            </w:r>
            <w:r w:rsidRPr="00106391">
              <w:rPr>
                <w:rFonts w:ascii="Arial" w:eastAsia="Calibri" w:hAnsi="Arial" w:cs="Arial"/>
                <w:color w:val="000000"/>
                <w:sz w:val="18"/>
                <w:szCs w:val="18"/>
              </w:rPr>
              <w:t>Central</w:t>
            </w:r>
            <w:r w:rsidR="006C5873" w:rsidRPr="00106391">
              <w:rPr>
                <w:rFonts w:ascii="Arial" w:eastAsia="Calibri" w:hAnsi="Arial" w:cs="Arial"/>
                <w:color w:val="000000"/>
                <w:sz w:val="18"/>
                <w:szCs w:val="18"/>
              </w:rPr>
              <w:t xml:space="preserve"> Massachusetts load zone</w:t>
            </w:r>
          </w:p>
        </w:tc>
      </w:tr>
      <w:tr w:rsidR="00325FA2"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WMA</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RSP subarea for Western Massachusetts</w:t>
            </w:r>
          </w:p>
        </w:tc>
      </w:tr>
      <w:tr w:rsidR="00325FA2" w:rsidRPr="00106391" w:rsidTr="00927451">
        <w:trPr>
          <w:cnfStyle w:val="00000010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WMECO</w:t>
            </w:r>
          </w:p>
        </w:tc>
        <w:tc>
          <w:tcPr>
            <w:tcW w:w="0" w:type="auto"/>
          </w:tcPr>
          <w:p w:rsidR="0070763A" w:rsidRDefault="006C5873" w:rsidP="00414E02">
            <w:pPr>
              <w:spacing w:after="0"/>
              <w:jc w:val="left"/>
              <w:cnfStyle w:val="000000100000"/>
              <w:rPr>
                <w:rFonts w:ascii="Arial" w:eastAsia="Calibri" w:hAnsi="Arial" w:cs="Arial"/>
                <w:color w:val="000000"/>
                <w:sz w:val="18"/>
                <w:szCs w:val="18"/>
              </w:rPr>
            </w:pPr>
            <w:r w:rsidRPr="00106391">
              <w:rPr>
                <w:rFonts w:ascii="Arial" w:eastAsia="Calibri" w:hAnsi="Arial" w:cs="Arial"/>
                <w:color w:val="000000"/>
                <w:sz w:val="18"/>
                <w:szCs w:val="18"/>
              </w:rPr>
              <w:t>Western Massachusetts Electric Company</w:t>
            </w:r>
          </w:p>
        </w:tc>
      </w:tr>
      <w:tr w:rsidR="00325FA2" w:rsidRPr="00106391" w:rsidTr="00927451">
        <w:trPr>
          <w:cnfStyle w:val="000000010000"/>
          <w:jc w:val="left"/>
        </w:trPr>
        <w:tc>
          <w:tcPr>
            <w:cnfStyle w:val="001000000000"/>
            <w:tcW w:w="0" w:type="auto"/>
          </w:tcPr>
          <w:p w:rsidR="006C5873" w:rsidRPr="00106391" w:rsidRDefault="006C5873" w:rsidP="00AD7502">
            <w:pPr>
              <w:spacing w:after="0"/>
              <w:rPr>
                <w:rFonts w:ascii="Arial" w:eastAsia="Calibri" w:hAnsi="Arial" w:cs="Arial"/>
                <w:color w:val="000000"/>
                <w:sz w:val="18"/>
                <w:szCs w:val="18"/>
              </w:rPr>
            </w:pPr>
            <w:r w:rsidRPr="00106391">
              <w:rPr>
                <w:rFonts w:ascii="Arial" w:eastAsia="Calibri" w:hAnsi="Arial" w:cs="Arial"/>
                <w:color w:val="000000"/>
                <w:sz w:val="18"/>
                <w:szCs w:val="18"/>
              </w:rPr>
              <w:t>WMPP</w:t>
            </w:r>
            <w:r w:rsidRPr="002607A1">
              <w:rPr>
                <w:rFonts w:ascii="Arial" w:eastAsia="Calibri" w:hAnsi="Arial" w:cs="Arial"/>
                <w:i/>
                <w:color w:val="000000"/>
                <w:sz w:val="18"/>
                <w:szCs w:val="18"/>
              </w:rPr>
              <w:t>XY</w:t>
            </w:r>
          </w:p>
        </w:tc>
        <w:tc>
          <w:tcPr>
            <w:tcW w:w="0" w:type="auto"/>
          </w:tcPr>
          <w:p w:rsidR="0070763A" w:rsidRDefault="006C5873" w:rsidP="00414E02">
            <w:pPr>
              <w:spacing w:after="0"/>
              <w:jc w:val="left"/>
              <w:cnfStyle w:val="000000010000"/>
              <w:rPr>
                <w:rFonts w:ascii="Arial" w:eastAsia="Calibri" w:hAnsi="Arial" w:cs="Arial"/>
                <w:color w:val="000000"/>
                <w:sz w:val="18"/>
                <w:szCs w:val="18"/>
              </w:rPr>
            </w:pPr>
            <w:r w:rsidRPr="00106391">
              <w:rPr>
                <w:rFonts w:ascii="Arial" w:eastAsia="Calibri" w:hAnsi="Arial" w:cs="Arial"/>
                <w:color w:val="000000"/>
                <w:sz w:val="18"/>
                <w:szCs w:val="18"/>
              </w:rPr>
              <w:t>Wholesale Markets Project</w:t>
            </w:r>
            <w:r w:rsidR="00BC6F21" w:rsidRPr="00106391">
              <w:rPr>
                <w:rFonts w:ascii="Arial" w:eastAsia="Calibri" w:hAnsi="Arial" w:cs="Arial"/>
                <w:color w:val="000000"/>
                <w:sz w:val="18"/>
                <w:szCs w:val="18"/>
              </w:rPr>
              <w:t>s</w:t>
            </w:r>
            <w:r w:rsidRPr="00106391">
              <w:rPr>
                <w:rFonts w:ascii="Arial" w:eastAsia="Calibri" w:hAnsi="Arial" w:cs="Arial"/>
                <w:color w:val="000000"/>
                <w:sz w:val="18"/>
                <w:szCs w:val="18"/>
              </w:rPr>
              <w:t xml:space="preserve"> Plan 20</w:t>
            </w:r>
            <w:r w:rsidRPr="00DD6A3D">
              <w:rPr>
                <w:rFonts w:ascii="Arial" w:eastAsia="Calibri" w:hAnsi="Arial" w:cs="Arial"/>
                <w:i/>
                <w:color w:val="000000"/>
                <w:sz w:val="18"/>
                <w:szCs w:val="18"/>
              </w:rPr>
              <w:t>XY</w:t>
            </w:r>
          </w:p>
        </w:tc>
      </w:tr>
    </w:tbl>
    <w:p w:rsidR="00266335" w:rsidRDefault="00266335" w:rsidP="004F45AA"/>
    <w:sectPr w:rsidR="00266335" w:rsidSect="00015282">
      <w:pgSz w:w="12240" w:h="15840"/>
      <w:pgMar w:top="13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989" w:rsidRDefault="001E0989" w:rsidP="00073277">
      <w:r>
        <w:separator/>
      </w:r>
    </w:p>
  </w:endnote>
  <w:endnote w:type="continuationSeparator" w:id="0">
    <w:p w:rsidR="001E0989" w:rsidRDefault="001E0989" w:rsidP="000732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45 Light">
    <w:altName w:val="Times New Roman"/>
    <w:panose1 w:val="00000000000000000000"/>
    <w:charset w:val="00"/>
    <w:family w:val="swiss"/>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Default="003C78A4" w:rsidP="00B4731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7C3EC4" w:rsidRDefault="003C78A4" w:rsidP="007C3EC4">
    <w:pPr>
      <w:pStyle w:val="Footer"/>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195</w:t>
    </w:r>
    <w:r w:rsidR="00832C7A" w:rsidRPr="00716587">
      <w:rPr>
        <w:szCs w:val="18"/>
      </w:rPr>
      <w:fldChar w:fldCharType="end"/>
    </w:r>
    <w:r>
      <w:rPr>
        <w:szCs w:val="18"/>
      </w:rPr>
      <w:tab/>
      <w:t>ISO New England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F54C43" w:rsidRDefault="003C78A4" w:rsidP="00757C8C">
    <w:pPr>
      <w:pStyle w:val="Footer"/>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8E401E">
      <w:rPr>
        <w:noProof/>
        <w:szCs w:val="18"/>
      </w:rPr>
      <w:t>ii</w:t>
    </w:r>
    <w:r w:rsidR="00832C7A" w:rsidRPr="00716587">
      <w:rPr>
        <w:szCs w:val="18"/>
      </w:rPr>
      <w:fldChar w:fldCharType="end"/>
    </w:r>
    <w:r>
      <w:rPr>
        <w:szCs w:val="18"/>
      </w:rPr>
      <w:tab/>
      <w:t>ISO New England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8D19E7" w:rsidRDefault="003C78A4" w:rsidP="008D19E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076687" w:rsidRDefault="003C78A4" w:rsidP="00076687">
    <w:pPr>
      <w:pStyle w:val="Footer"/>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121</w:t>
    </w:r>
    <w:r w:rsidR="00832C7A" w:rsidRPr="00716587">
      <w:rPr>
        <w:szCs w:val="18"/>
      </w:rPr>
      <w:fldChar w:fldCharType="end"/>
    </w:r>
    <w:r>
      <w:rPr>
        <w:szCs w:val="18"/>
      </w:rPr>
      <w:tab/>
      <w:t>ISO New England Inc.</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F54C43" w:rsidRDefault="003C78A4" w:rsidP="00076687">
    <w:pPr>
      <w:pStyle w:val="Footer"/>
      <w:tabs>
        <w:tab w:val="clear" w:pos="4500"/>
        <w:tab w:val="clear" w:pos="9360"/>
        <w:tab w:val="center" w:pos="6120"/>
        <w:tab w:val="right" w:pos="13320"/>
      </w:tabs>
      <w:spacing w:after="0"/>
      <w:jc w:val="both"/>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123</w:t>
    </w:r>
    <w:r w:rsidR="00832C7A" w:rsidRPr="00716587">
      <w:rPr>
        <w:szCs w:val="18"/>
      </w:rPr>
      <w:fldChar w:fldCharType="end"/>
    </w:r>
    <w:r>
      <w:rPr>
        <w:szCs w:val="18"/>
      </w:rPr>
      <w:tab/>
      <w:t>ISO New England Inc.</w:t>
    </w:r>
    <w:r>
      <w:rPr>
        <w:szCs w:val="18"/>
      </w:rPr>
      <w:tab/>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076687" w:rsidRDefault="003C78A4" w:rsidP="00076687">
    <w:pPr>
      <w:pStyle w:val="Footer"/>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147</w:t>
    </w:r>
    <w:r w:rsidR="00832C7A" w:rsidRPr="00716587">
      <w:rPr>
        <w:szCs w:val="18"/>
      </w:rPr>
      <w:fldChar w:fldCharType="end"/>
    </w:r>
    <w:r>
      <w:rPr>
        <w:szCs w:val="18"/>
      </w:rPr>
      <w:tab/>
      <w:t>ISO New England Inc.</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F54C43" w:rsidRDefault="003C78A4" w:rsidP="00076687">
    <w:pPr>
      <w:pStyle w:val="Footer"/>
      <w:tabs>
        <w:tab w:val="clear" w:pos="4500"/>
        <w:tab w:val="clear" w:pos="9360"/>
        <w:tab w:val="center" w:pos="6480"/>
        <w:tab w:val="right" w:pos="12960"/>
      </w:tabs>
      <w:spacing w:after="0"/>
      <w:ind w:right="0"/>
      <w:jc w:val="both"/>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148</w:t>
    </w:r>
    <w:r w:rsidR="00832C7A" w:rsidRPr="00716587">
      <w:rPr>
        <w:szCs w:val="18"/>
      </w:rPr>
      <w:fldChar w:fldCharType="end"/>
    </w:r>
    <w:r>
      <w:rPr>
        <w:szCs w:val="18"/>
      </w:rPr>
      <w:tab/>
      <w:t>ISO New England Inc.</w:t>
    </w:r>
    <w:r>
      <w:rPr>
        <w:i/>
        <w:szCs w:val="18"/>
      </w:rPr>
      <w:tab/>
    </w:r>
    <w:r>
      <w:rPr>
        <w:szCs w:val="18"/>
      </w:rPr>
      <w:tab/>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076687" w:rsidRDefault="003C78A4" w:rsidP="00076687">
    <w:pPr>
      <w:pStyle w:val="Footer"/>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155</w:t>
    </w:r>
    <w:r w:rsidR="00832C7A" w:rsidRPr="00716587">
      <w:rPr>
        <w:szCs w:val="18"/>
      </w:rPr>
      <w:fldChar w:fldCharType="end"/>
    </w:r>
    <w:r>
      <w:rPr>
        <w:szCs w:val="18"/>
      </w:rPr>
      <w:tab/>
      <w:t>ISO New England Inc.</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F54C43" w:rsidRDefault="003C78A4" w:rsidP="007C3EC4">
    <w:pPr>
      <w:pStyle w:val="Footer"/>
      <w:tabs>
        <w:tab w:val="clear" w:pos="4500"/>
        <w:tab w:val="clear" w:pos="9360"/>
        <w:tab w:val="center" w:pos="6480"/>
        <w:tab w:val="right" w:pos="13320"/>
      </w:tabs>
    </w:pPr>
    <w:r w:rsidRPr="00C52D24">
      <w:rPr>
        <w:i/>
        <w:szCs w:val="18"/>
      </w:rPr>
      <w:t>20</w:t>
    </w:r>
    <w:r>
      <w:rPr>
        <w:i/>
        <w:szCs w:val="18"/>
      </w:rPr>
      <w:t>10</w:t>
    </w:r>
    <w:r w:rsidRPr="00C52D24">
      <w:rPr>
        <w:i/>
        <w:szCs w:val="18"/>
      </w:rPr>
      <w:t xml:space="preserve"> Regional System Plan</w:t>
    </w:r>
    <w:r>
      <w:rPr>
        <w:i/>
        <w:szCs w:val="18"/>
      </w:rPr>
      <w:tab/>
    </w:r>
    <w:r w:rsidR="00832C7A" w:rsidRPr="00716587">
      <w:rPr>
        <w:szCs w:val="18"/>
      </w:rPr>
      <w:fldChar w:fldCharType="begin"/>
    </w:r>
    <w:r w:rsidRPr="00716587">
      <w:rPr>
        <w:szCs w:val="18"/>
      </w:rPr>
      <w:instrText xml:space="preserve"> PAGE </w:instrText>
    </w:r>
    <w:r w:rsidR="00832C7A" w:rsidRPr="00716587">
      <w:rPr>
        <w:szCs w:val="18"/>
      </w:rPr>
      <w:fldChar w:fldCharType="separate"/>
    </w:r>
    <w:r w:rsidR="00F6159C">
      <w:rPr>
        <w:noProof/>
        <w:szCs w:val="18"/>
      </w:rPr>
      <w:t>156</w:t>
    </w:r>
    <w:r w:rsidR="00832C7A" w:rsidRPr="00716587">
      <w:rPr>
        <w:szCs w:val="18"/>
      </w:rPr>
      <w:fldChar w:fldCharType="end"/>
    </w:r>
    <w:r>
      <w:rPr>
        <w:szCs w:val="18"/>
      </w:rPr>
      <w:tab/>
      <w:t>ISO New England Inc.</w:t>
    </w:r>
    <w:r>
      <w:rPr>
        <w:szCs w:val="18"/>
      </w:rPr>
      <w:tab/>
    </w:r>
    <w:r>
      <w:rPr>
        <w:szCs w:val="18"/>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989" w:rsidRDefault="001E0989" w:rsidP="00BA5816">
      <w:pPr>
        <w:spacing w:after="0" w:line="240" w:lineRule="auto"/>
      </w:pPr>
      <w:r>
        <w:separator/>
      </w:r>
    </w:p>
  </w:footnote>
  <w:footnote w:type="continuationSeparator" w:id="0">
    <w:p w:rsidR="001E0989" w:rsidRDefault="001E0989" w:rsidP="00BA5816">
      <w:pPr>
        <w:spacing w:after="0" w:line="240" w:lineRule="auto"/>
      </w:pPr>
      <w:r>
        <w:continuationSeparator/>
      </w:r>
    </w:p>
  </w:footnote>
  <w:footnote w:type="continuationNotice" w:id="1">
    <w:p w:rsidR="001E0989" w:rsidRPr="005B6D77" w:rsidRDefault="001E0989" w:rsidP="00BA5816">
      <w:pPr>
        <w:pStyle w:val="Footer"/>
        <w:spacing w:after="0"/>
        <w:ind w:right="0"/>
      </w:pPr>
    </w:p>
  </w:footnote>
  <w:footnote w:id="2">
    <w:p w:rsidR="003C78A4" w:rsidRPr="00C24DB4" w:rsidRDefault="003C78A4" w:rsidP="00EC0545">
      <w:pPr>
        <w:pStyle w:val="FootnoteText"/>
      </w:pPr>
      <w:r w:rsidRPr="00890D42">
        <w:rPr>
          <w:rStyle w:val="FootnoteReference"/>
        </w:rPr>
        <w:footnoteRef/>
      </w:r>
      <w:r w:rsidRPr="00890D42">
        <w:t xml:space="preserve"> </w:t>
      </w:r>
      <w:r w:rsidRPr="00890D42">
        <w:rPr>
          <w:i/>
        </w:rPr>
        <w:t xml:space="preserve">ISO New England Open Access Transmission Tariff, </w:t>
      </w:r>
      <w:r w:rsidRPr="007B0E1A">
        <w:t>Section II, Attachment K,</w:t>
      </w:r>
      <w:r w:rsidRPr="00890D42">
        <w:t xml:space="preserve"> “Regional System Planning Process” (December</w:t>
      </w:r>
      <w:r>
        <w:t> </w:t>
      </w:r>
      <w:r w:rsidRPr="00890D42">
        <w:t xml:space="preserve">7, 2007); </w:t>
      </w:r>
      <w:hyperlink r:id="rId1" w:history="1">
        <w:r w:rsidRPr="00890D42">
          <w:rPr>
            <w:rStyle w:val="Hyperlink"/>
            <w:color w:val="000000" w:themeColor="text1"/>
            <w:u w:val="none"/>
          </w:rPr>
          <w:t>http://www.iso-ne.com/regulatory/tariff/sect_2/oatt/2-1-09_sect_ii.pdf</w:t>
        </w:r>
      </w:hyperlink>
      <w:r w:rsidRPr="00890D42">
        <w:t xml:space="preserve">. </w:t>
      </w:r>
      <w:r w:rsidRPr="00890D42">
        <w:rPr>
          <w:i/>
        </w:rPr>
        <w:t>ISO New England Inc. Transmission, Markets, and Services Tariff</w:t>
      </w:r>
      <w:r>
        <w:rPr>
          <w:i/>
        </w:rPr>
        <w:t>,</w:t>
      </w:r>
      <w:r w:rsidRPr="00890D42">
        <w:t xml:space="preserve"> Part II, Section 48 (20</w:t>
      </w:r>
      <w:r>
        <w:t>10</w:t>
      </w:r>
      <w:r w:rsidRPr="00890D42">
        <w:t xml:space="preserve">); </w:t>
      </w:r>
      <w:hyperlink r:id="rId2" w:history="1">
        <w:r w:rsidRPr="00890D42">
          <w:rPr>
            <w:rStyle w:val="Hyperlink"/>
            <w:color w:val="000000" w:themeColor="text1"/>
            <w:u w:val="none"/>
          </w:rPr>
          <w:t>http://www.iso-ne.com/regulatory/tariff/index.html.</w:t>
        </w:r>
      </w:hyperlink>
    </w:p>
  </w:footnote>
  <w:footnote w:id="3">
    <w:p w:rsidR="003C78A4" w:rsidRDefault="003C78A4" w:rsidP="00EC0545">
      <w:pPr>
        <w:pStyle w:val="FootnoteText"/>
      </w:pPr>
      <w:r>
        <w:rPr>
          <w:rStyle w:val="FootnoteReference"/>
        </w:rPr>
        <w:footnoteRef/>
      </w:r>
      <w:r w:rsidRPr="00890D42">
        <w:t xml:space="preserve"> NEPOOL was formed by the region’s private and municipal utilities to foster cooperation and coordination among the utilities in the six-state region and ensure a dependable supply of electricity. Today, NEPOOL members serve as ISO stakeholders and market participants. More information on NEPOOL participants is available at</w:t>
      </w:r>
      <w:r w:rsidRPr="00890D42">
        <w:br/>
        <w:t>http://www.iso-ne.com/committees/nepool_part/index.html.</w:t>
      </w:r>
    </w:p>
  </w:footnote>
  <w:footnote w:id="4">
    <w:p w:rsidR="003C78A4" w:rsidRDefault="003C78A4" w:rsidP="00EC0545">
      <w:pPr>
        <w:pStyle w:val="FootnoteText"/>
      </w:pPr>
      <w:r>
        <w:rPr>
          <w:rStyle w:val="FootnoteReference"/>
        </w:rPr>
        <w:footnoteRef/>
      </w:r>
      <w:r w:rsidRPr="00890D42">
        <w:t xml:space="preserve"> Past RSPs are archived at </w:t>
      </w:r>
      <w:hyperlink r:id="rId3" w:history="1">
        <w:r w:rsidRPr="00890D42">
          <w:rPr>
            <w:rStyle w:val="Hyperlink"/>
            <w:color w:val="000000" w:themeColor="text1"/>
            <w:u w:val="none"/>
          </w:rPr>
          <w:t>http://www.iso-ne.com/trans/rsp/index.html</w:t>
        </w:r>
      </w:hyperlink>
      <w:r w:rsidRPr="00890D42">
        <w:t xml:space="preserve">. For access to supporting reports, contact ISO Customer Service at </w:t>
      </w:r>
      <w:r w:rsidRPr="00890D42">
        <w:rPr>
          <w:color w:val="000000"/>
        </w:rPr>
        <w:t xml:space="preserve">413-540-4220. </w:t>
      </w:r>
    </w:p>
  </w:footnote>
  <w:footnote w:id="5">
    <w:p w:rsidR="003C78A4" w:rsidRDefault="003C78A4" w:rsidP="00EC0545">
      <w:pPr>
        <w:pStyle w:val="FootnoteText"/>
      </w:pPr>
      <w:r w:rsidRPr="007B7547">
        <w:rPr>
          <w:rStyle w:val="FootnoteReference"/>
        </w:rPr>
        <w:footnoteRef/>
      </w:r>
      <w:r w:rsidRPr="007B7547">
        <w:t xml:space="preserve"> </w:t>
      </w:r>
      <w:r>
        <w:t>T</w:t>
      </w:r>
      <w:r w:rsidRPr="007B7547">
        <w:t>his total includes seven projects in 2002, 26 projects in 2003, 30 projects in 2004, 51 projects in 2005, 55 projects in 2006, 36</w:t>
      </w:r>
      <w:r>
        <w:t> </w:t>
      </w:r>
      <w:r w:rsidRPr="007B7547">
        <w:t>projects in 2007, and 64 projects in 2008</w:t>
      </w:r>
      <w:r>
        <w:t xml:space="preserve"> based on the June </w:t>
      </w:r>
      <w:r w:rsidRPr="0050566C">
        <w:rPr>
          <w:i/>
        </w:rPr>
        <w:t>2010 RSP Project List</w:t>
      </w:r>
      <w:r w:rsidRPr="007B7547">
        <w:t>. An additional 38 projects were placed in service in 2009, and an additional 34 projects are expected to be placed in service in 2010.</w:t>
      </w:r>
    </w:p>
  </w:footnote>
  <w:footnote w:id="6">
    <w:p w:rsidR="003C78A4" w:rsidRDefault="003C78A4">
      <w:pPr>
        <w:shd w:val="clear" w:color="auto" w:fill="FFFFFF"/>
        <w:spacing w:after="80" w:line="240" w:lineRule="auto"/>
        <w:rPr>
          <w:rFonts w:cs="Times New Roman"/>
          <w:sz w:val="18"/>
          <w:szCs w:val="18"/>
        </w:rPr>
      </w:pPr>
      <w:r>
        <w:rPr>
          <w:rStyle w:val="FootnoteReference"/>
          <w:szCs w:val="18"/>
        </w:rPr>
        <w:footnoteRef/>
      </w:r>
      <w:r w:rsidRPr="007B7547">
        <w:rPr>
          <w:rFonts w:cs="Times New Roman"/>
          <w:sz w:val="18"/>
          <w:szCs w:val="18"/>
        </w:rPr>
        <w:t xml:space="preserve"> </w:t>
      </w:r>
      <w:r>
        <w:rPr>
          <w:rFonts w:cs="Times New Roman"/>
          <w:sz w:val="18"/>
          <w:szCs w:val="18"/>
        </w:rPr>
        <w:t xml:space="preserve">The </w:t>
      </w:r>
      <w:r w:rsidRPr="007B7547">
        <w:rPr>
          <w:rFonts w:cs="Times New Roman"/>
          <w:sz w:val="18"/>
          <w:szCs w:val="18"/>
        </w:rPr>
        <w:t>ISO</w:t>
      </w:r>
      <w:r>
        <w:rPr>
          <w:rFonts w:cs="Times New Roman"/>
          <w:sz w:val="18"/>
          <w:szCs w:val="18"/>
        </w:rPr>
        <w:t>’s</w:t>
      </w:r>
      <w:r w:rsidRPr="007B7547">
        <w:rPr>
          <w:rFonts w:cs="Times New Roman"/>
          <w:sz w:val="18"/>
          <w:szCs w:val="18"/>
        </w:rPr>
        <w:t xml:space="preserve"> </w:t>
      </w:r>
      <w:r w:rsidRPr="007B7547">
        <w:rPr>
          <w:rFonts w:cs="Times New Roman"/>
          <w:i/>
          <w:iCs/>
          <w:sz w:val="18"/>
          <w:szCs w:val="18"/>
        </w:rPr>
        <w:t>2010–2019 Forecast Report of Capacity, Energy, Loads, and Transmission</w:t>
      </w:r>
      <w:r w:rsidRPr="007B7547">
        <w:rPr>
          <w:rFonts w:cs="Times New Roman"/>
          <w:sz w:val="18"/>
          <w:szCs w:val="18"/>
        </w:rPr>
        <w:t xml:space="preserve"> (</w:t>
      </w:r>
      <w:r>
        <w:rPr>
          <w:rFonts w:cs="Times New Roman"/>
          <w:sz w:val="18"/>
          <w:szCs w:val="18"/>
        </w:rPr>
        <w:t xml:space="preserve">May 18, </w:t>
      </w:r>
      <w:r w:rsidRPr="007B7547">
        <w:rPr>
          <w:rFonts w:cs="Times New Roman"/>
          <w:sz w:val="18"/>
          <w:szCs w:val="18"/>
        </w:rPr>
        <w:t>2010); copies of all CELT reports are located at http://www.iso-ne.com/trans/celt/index.html.</w:t>
      </w:r>
      <w:r w:rsidRPr="007B7547">
        <w:rPr>
          <w:rFonts w:eastAsia="Times New Roman" w:cs="Times New Roman"/>
          <w:color w:val="000000" w:themeColor="text1"/>
          <w:sz w:val="18"/>
          <w:szCs w:val="18"/>
        </w:rPr>
        <w:t xml:space="preserve"> </w:t>
      </w:r>
    </w:p>
  </w:footnote>
  <w:footnote w:id="7">
    <w:p w:rsidR="003C78A4" w:rsidRDefault="003C78A4" w:rsidP="00EC0545">
      <w:pPr>
        <w:pStyle w:val="FootnoteText"/>
      </w:pPr>
      <w:r w:rsidRPr="007B7547">
        <w:rPr>
          <w:rStyle w:val="FootnoteReference"/>
        </w:rPr>
        <w:footnoteRef/>
      </w:r>
      <w:r w:rsidRPr="007B7547">
        <w:t xml:space="preserve"> </w:t>
      </w:r>
      <w:r>
        <w:t xml:space="preserve">DOE, </w:t>
      </w:r>
      <w:r w:rsidRPr="007B7547">
        <w:rPr>
          <w:i/>
        </w:rPr>
        <w:t>2009 National Electric Transmission Congestion Study</w:t>
      </w:r>
      <w:r w:rsidRPr="007B7547">
        <w:t xml:space="preserve"> (December 2009); http://www.congestion09.anl.gov/documents/docs/Congestion_Study_2009.pdf. </w:t>
      </w:r>
    </w:p>
  </w:footnote>
  <w:footnote w:id="8">
    <w:p w:rsidR="003C78A4" w:rsidRDefault="003C78A4" w:rsidP="00EC0545">
      <w:pPr>
        <w:pStyle w:val="FootnoteText"/>
      </w:pPr>
      <w:r w:rsidRPr="007B7547">
        <w:rPr>
          <w:rStyle w:val="FootnoteReference"/>
        </w:rPr>
        <w:footnoteRef/>
      </w:r>
      <w:r w:rsidRPr="007B7547">
        <w:t xml:space="preserve"> PAC materials and meeting minutes are available at http://www.iso-ne.com/committees/comm_wkgrps/prtcpnts_comm/pac/index.html.</w:t>
      </w:r>
    </w:p>
  </w:footnote>
  <w:footnote w:id="9">
    <w:p w:rsidR="003C78A4" w:rsidRDefault="003C78A4" w:rsidP="00EC0545">
      <w:pPr>
        <w:pStyle w:val="FootnoteText"/>
      </w:pPr>
      <w:r w:rsidRPr="007B7547">
        <w:rPr>
          <w:rStyle w:val="FootnoteReference"/>
        </w:rPr>
        <w:footnoteRef/>
      </w:r>
      <w:r w:rsidRPr="007B7547">
        <w:t xml:space="preserve"> </w:t>
      </w:r>
      <w:r w:rsidRPr="00F2358B">
        <w:rPr>
          <w:i/>
        </w:rPr>
        <w:t xml:space="preserve">ISO New England Inc. Transmission, Markets, and Services </w:t>
      </w:r>
      <w:r w:rsidRPr="002A1018">
        <w:rPr>
          <w:i/>
        </w:rPr>
        <w:t>Tariff</w:t>
      </w:r>
      <w:r>
        <w:t xml:space="preserve">, </w:t>
      </w:r>
      <w:r w:rsidRPr="002A1018">
        <w:t>Part II, Section 48 (ISO</w:t>
      </w:r>
      <w:r w:rsidRPr="007B7547">
        <w:t xml:space="preserve"> tariff) (20</w:t>
      </w:r>
      <w:r>
        <w:t>10</w:t>
      </w:r>
      <w:r w:rsidRPr="007B7547">
        <w:t xml:space="preserve">); </w:t>
      </w:r>
      <w:hyperlink r:id="rId4" w:history="1">
        <w:r w:rsidRPr="007B7547">
          <w:rPr>
            <w:rStyle w:val="Hyperlink"/>
            <w:color w:val="000000" w:themeColor="text1"/>
            <w:u w:val="none"/>
          </w:rPr>
          <w:t>http://www.iso-ne.com/regulatory/tariff/index.html</w:t>
        </w:r>
      </w:hyperlink>
      <w:r w:rsidRPr="007B7547">
        <w:t xml:space="preserve">. Information on NERC requirements is available at </w:t>
      </w:r>
      <w:hyperlink r:id="rId5" w:history="1">
        <w:r w:rsidRPr="007B7547">
          <w:rPr>
            <w:rStyle w:val="Hyperlink"/>
            <w:color w:val="000000" w:themeColor="text1"/>
            <w:u w:val="none"/>
          </w:rPr>
          <w:t>http://www.nerc.com</w:t>
        </w:r>
      </w:hyperlink>
      <w:r w:rsidRPr="007B7547">
        <w:t xml:space="preserve">. Information </w:t>
      </w:r>
      <w:r w:rsidRPr="002A1018">
        <w:t>on NPCC is available</w:t>
      </w:r>
      <w:r w:rsidRPr="007B7547">
        <w:t xml:space="preserve"> at http://www.npcc.org/.</w:t>
      </w:r>
    </w:p>
  </w:footnote>
  <w:footnote w:id="10">
    <w:p w:rsidR="003C78A4" w:rsidRDefault="003C78A4" w:rsidP="00EC0545">
      <w:pPr>
        <w:pStyle w:val="FootnoteText"/>
      </w:pPr>
      <w:r w:rsidRPr="007B7547">
        <w:rPr>
          <w:rStyle w:val="FootnoteReference"/>
        </w:rPr>
        <w:footnoteRef/>
      </w:r>
      <w:r w:rsidRPr="007B7547">
        <w:t xml:space="preserve"> </w:t>
      </w:r>
      <w:r w:rsidRPr="00F2358B">
        <w:rPr>
          <w:i/>
        </w:rPr>
        <w:t>ISO New England Open Access Transmission Tariff</w:t>
      </w:r>
      <w:r w:rsidRPr="007B7547">
        <w:t>, Section II, Attachment K, “Regional System Planning Process” (December</w:t>
      </w:r>
      <w:r>
        <w:t> </w:t>
      </w:r>
      <w:r w:rsidRPr="007B7547">
        <w:t>7, 2007); http://www.iso-ne.com/regulatory/tariff/sect_2/oatt/2-1-09_sect_ii.pdf.</w:t>
      </w:r>
    </w:p>
  </w:footnote>
  <w:footnote w:id="11">
    <w:p w:rsidR="003C78A4" w:rsidRDefault="003C78A4" w:rsidP="00EC0545">
      <w:pPr>
        <w:pStyle w:val="FootnoteText"/>
      </w:pPr>
      <w:r w:rsidRPr="007B7547">
        <w:rPr>
          <w:rStyle w:val="FootnoteReference"/>
        </w:rPr>
        <w:footnoteRef/>
      </w:r>
      <w:r w:rsidRPr="007B7547">
        <w:t xml:space="preserve"> In general, </w:t>
      </w:r>
      <w:r w:rsidRPr="00F2358B">
        <w:rPr>
          <w:i/>
        </w:rPr>
        <w:t>supply resources</w:t>
      </w:r>
      <w:r w:rsidRPr="007B7547">
        <w:t xml:space="preserve"> are generating units that use nuclear energy, fossil fuels (such as natural gas, oil, or coal), or renewable fuels (such as water, wind, or the sun) to produce electricity. </w:t>
      </w:r>
      <w:r w:rsidRPr="00F2358B">
        <w:rPr>
          <w:i/>
          <w:iCs/>
        </w:rPr>
        <w:t>Demand</w:t>
      </w:r>
      <w:r w:rsidRPr="00F2358B">
        <w:rPr>
          <w:i/>
        </w:rPr>
        <w:t xml:space="preserve"> resources</w:t>
      </w:r>
      <w:r w:rsidRPr="007B7547">
        <w:t xml:space="preserve"> are measures that reduce consumer demand for electricity from the power system, such as using energy-efficient appliances and lighting, advanced cooling and heating technologies, electronic devices to cycle air conditioners on and off, and equipment to shift load to off-peak hours of demand. They also include using </w:t>
      </w:r>
      <w:r w:rsidRPr="00F2358B">
        <w:rPr>
          <w:i/>
        </w:rPr>
        <w:t>distributed generation</w:t>
      </w:r>
      <w:r w:rsidRPr="007B7547">
        <w:t xml:space="preserve"> (DG) (i.e., electricity generated on site).</w:t>
      </w:r>
    </w:p>
  </w:footnote>
  <w:footnote w:id="12">
    <w:p w:rsidR="003C78A4" w:rsidRDefault="003C78A4" w:rsidP="00EC0545">
      <w:pPr>
        <w:pStyle w:val="FootnoteText"/>
      </w:pPr>
      <w:r w:rsidRPr="007B7547">
        <w:rPr>
          <w:rStyle w:val="FootnoteReference"/>
        </w:rPr>
        <w:footnoteRef/>
      </w:r>
      <w:r w:rsidRPr="007B7547">
        <w:t xml:space="preserve"> </w:t>
      </w:r>
      <w:r w:rsidRPr="00F2358B">
        <w:rPr>
          <w:i/>
        </w:rPr>
        <w:t>Other demand resources</w:t>
      </w:r>
      <w:r w:rsidRPr="007B7547">
        <w:t xml:space="preserve"> consist of three types of demand resources: energy efficiency, load management, and distributed generation. These types of resources typically are nondispatchable and tend to reduce end-use demand on the electricity network across many hours but usually not in direct response to changing hourly wholesale prices. Refer to the ISO’s </w:t>
      </w:r>
      <w:r w:rsidRPr="00F2358B">
        <w:rPr>
          <w:i/>
        </w:rPr>
        <w:t>2009 Regional System Plan</w:t>
      </w:r>
      <w:r w:rsidRPr="007B7547">
        <w:t xml:space="preserve"> (RSP09)</w:t>
      </w:r>
      <w:r>
        <w:t xml:space="preserve">, </w:t>
      </w:r>
      <w:r w:rsidRPr="007B7547">
        <w:t>Section 4.2.4.3</w:t>
      </w:r>
      <w:r>
        <w:t>,</w:t>
      </w:r>
      <w:r w:rsidRPr="007B7547">
        <w:t xml:space="preserve"> (October 15, 2009)</w:t>
      </w:r>
      <w:r>
        <w:t xml:space="preserve"> </w:t>
      </w:r>
      <w:r w:rsidRPr="007B7547">
        <w:t>for additional information on ODRs; http://www.iso-ne.com/trans/rsp/2009/index.</w:t>
      </w:r>
    </w:p>
  </w:footnote>
  <w:footnote w:id="13">
    <w:p w:rsidR="003C78A4" w:rsidRDefault="003C78A4" w:rsidP="00EC0545">
      <w:pPr>
        <w:pStyle w:val="FootnoteText"/>
      </w:pPr>
      <w:r w:rsidRPr="007B7547">
        <w:rPr>
          <w:rStyle w:val="FootnoteReference"/>
        </w:rPr>
        <w:footnoteRef/>
      </w:r>
      <w:r w:rsidRPr="007B7547">
        <w:t xml:space="preserve"> </w:t>
      </w:r>
      <w:r w:rsidRPr="00F2358B">
        <w:rPr>
          <w:i/>
        </w:rPr>
        <w:t>Weather-normalized</w:t>
      </w:r>
      <w:r w:rsidRPr="007B7547">
        <w:t xml:space="preserve"> results are those that would have been observed had the weather been the same as the long-term average weather.</w:t>
      </w:r>
    </w:p>
  </w:footnote>
  <w:footnote w:id="14">
    <w:p w:rsidR="003C78A4" w:rsidRDefault="003C78A4" w:rsidP="00EC0545">
      <w:pPr>
        <w:pStyle w:val="FootnoteText"/>
      </w:pPr>
      <w:r w:rsidRPr="007B7547">
        <w:rPr>
          <w:rStyle w:val="FootnoteReference"/>
        </w:rPr>
        <w:footnoteRef/>
      </w:r>
      <w:r w:rsidRPr="007B7547">
        <w:t xml:space="preserve"> A </w:t>
      </w:r>
      <w:r w:rsidRPr="00F2358B">
        <w:rPr>
          <w:i/>
        </w:rPr>
        <w:t>capacity commitment period</w:t>
      </w:r>
      <w:r w:rsidRPr="007B7547">
        <w:t xml:space="preserve"> runs from June 1 through May 31 of the following year. Existing capacity resources are required to participate in the FCA and are automatically entered into the capacity auction. However, these resources may indicate a desire to be removed from the FCA by submitting a delist bid before the existing-capacity qualification deadline.</w:t>
      </w:r>
      <w:r w:rsidRPr="00C323B0">
        <w:t xml:space="preserve"> </w:t>
      </w:r>
    </w:p>
  </w:footnote>
  <w:footnote w:id="15">
    <w:p w:rsidR="003C78A4" w:rsidRDefault="003C78A4" w:rsidP="00EC0545">
      <w:pPr>
        <w:pStyle w:val="FootnoteText"/>
      </w:pPr>
      <w:r>
        <w:rPr>
          <w:rStyle w:val="FootnoteReference"/>
        </w:rPr>
        <w:footnoteRef/>
      </w:r>
      <w:r w:rsidRPr="00890D42">
        <w:t xml:space="preserve"> </w:t>
      </w:r>
      <w:r w:rsidRPr="00890D42">
        <w:rPr>
          <w:i/>
        </w:rPr>
        <w:t>Order on Forward Capacity Market Revisions and Related Complaints</w:t>
      </w:r>
      <w:r w:rsidRPr="00890D42">
        <w:t xml:space="preserve">, FERC Docket Nos. ER10-787-000, EL10-50-000, and EL10-57-000 (April 23, 2010); </w:t>
      </w:r>
      <w:hyperlink w:history="1"/>
      <w:hyperlink r:id="rId6" w:history="1">
        <w:r w:rsidRPr="00890D42">
          <w:rPr>
            <w:rStyle w:val="Hyperlink"/>
            <w:color w:val="000000" w:themeColor="text1"/>
            <w:u w:val="none"/>
          </w:rPr>
          <w:t>http://www.iso-ne.com/regulatory/ferc/orders/2010/apr/er10-787-000_el10-50_el10-57_order_fcm_redesign.pdf</w:t>
        </w:r>
      </w:hyperlink>
      <w:r w:rsidRPr="00890D42">
        <w:t xml:space="preserve">. </w:t>
      </w:r>
    </w:p>
  </w:footnote>
  <w:footnote w:id="16">
    <w:p w:rsidR="003C78A4" w:rsidRDefault="003C78A4" w:rsidP="00EC0545">
      <w:pPr>
        <w:pStyle w:val="FootnoteText"/>
      </w:pPr>
      <w:r>
        <w:rPr>
          <w:rStyle w:val="FootnoteReference"/>
        </w:rPr>
        <w:footnoteRef/>
      </w:r>
      <w:r w:rsidRPr="00890D42">
        <w:t xml:space="preserve"> To conduct some RSP studies, the region is divided into various areas related to their electrical system characteristics. </w:t>
      </w:r>
      <w:r w:rsidRPr="00890D42">
        <w:rPr>
          <w:i/>
        </w:rPr>
        <w:t xml:space="preserve">Greater Connecticut </w:t>
      </w:r>
      <w:r w:rsidRPr="00890D42">
        <w:t xml:space="preserve">is an area that has boundaries similar to the State of Connecticut but is slightly smaller because of electrical system limitations near Connecticut’s borders with western Massachusetts and Rhode Island. </w:t>
      </w:r>
      <w:r w:rsidRPr="00890D42">
        <w:rPr>
          <w:i/>
        </w:rPr>
        <w:t>Greater Southwest Connecticut</w:t>
      </w:r>
      <w:r w:rsidRPr="00890D42">
        <w:t xml:space="preserve"> includes southwestern and western portions of Connecticut. The </w:t>
      </w:r>
      <w:r w:rsidRPr="00890D42">
        <w:rPr>
          <w:i/>
        </w:rPr>
        <w:t>BOSTON</w:t>
      </w:r>
      <w:r w:rsidRPr="00890D42">
        <w:t xml:space="preserve"> area (all capitalized) includes the city of Boston and northeast Massachusetts. (See </w:t>
      </w:r>
      <w:r w:rsidR="00832C7A">
        <w:fldChar w:fldCharType="begin"/>
      </w:r>
      <w:r>
        <w:instrText xml:space="preserve"> REF _Ref229901815 \h </w:instrText>
      </w:r>
      <w:r w:rsidR="00832C7A">
        <w:fldChar w:fldCharType="separate"/>
      </w:r>
      <w:r w:rsidR="00E5699E">
        <w:t>Figure </w:t>
      </w:r>
      <w:r w:rsidR="00E5699E">
        <w:rPr>
          <w:noProof/>
        </w:rPr>
        <w:t>2</w:t>
      </w:r>
      <w:r w:rsidR="00E5699E">
        <w:noBreakHyphen/>
      </w:r>
      <w:r w:rsidR="00E5699E">
        <w:rPr>
          <w:noProof/>
        </w:rPr>
        <w:t>2</w:t>
      </w:r>
      <w:r w:rsidR="00832C7A">
        <w:fldChar w:fldCharType="end"/>
      </w:r>
      <w:r>
        <w:t>.</w:t>
      </w:r>
      <w:r w:rsidRPr="00890D42">
        <w:t>)</w:t>
      </w:r>
    </w:p>
  </w:footnote>
  <w:footnote w:id="17">
    <w:p w:rsidR="003C78A4" w:rsidRDefault="003C78A4">
      <w:pPr>
        <w:spacing w:after="80" w:line="240" w:lineRule="auto"/>
        <w:rPr>
          <w:rFonts w:cs="Times New Roman"/>
          <w:sz w:val="18"/>
          <w:szCs w:val="18"/>
        </w:rPr>
      </w:pPr>
      <w:r>
        <w:rPr>
          <w:rStyle w:val="FootnoteReference"/>
          <w:szCs w:val="18"/>
        </w:rPr>
        <w:footnoteRef/>
      </w:r>
      <w:r w:rsidRPr="00890D42">
        <w:rPr>
          <w:rFonts w:cs="Times New Roman"/>
          <w:sz w:val="18"/>
          <w:szCs w:val="18"/>
        </w:rPr>
        <w:t xml:space="preserve"> The ISO develops the representative operating-reserve requirements of these major import areas as ranges to account for future uncertainties about the availability of resources, load variations due to weather, and other factors. </w:t>
      </w:r>
    </w:p>
  </w:footnote>
  <w:footnote w:id="18">
    <w:p w:rsidR="003C78A4" w:rsidRDefault="003C78A4" w:rsidP="00EC0545">
      <w:pPr>
        <w:pStyle w:val="FootnoteText"/>
      </w:pPr>
      <w:r>
        <w:rPr>
          <w:rStyle w:val="FootnoteReference"/>
        </w:rPr>
        <w:footnoteRef/>
      </w:r>
      <w:r w:rsidRPr="00890D42">
        <w:t xml:space="preserve"> </w:t>
      </w:r>
      <w:r w:rsidRPr="00890D42">
        <w:rPr>
          <w:i/>
        </w:rPr>
        <w:t>In-merit generation</w:t>
      </w:r>
      <w:r w:rsidRPr="00890D42">
        <w:t xml:space="preserve"> is when the generators with the lowest-price offers are committed and dispatched first, and increasingly higher-priced generators are brought on line as demand increases. </w:t>
      </w:r>
      <w:r w:rsidRPr="00890D42">
        <w:rPr>
          <w:i/>
        </w:rPr>
        <w:t>Out-of-merit dispatch</w:t>
      </w:r>
      <w:r w:rsidRPr="00890D42">
        <w:t xml:space="preserve"> is when higher-priced generators are committed and dispatched before lower-priced resources to respect system reliability requirements, which results in increased costs to load.</w:t>
      </w:r>
    </w:p>
  </w:footnote>
  <w:footnote w:id="19">
    <w:p w:rsidR="003C78A4" w:rsidRDefault="003C78A4" w:rsidP="00EC0545">
      <w:pPr>
        <w:pStyle w:val="FootnoteText"/>
      </w:pPr>
      <w:r>
        <w:rPr>
          <w:rStyle w:val="FootnoteReference"/>
        </w:rPr>
        <w:footnoteRef/>
      </w:r>
      <w:r w:rsidRPr="00890D42">
        <w:t xml:space="preserve"> </w:t>
      </w:r>
      <w:r w:rsidRPr="00890D42">
        <w:rPr>
          <w:i/>
        </w:rPr>
        <w:t>Demand response</w:t>
      </w:r>
      <w:r w:rsidRPr="00890D42">
        <w:t xml:space="preserve"> in wholesale electricity markets occurs when market participants reduce their consumption of electric energy from the network in exchange for compensation based on market prices.</w:t>
      </w:r>
    </w:p>
  </w:footnote>
  <w:footnote w:id="20">
    <w:p w:rsidR="003C78A4" w:rsidRDefault="003C78A4" w:rsidP="00EC0545">
      <w:pPr>
        <w:pStyle w:val="FootnoteText"/>
      </w:pPr>
      <w:r>
        <w:rPr>
          <w:rStyle w:val="FootnoteReference"/>
        </w:rPr>
        <w:footnoteRef/>
      </w:r>
      <w:r w:rsidRPr="00890D42">
        <w:t xml:space="preserve"> The ISO is subject to audits, which must prove compliance with all planning requirements. The last NERC/NPCC audit report, </w:t>
      </w:r>
      <w:r w:rsidRPr="00890D42">
        <w:rPr>
          <w:i/>
        </w:rPr>
        <w:t>Compliance Audit Report Public Version: ISO New England Inc. April 20 to April 24, 2009</w:t>
      </w:r>
      <w:r w:rsidRPr="00890D42">
        <w:t xml:space="preserve"> (May 7, 2009</w:t>
      </w:r>
      <w:r>
        <w:t>; posted  January 5, 2010</w:t>
      </w:r>
      <w:r w:rsidRPr="00890D42">
        <w:t>), is available at http://www.npcc.org/compliance2/AuditSpot.aspx.</w:t>
      </w:r>
    </w:p>
  </w:footnote>
  <w:footnote w:id="21">
    <w:p w:rsidR="003C78A4" w:rsidRDefault="003C78A4" w:rsidP="00EC0545">
      <w:pPr>
        <w:pStyle w:val="FootnoteText"/>
      </w:pPr>
      <w:r w:rsidRPr="007B7547">
        <w:rPr>
          <w:rStyle w:val="FootnoteReference"/>
        </w:rPr>
        <w:footnoteRef/>
      </w:r>
      <w:r w:rsidRPr="007B7547">
        <w:t xml:space="preserve"> The current update of the </w:t>
      </w:r>
      <w:r w:rsidRPr="00F555CC">
        <w:rPr>
          <w:i/>
        </w:rPr>
        <w:t>RSP Project List</w:t>
      </w:r>
      <w:r w:rsidRPr="007B7547">
        <w:t xml:space="preserve"> is available at </w:t>
      </w:r>
      <w:hyperlink r:id="rId7" w:history="1">
        <w:r w:rsidRPr="007B7547">
          <w:rPr>
            <w:rStyle w:val="Hyperlink"/>
            <w:color w:val="auto"/>
            <w:u w:val="none"/>
          </w:rPr>
          <w:t>http://www.iso-ne.com/committees/comm_wkgrps/prtcpnts_comm/pac/projects/index.html</w:t>
        </w:r>
      </w:hyperlink>
      <w:r w:rsidRPr="007B7547">
        <w:t>.</w:t>
      </w:r>
    </w:p>
  </w:footnote>
  <w:footnote w:id="22">
    <w:p w:rsidR="003C78A4" w:rsidRDefault="003C78A4" w:rsidP="00EC0545">
      <w:pPr>
        <w:pStyle w:val="FootnoteText"/>
      </w:pPr>
      <w:r w:rsidRPr="007B7547">
        <w:rPr>
          <w:rStyle w:val="FootnoteReference"/>
        </w:rPr>
        <w:footnoteRef/>
      </w:r>
      <w:r w:rsidRPr="007B7547">
        <w:t xml:space="preserve"> Cost estimates without transmission cost allocation approval are subject to wide ranges of accuracy and change as projects progress through various stages of implementation. The $5 billion cost estimate has a range $3.8 to $6.2 billion based on projects that are proposed, planned, and under construction. See the June 2010 </w:t>
      </w:r>
      <w:r w:rsidRPr="00F555CC">
        <w:rPr>
          <w:i/>
        </w:rPr>
        <w:t>RSP Project List</w:t>
      </w:r>
      <w:r w:rsidRPr="007B7547">
        <w:t xml:space="preserve"> presentation</w:t>
      </w:r>
      <w:r>
        <w:t>, slide 9,</w:t>
      </w:r>
      <w:r w:rsidRPr="007B7547">
        <w:t xml:space="preserve"> at http://www.iso-ne.com/committees/comm_wkgrps/prtcpnts_comm/pac/projects/2010/june_proj_list_slides.pdf.</w:t>
      </w:r>
    </w:p>
  </w:footnote>
  <w:footnote w:id="23">
    <w:p w:rsidR="003C78A4" w:rsidRDefault="003C78A4" w:rsidP="00EC0545">
      <w:pPr>
        <w:pStyle w:val="FootnoteText"/>
      </w:pPr>
      <w:r w:rsidRPr="007B7547">
        <w:rPr>
          <w:rStyle w:val="FootnoteReference"/>
        </w:rPr>
        <w:footnoteRef/>
      </w:r>
      <w:r w:rsidRPr="007B7547">
        <w:t xml:space="preserve"> </w:t>
      </w:r>
      <w:r>
        <w:t>P</w:t>
      </w:r>
      <w:r w:rsidRPr="007B7547">
        <w:t>articipating transmission owners</w:t>
      </w:r>
      <w:r>
        <w:t>’</w:t>
      </w:r>
      <w:r w:rsidRPr="007B7547">
        <w:t xml:space="preserve"> (PTOs</w:t>
      </w:r>
      <w:r>
        <w:t>’</w:t>
      </w:r>
      <w:r w:rsidRPr="007B7547">
        <w:t xml:space="preserve">) annual informational filing regarding ISO tariff charges in effect as of June 1, 2010, pursuant to </w:t>
      </w:r>
      <w:r>
        <w:t xml:space="preserve">FERC </w:t>
      </w:r>
      <w:r w:rsidRPr="007B7547">
        <w:t>Docket Nos. RT04-2-000, et al.</w:t>
      </w:r>
      <w:r>
        <w:t>(July 30, 2010);</w:t>
      </w:r>
      <w:r>
        <w:br/>
      </w:r>
      <w:r w:rsidRPr="007B7547">
        <w:t>http://iso-ne.com/regulatory/ferc/ptoac/2010/jun10_sch_9_1_info_filing.pdf</w:t>
      </w:r>
      <w:r>
        <w:t>.</w:t>
      </w:r>
      <w:r>
        <w:br/>
      </w:r>
      <w:r w:rsidRPr="007B7547">
        <w:t xml:space="preserve">PTO presentation to the RC and TC </w:t>
      </w:r>
      <w:r>
        <w:t xml:space="preserve">(August 16–17, 2010) </w:t>
      </w:r>
      <w:r w:rsidRPr="007B7547">
        <w:t>explaining the basis of the RNS rate</w:t>
      </w:r>
      <w:r>
        <w:t xml:space="preserve">; </w:t>
      </w:r>
      <w:hyperlink r:id="rId8" w:history="1">
        <w:r w:rsidRPr="0079000A">
          <w:rPr>
            <w:rStyle w:val="Hyperlink"/>
            <w:color w:val="auto"/>
            <w:u w:val="none"/>
          </w:rPr>
          <w:t>http://www.iso-ne.com/committees/comm_wkgrps/trans_comm/tariff_comm/mtrls/2010/aug16172010/a11_2010_rns_rates_presentation.pdf</w:t>
        </w:r>
      </w:hyperlink>
      <w:r>
        <w:t>. S</w:t>
      </w:r>
      <w:r w:rsidRPr="007B7547">
        <w:t xml:space="preserve">econd presentation projecting the RNS rate for five years </w:t>
      </w:r>
      <w:r>
        <w:t xml:space="preserve">using </w:t>
      </w:r>
      <w:r w:rsidRPr="007B7547">
        <w:t>a number of assumptions</w:t>
      </w:r>
      <w:r>
        <w:t xml:space="preserve">; </w:t>
      </w:r>
      <w:r w:rsidRPr="007B7547">
        <w:t>http://www.iso-ne.com/committees/comm_wkgrps/trans_comm/tariff_comm/mtrls/2010/aug16172010/a11_rns_rate_forecast_%202010_2014.pdf.</w:t>
      </w:r>
    </w:p>
  </w:footnote>
  <w:footnote w:id="24">
    <w:p w:rsidR="003C78A4" w:rsidRDefault="003C78A4" w:rsidP="00EC0545">
      <w:pPr>
        <w:pStyle w:val="FootnoteText"/>
      </w:pPr>
      <w:r w:rsidRPr="007B7547">
        <w:rPr>
          <w:rStyle w:val="FootnoteReference"/>
        </w:rPr>
        <w:footnoteRef/>
      </w:r>
      <w:r w:rsidRPr="007B7547">
        <w:t xml:space="preserve"> </w:t>
      </w:r>
      <w:r w:rsidRPr="00F555CC">
        <w:rPr>
          <w:i/>
        </w:rPr>
        <w:t>Load pockets</w:t>
      </w:r>
      <w:r w:rsidRPr="007B7547">
        <w:t xml:space="preserve"> are areas of the system where the transmission capability is insufficient to import power from other parts of the system and load must rely on local generation. The ISO is studying changes in the export-transfer capability from Maine to New Hampshire. </w:t>
      </w:r>
    </w:p>
  </w:footnote>
  <w:footnote w:id="25">
    <w:p w:rsidR="003C78A4" w:rsidRDefault="003C78A4" w:rsidP="00EC0545">
      <w:pPr>
        <w:pStyle w:val="FootnoteText"/>
      </w:pPr>
      <w:r w:rsidRPr="007B7547">
        <w:rPr>
          <w:rStyle w:val="FootnoteReference"/>
        </w:rPr>
        <w:footnoteRef/>
      </w:r>
      <w:r w:rsidRPr="007B7547">
        <w:t xml:space="preserve"> A </w:t>
      </w:r>
      <w:r w:rsidRPr="00F555CC">
        <w:rPr>
          <w:i/>
        </w:rPr>
        <w:t>second contingency</w:t>
      </w:r>
      <w:r w:rsidRPr="007B7547">
        <w:t xml:space="preserve"> is when a power system element is unavailable and another contingency occurs.</w:t>
      </w:r>
    </w:p>
  </w:footnote>
  <w:footnote w:id="26">
    <w:p w:rsidR="003C78A4" w:rsidRDefault="003C78A4" w:rsidP="00EC0545">
      <w:pPr>
        <w:pStyle w:val="FootnoteText"/>
      </w:pPr>
      <w:r>
        <w:rPr>
          <w:rStyle w:val="FootnoteReference"/>
        </w:rPr>
        <w:footnoteRef/>
      </w:r>
      <w:r w:rsidRPr="007B7547">
        <w:t xml:space="preserve"> The </w:t>
      </w:r>
      <w:r w:rsidRPr="00F555CC">
        <w:rPr>
          <w:i/>
        </w:rPr>
        <w:t>2009 Northeast Coordinated System Plan</w:t>
      </w:r>
      <w:r w:rsidRPr="007B7547">
        <w:t xml:space="preserve"> (</w:t>
      </w:r>
      <w:r w:rsidRPr="00890D42">
        <w:t>ISO New England, New York ISO</w:t>
      </w:r>
      <w:r>
        <w:t xml:space="preserve"> [NYISO],</w:t>
      </w:r>
      <w:r w:rsidRPr="00890D42">
        <w:t xml:space="preserve"> and </w:t>
      </w:r>
      <w:r w:rsidRPr="00916387">
        <w:t>PJM</w:t>
      </w:r>
      <w:r>
        <w:t xml:space="preserve"> Interconnection [PJM],</w:t>
      </w:r>
      <w:r w:rsidRPr="00916387">
        <w:t xml:space="preserve"> </w:t>
      </w:r>
      <w:r w:rsidRPr="007B7547">
        <w:t>May 24, 2010) summarizes several interregional planning activities. The report is available at http://iso-ne.com/committees/comm_wkgrps/othr/ipsac/ncsp/index.html.</w:t>
      </w:r>
      <w:r w:rsidRPr="00E60331">
        <w:t xml:space="preserve"> </w:t>
      </w:r>
      <w:r w:rsidRPr="007B7547">
        <w:t>PJM is the RTO for all or parts of Delaware, Illinois, Indiana, Kentucky, Maryland, Michigan, New Jersey, North Carolina, Ohio, Pennsylvania, Tennessee, Virginia, and the District of Columbia.</w:t>
      </w:r>
    </w:p>
  </w:footnote>
  <w:footnote w:id="27">
    <w:p w:rsidR="003C78A4" w:rsidRDefault="003C78A4" w:rsidP="00EC0545">
      <w:pPr>
        <w:pStyle w:val="FootnoteText"/>
      </w:pPr>
      <w:r w:rsidRPr="007B7547">
        <w:rPr>
          <w:rStyle w:val="FootnoteReference"/>
        </w:rPr>
        <w:footnoteRef/>
      </w:r>
      <w:r w:rsidRPr="007B7547">
        <w:t xml:space="preserve"> The </w:t>
      </w:r>
      <w:r w:rsidRPr="00F555CC">
        <w:rPr>
          <w:i/>
        </w:rPr>
        <w:t>Eastern Interconnection</w:t>
      </w:r>
      <w:r w:rsidRPr="007B7547">
        <w:t xml:space="preserve"> consists of the interconnected transmission and distribution infrastructure that synchronously operates east of the Rocky Mountains, excluding the portion of the system located in the Electric Reliability Council of Texas (ERCOT) and Québec. </w:t>
      </w:r>
      <w:r>
        <w:t>A</w:t>
      </w:r>
      <w:r w:rsidRPr="007B7547">
        <w:t>dditional information on the EIPC</w:t>
      </w:r>
      <w:r>
        <w:t xml:space="preserve"> is available at </w:t>
      </w:r>
      <w:hyperlink r:id="rId9" w:history="1">
        <w:r w:rsidRPr="007B7547">
          <w:rPr>
            <w:rStyle w:val="Hyperlink"/>
            <w:color w:val="000000" w:themeColor="text1"/>
            <w:u w:val="none"/>
          </w:rPr>
          <w:t>http://www.eipconline.com/</w:t>
        </w:r>
      </w:hyperlink>
      <w:r w:rsidRPr="007B7547">
        <w:rPr>
          <w:color w:val="000000" w:themeColor="text1"/>
        </w:rPr>
        <w:t>.</w:t>
      </w:r>
    </w:p>
  </w:footnote>
  <w:footnote w:id="28">
    <w:p w:rsidR="003C78A4" w:rsidRDefault="003C78A4" w:rsidP="00EC0545">
      <w:pPr>
        <w:pStyle w:val="FootnoteText"/>
      </w:pPr>
      <w:r w:rsidRPr="007B7547">
        <w:rPr>
          <w:rStyle w:val="FootnoteReference"/>
        </w:rPr>
        <w:footnoteRef/>
      </w:r>
      <w:r w:rsidRPr="007B7547">
        <w:t xml:space="preserve"> Improvements include a new liquefied natural gas (LNG) terminal in St. John, New Brunswick; the Northeast Gateway Project and Neptune LNG terminals, both offshore of Gloucester, MA; increased sources of natural gas from shale, such as the Marcellus Shale discoveries, and developments in Atlantic Canada (Deep Panuke); and several improvements to natural gas pipelines and storage facilities.</w:t>
      </w:r>
    </w:p>
  </w:footnote>
  <w:footnote w:id="29">
    <w:p w:rsidR="003C78A4" w:rsidRDefault="003C78A4" w:rsidP="00EC0545">
      <w:pPr>
        <w:pStyle w:val="FootnoteText"/>
      </w:pPr>
      <w:r w:rsidRPr="007B7547">
        <w:rPr>
          <w:rStyle w:val="FootnoteReference"/>
        </w:rPr>
        <w:footnoteRef/>
      </w:r>
      <w:r w:rsidRPr="007B7547">
        <w:t xml:space="preserve"> System operating concerns experienced in the cold snap of 2004 have largely been addressed. </w:t>
      </w:r>
      <w:r w:rsidRPr="00F555CC">
        <w:rPr>
          <w:i/>
        </w:rPr>
        <w:t>Final Report on Electricity Supply Conditions in New England during the January 14–16, 2004 “Cold Snap”</w:t>
      </w:r>
      <w:r w:rsidRPr="007B7547">
        <w:t xml:space="preserve"> (October 12, 2004); </w:t>
      </w:r>
      <w:hyperlink r:id="rId10" w:history="1">
        <w:r w:rsidRPr="007B7547">
          <w:rPr>
            <w:rStyle w:val="Hyperlink"/>
            <w:color w:val="000000" w:themeColor="text1"/>
            <w:u w:val="none"/>
          </w:rPr>
          <w:t>http://www.iso-ne.com/pubs/spcl_rpts/2004/final_report_jan2004_cold_snap.pdf</w:t>
        </w:r>
      </w:hyperlink>
      <w:r w:rsidRPr="007B7547">
        <w:t>.</w:t>
      </w:r>
    </w:p>
  </w:footnote>
  <w:footnote w:id="30">
    <w:p w:rsidR="003C78A4" w:rsidRDefault="003C78A4" w:rsidP="00EC0545">
      <w:pPr>
        <w:pStyle w:val="FootnoteText"/>
      </w:pPr>
      <w:r w:rsidRPr="007B7547">
        <w:rPr>
          <w:rStyle w:val="FootnoteReference"/>
        </w:rPr>
        <w:footnoteRef/>
      </w:r>
      <w:r w:rsidRPr="007B7547">
        <w:t xml:space="preserve"> Air emission regulations cover nitrous oxides (NO</w:t>
      </w:r>
      <w:r>
        <w:rPr>
          <w:vertAlign w:val="subscript"/>
        </w:rPr>
        <w:t>X</w:t>
      </w:r>
      <w:r w:rsidRPr="007B7547">
        <w:t>), particulates, sulfur dioxide (SO</w:t>
      </w:r>
      <w:r>
        <w:rPr>
          <w:vertAlign w:val="subscript"/>
        </w:rPr>
        <w:t>2</w:t>
      </w:r>
      <w:r w:rsidRPr="007B7547">
        <w:t>), mercury, and greenhouse gases, such as carbon dioxide (CO</w:t>
      </w:r>
      <w:r>
        <w:rPr>
          <w:vertAlign w:val="subscript"/>
        </w:rPr>
        <w:t>2</w:t>
      </w:r>
      <w:r w:rsidRPr="007B7547">
        <w:t>).</w:t>
      </w:r>
    </w:p>
  </w:footnote>
  <w:footnote w:id="31">
    <w:p w:rsidR="003C78A4" w:rsidRDefault="003C78A4" w:rsidP="00EC0545">
      <w:pPr>
        <w:pStyle w:val="FootnoteText"/>
      </w:pPr>
      <w:r w:rsidRPr="007B7547">
        <w:rPr>
          <w:rStyle w:val="FootnoteReference"/>
        </w:rPr>
        <w:footnoteRef/>
      </w:r>
      <w:r w:rsidRPr="007B7547">
        <w:t xml:space="preserve"> </w:t>
      </w:r>
      <w:r w:rsidRPr="00F555CC">
        <w:rPr>
          <w:i/>
        </w:rPr>
        <w:t>2008 New England Electric Generator Air Emissions Report</w:t>
      </w:r>
      <w:r w:rsidRPr="007B7547">
        <w:t xml:space="preserve"> (August 18, 2010);</w:t>
      </w:r>
      <w:r>
        <w:br/>
      </w:r>
      <w:r w:rsidRPr="007B7547">
        <w:t>http://www.iso-ne.com/genrtion_resrcs/reports/emission/index.html.</w:t>
      </w:r>
    </w:p>
  </w:footnote>
  <w:footnote w:id="32">
    <w:p w:rsidR="003C78A4" w:rsidRDefault="003C78A4" w:rsidP="00EC0545">
      <w:pPr>
        <w:pStyle w:val="FootnoteText"/>
      </w:pPr>
      <w:r w:rsidRPr="007B7547">
        <w:rPr>
          <w:rStyle w:val="FootnoteReference"/>
        </w:rPr>
        <w:footnoteRef/>
      </w:r>
      <w:r w:rsidRPr="007B7547">
        <w:t xml:space="preserve"> According to  the National Electrical Manufacturers Association and the Congressional Research Service, the goal of the smart grid is to use advanced, information-based technologies to increase power grid efficiency, reliability, and flexibility, and reduce the rate at which additional electric utility infrastructure needs to be built. For additional information, see the ISO’s </w:t>
      </w:r>
      <w:r w:rsidRPr="00F555CC">
        <w:rPr>
          <w:i/>
        </w:rPr>
        <w:t>Overview of the Smart Grid—Policies, Initiatives, and Needs</w:t>
      </w:r>
      <w:r w:rsidRPr="007B7547">
        <w:t xml:space="preserve"> (February 17, 2009); http://www.iso-ne.com/pubs/whtpprs/smart_grid_report_021709_final.pdf.</w:t>
      </w:r>
    </w:p>
  </w:footnote>
  <w:footnote w:id="33">
    <w:p w:rsidR="003C78A4" w:rsidRDefault="003C78A4" w:rsidP="00EC0545">
      <w:pPr>
        <w:pStyle w:val="FootnoteText"/>
      </w:pPr>
      <w:r w:rsidRPr="00026D55">
        <w:rPr>
          <w:rStyle w:val="FootnoteReference"/>
        </w:rPr>
        <w:footnoteRef/>
      </w:r>
      <w:r w:rsidRPr="00F03B98">
        <w:t xml:space="preserve"> The</w:t>
      </w:r>
      <w:r w:rsidRPr="00C24DB4">
        <w:t xml:space="preserve"> </w:t>
      </w:r>
      <w:r w:rsidRPr="0058333B">
        <w:rPr>
          <w:i/>
        </w:rPr>
        <w:t>ISO</w:t>
      </w:r>
      <w:r w:rsidRPr="00AE596A">
        <w:t xml:space="preserve"> </w:t>
      </w:r>
      <w:r w:rsidRPr="0058333B">
        <w:rPr>
          <w:i/>
        </w:rPr>
        <w:t>Generator Interconnection Queue</w:t>
      </w:r>
      <w:r w:rsidRPr="00AE596A">
        <w:t xml:space="preserve"> </w:t>
      </w:r>
      <w:r>
        <w:t>(</w:t>
      </w:r>
      <w:r w:rsidRPr="00F555CC">
        <w:rPr>
          <w:i/>
        </w:rPr>
        <w:t>queue</w:t>
      </w:r>
      <w:r>
        <w:t>)</w:t>
      </w:r>
      <w:r w:rsidRPr="00C24DB4">
        <w:t xml:space="preserve"> </w:t>
      </w:r>
      <w:r w:rsidRPr="00F03B98">
        <w:t>includes those generators that have submitted requests to interconnect to the ISO New England electric power system.</w:t>
      </w:r>
    </w:p>
  </w:footnote>
  <w:footnote w:id="34">
    <w:p w:rsidR="003C78A4" w:rsidRDefault="003C78A4" w:rsidP="00EC0545">
      <w:pPr>
        <w:pStyle w:val="FootnoteText"/>
      </w:pPr>
      <w:r w:rsidRPr="00026D55">
        <w:rPr>
          <w:rStyle w:val="FootnoteReference"/>
        </w:rPr>
        <w:footnoteRef/>
      </w:r>
      <w:r w:rsidRPr="00C24DB4">
        <w:t xml:space="preserve"> </w:t>
      </w:r>
      <w:r w:rsidRPr="00F555CC">
        <w:rPr>
          <w:i/>
        </w:rPr>
        <w:t>Active</w:t>
      </w:r>
      <w:r w:rsidRPr="00C24DB4">
        <w:t xml:space="preserve"> demand resources </w:t>
      </w:r>
      <w:r w:rsidRPr="00F03B98">
        <w:t xml:space="preserve">reduce load in response to a request from the ISO to do so for system reliability reasons or in response to a price signal. </w:t>
      </w:r>
      <w:r w:rsidRPr="00F555CC">
        <w:rPr>
          <w:i/>
        </w:rPr>
        <w:t>Passive</w:t>
      </w:r>
      <w:r w:rsidRPr="00C24DB4">
        <w:t xml:space="preserve"> demand resources </w:t>
      </w:r>
      <w:r w:rsidRPr="00F03B98">
        <w:t>are principally designed to save electric energy use and are in place at all times without requiring direction from the ISO.</w:t>
      </w:r>
    </w:p>
  </w:footnote>
  <w:footnote w:id="35">
    <w:p w:rsidR="003C78A4" w:rsidRDefault="003C78A4" w:rsidP="00EC0545">
      <w:pPr>
        <w:pStyle w:val="FootnoteText"/>
      </w:pPr>
      <w:r w:rsidRPr="00026D55">
        <w:rPr>
          <w:rStyle w:val="FootnoteReference"/>
        </w:rPr>
        <w:footnoteRef/>
      </w:r>
      <w:r w:rsidRPr="00026D55">
        <w:t xml:space="preserve"> </w:t>
      </w:r>
      <w:r w:rsidRPr="00F03B98">
        <w:t>Another economic study requested in 2009 by ISO New England stakeholders, as well as stakeholders from NYISO and PJM, is analyzing a series of scenarios for 2013 to account for planned load, resource expansions and retirements, and transmission configurations that could affect these regions. The study will focus primarily on the NYISO and I</w:t>
      </w:r>
      <w:r>
        <w:t>SO</w:t>
      </w:r>
      <w:r w:rsidRPr="00F03B98">
        <w:t xml:space="preserve"> New England systems. Refer to April and May 2009 PAC materials</w:t>
      </w:r>
      <w:r>
        <w:t xml:space="preserve"> at</w:t>
      </w:r>
      <w:r>
        <w:br/>
      </w:r>
      <w:hyperlink r:id="rId11" w:history="1">
        <w:r w:rsidRPr="00D224AA">
          <w:rPr>
            <w:rStyle w:val="Hyperlink"/>
            <w:color w:val="000000" w:themeColor="text1"/>
            <w:u w:val="none"/>
          </w:rPr>
          <w:t>http://iso-ne.com/committees/comm_wkgrps/prtcpnts_comm/pac/mtrls/2009/index.html</w:t>
        </w:r>
      </w:hyperlink>
      <w:r>
        <w:t xml:space="preserve">, </w:t>
      </w:r>
      <w:r w:rsidRPr="00F03B98">
        <w:t>and May 2009 discussions held with the Inter-Area Planning Stakeholder Advisory Committee (IPSAC)</w:t>
      </w:r>
      <w:r>
        <w:t xml:space="preserve"> at</w:t>
      </w:r>
      <w:r>
        <w:br/>
      </w:r>
      <w:r w:rsidRPr="00F03B98">
        <w:t>http://iso-ne.com/committees/comm_wkgrps/othr/ipsac/mtrls/2009/may72009/index.html</w:t>
      </w:r>
      <w:r>
        <w:t xml:space="preserve">. </w:t>
      </w:r>
      <w:r w:rsidRPr="00F03B98">
        <w:t xml:space="preserve">        </w:t>
      </w:r>
    </w:p>
  </w:footnote>
  <w:footnote w:id="36">
    <w:p w:rsidR="003C78A4" w:rsidRDefault="003C78A4" w:rsidP="00EC0545">
      <w:pPr>
        <w:pStyle w:val="FootnoteText"/>
      </w:pPr>
      <w:r w:rsidRPr="00026D55">
        <w:rPr>
          <w:rStyle w:val="FootnoteReference"/>
        </w:rPr>
        <w:footnoteRef/>
      </w:r>
      <w:r w:rsidRPr="00F03B98">
        <w:t xml:space="preserve"> NESCOE is the FERC-approved regional-state committee for providing advisory input to the ISO regarding the development of the RSP</w:t>
      </w:r>
      <w:r>
        <w:t xml:space="preserve">. </w:t>
      </w:r>
    </w:p>
  </w:footnote>
  <w:footnote w:id="37">
    <w:p w:rsidR="003C78A4" w:rsidRDefault="003C78A4" w:rsidP="00EC0545">
      <w:pPr>
        <w:pStyle w:val="FootnoteText"/>
      </w:pPr>
      <w:r w:rsidRPr="007B7547">
        <w:rPr>
          <w:rStyle w:val="FootnoteReference"/>
        </w:rPr>
        <w:footnoteRef/>
      </w:r>
      <w:r w:rsidRPr="007B7547">
        <w:t xml:space="preserve"> </w:t>
      </w:r>
      <w:r w:rsidRPr="002E38AB">
        <w:rPr>
          <w:i/>
        </w:rPr>
        <w:t>Transmission Planning and Cost Allocation by Transmission Owning and Operating Public Utilities</w:t>
      </w:r>
      <w:r w:rsidRPr="007B7547">
        <w:t>, Notice of Proposed Rulemaking, FERC Docket No. RM12-23-000 (June 17, 2010); http://ferc.gov/whats-new/comm-meet/2010/061710/E-9.pdf.</w:t>
      </w:r>
    </w:p>
  </w:footnote>
  <w:footnote w:id="38">
    <w:p w:rsidR="003C78A4" w:rsidRDefault="003C78A4" w:rsidP="00EC0545">
      <w:pPr>
        <w:pStyle w:val="FootnoteText"/>
      </w:pPr>
      <w:r>
        <w:rPr>
          <w:rStyle w:val="FootnoteReference"/>
        </w:rPr>
        <w:footnoteRef/>
      </w:r>
      <w:r w:rsidRPr="00890D42">
        <w:t xml:space="preserve"> Any stakeholder can designate a representative to the PAC by providing written notice to the ISO. PAC materials (2001–2010) are available at http://www.iso-ne.com/committees/comm_wkgrps/prtcpnts_comm/pac/index.html.</w:t>
      </w:r>
    </w:p>
  </w:footnote>
  <w:footnote w:id="39">
    <w:p w:rsidR="003C78A4" w:rsidRDefault="003C78A4" w:rsidP="00EC0545">
      <w:pPr>
        <w:pStyle w:val="FootnoteText"/>
      </w:pPr>
      <w:r>
        <w:rPr>
          <w:rStyle w:val="FootnoteReference"/>
        </w:rPr>
        <w:footnoteRef/>
      </w:r>
      <w:r w:rsidRPr="00890D42">
        <w:t xml:space="preserve"> NEPOOL was formed by the region’s private and municipal utilities to foster cooperation and coordination among the utilities in the six-state region and ensure a dependable supply of electricity. Today, NEPOOL members serve as ISO stakeholders and market participants. More information on NEPOOL participants is available at</w:t>
      </w:r>
      <w:r w:rsidRPr="00890D42">
        <w:br/>
        <w:t>http://www.iso-ne.com/committees/nepool_part/index.html.</w:t>
      </w:r>
    </w:p>
  </w:footnote>
  <w:footnote w:id="40">
    <w:p w:rsidR="003C78A4" w:rsidRDefault="003C78A4" w:rsidP="00EC0545">
      <w:pPr>
        <w:pStyle w:val="FootnoteText"/>
      </w:pPr>
      <w:r>
        <w:rPr>
          <w:rStyle w:val="FootnoteReference"/>
        </w:rPr>
        <w:footnoteRef/>
      </w:r>
      <w:r w:rsidRPr="00890D42">
        <w:t xml:space="preserve"> </w:t>
      </w:r>
      <w:r w:rsidRPr="00890D42">
        <w:rPr>
          <w:i/>
        </w:rPr>
        <w:t>Supply</w:t>
      </w:r>
      <w:r w:rsidRPr="00890D42">
        <w:t xml:space="preserve"> </w:t>
      </w:r>
      <w:r w:rsidRPr="00890D42">
        <w:rPr>
          <w:i/>
        </w:rPr>
        <w:t>resources</w:t>
      </w:r>
      <w:r w:rsidRPr="00890D42">
        <w:t xml:space="preserve"> are generating units that use nuclear energy, fossil fuels (such as gas, oil, or coal), or renewable fuels (such as water, wind, or the sun) to produce electricity. In general, </w:t>
      </w:r>
      <w:r w:rsidRPr="00890D42">
        <w:rPr>
          <w:rFonts w:eastAsia="Calibri"/>
          <w:i/>
          <w:iCs/>
        </w:rPr>
        <w:t>demand</w:t>
      </w:r>
      <w:r w:rsidRPr="00890D42">
        <w:rPr>
          <w:rFonts w:eastAsia="Calibri"/>
          <w:i/>
        </w:rPr>
        <w:t xml:space="preserve"> resources</w:t>
      </w:r>
      <w:r w:rsidRPr="00890D42">
        <w:rPr>
          <w:rFonts w:eastAsia="Calibri"/>
        </w:rPr>
        <w:t xml:space="preserve"> are measures that reduce consumer demand for electricity from the power system, such as the use of energy-efficient appliances and lighting, advanced cooling and heating technologies, electronic devices to cycle air conditioners on and off, and equipment to shift load to off-peak hours of demand. Other measures include the use of electricity generated on site (i.e., </w:t>
      </w:r>
      <w:r w:rsidRPr="00890D42">
        <w:rPr>
          <w:rFonts w:eastAsia="Calibri"/>
          <w:i/>
        </w:rPr>
        <w:t>distributed generation</w:t>
      </w:r>
      <w:r w:rsidRPr="00890D42">
        <w:rPr>
          <w:rFonts w:eastAsia="Calibri"/>
        </w:rPr>
        <w:t>, or DG).</w:t>
      </w:r>
      <w:r w:rsidRPr="00890D42">
        <w:t xml:space="preserve"> Demand resources also include installed measures, such as</w:t>
      </w:r>
      <w:r>
        <w:rPr>
          <w:rStyle w:val="FootnoteReference"/>
        </w:rPr>
        <w:t xml:space="preserve"> </w:t>
      </w:r>
      <w:r w:rsidRPr="00890D42">
        <w:t xml:space="preserve">equipment, services, and strategies that reduce end-use demand on the electricity network during specific performance hours. </w:t>
      </w:r>
      <w:r w:rsidRPr="00890D42">
        <w:rPr>
          <w:i/>
        </w:rPr>
        <w:t>ISO New England Inc. Transmission, Markets, and Services Tariff</w:t>
      </w:r>
      <w:r w:rsidRPr="00890D42">
        <w:t xml:space="preserve"> </w:t>
      </w:r>
      <w:r>
        <w:t xml:space="preserve">(ISO tariff), </w:t>
      </w:r>
      <w:r w:rsidRPr="00890D42">
        <w:t>Part II, Section 48 (20</w:t>
      </w:r>
      <w:r>
        <w:t>10</w:t>
      </w:r>
      <w:r w:rsidRPr="00890D42">
        <w:t xml:space="preserve">); </w:t>
      </w:r>
      <w:hyperlink r:id="rId12" w:history="1">
        <w:r w:rsidRPr="00890D42">
          <w:rPr>
            <w:rStyle w:val="Hyperlink"/>
            <w:color w:val="000000" w:themeColor="text1"/>
            <w:u w:val="none"/>
          </w:rPr>
          <w:t>http://www.iso-ne.com/regulatory/tariff/index.html</w:t>
        </w:r>
      </w:hyperlink>
      <w:r w:rsidRPr="00890D42">
        <w:t>.</w:t>
      </w:r>
    </w:p>
  </w:footnote>
  <w:footnote w:id="41">
    <w:p w:rsidR="003C78A4" w:rsidRDefault="003C78A4" w:rsidP="00EC0545">
      <w:pPr>
        <w:pStyle w:val="FootnoteText"/>
      </w:pPr>
      <w:r w:rsidRPr="00890D42">
        <w:rPr>
          <w:rStyle w:val="FootnoteReference"/>
        </w:rPr>
        <w:footnoteRef/>
      </w:r>
      <w:r w:rsidRPr="00890D42">
        <w:t xml:space="preserve"> </w:t>
      </w:r>
      <w:r w:rsidRPr="00890D42">
        <w:rPr>
          <w:i/>
        </w:rPr>
        <w:t>Renewable</w:t>
      </w:r>
      <w:r w:rsidRPr="00890D42">
        <w:t xml:space="preserve"> sources of energy are those that are naturally replenished, such as solar, hydro, wind, selected biomass (e.g., wood and wood-waste solids and gas), geothermal, ocean thermal, and tidal sources of power. Other fuel sources that can be regarded</w:t>
      </w:r>
      <w:r w:rsidRPr="00890D42">
        <w:rPr>
          <w:i/>
        </w:rPr>
        <w:t xml:space="preserve"> </w:t>
      </w:r>
      <w:r w:rsidRPr="00A8285B">
        <w:t>as renewable resources include landfill gas</w:t>
      </w:r>
      <w:smartTag w:uri="urn:schemas-microsoft-com:office:smarttags" w:element="stockticker">
        <w:r w:rsidRPr="00A8285B">
          <w:t xml:space="preserve"> (</w:t>
        </w:r>
        <w:smartTag w:uri="urn:schemas-microsoft-com:office:smarttags" w:element="stockticker">
          <w:r w:rsidRPr="00A8285B">
            <w:t>L</w:t>
          </w:r>
        </w:smartTag>
      </w:smartTag>
      <w:r w:rsidRPr="00A8285B">
        <w:t>FG) (i.e., the gas that results from decomposition in landfills and either is collected, cleaned, and used for generation or is vented or flared) and refuse (municipal solid waste). Some states consider fuel cells to be renewable.</w:t>
      </w:r>
    </w:p>
  </w:footnote>
  <w:footnote w:id="42">
    <w:p w:rsidR="003C78A4" w:rsidRDefault="003C78A4" w:rsidP="00EC0545">
      <w:pPr>
        <w:pStyle w:val="FootnoteText"/>
      </w:pPr>
      <w:r>
        <w:rPr>
          <w:rStyle w:val="FootnoteReference"/>
        </w:rPr>
        <w:footnoteRef/>
      </w:r>
      <w:r>
        <w:t xml:space="preserve"> </w:t>
      </w:r>
      <w:r w:rsidRPr="00A30D04">
        <w:rPr>
          <w:i/>
        </w:rPr>
        <w:t>Load</w:t>
      </w:r>
      <w:r>
        <w:t xml:space="preserve"> is the demand for electricity measured in megawatts (MW).</w:t>
      </w:r>
    </w:p>
  </w:footnote>
  <w:footnote w:id="43">
    <w:p w:rsidR="003C78A4" w:rsidRDefault="003C78A4" w:rsidP="00EC0545">
      <w:pPr>
        <w:pStyle w:val="FootnoteText"/>
      </w:pPr>
      <w:r w:rsidRPr="00890D42">
        <w:rPr>
          <w:rStyle w:val="FootnoteReference"/>
        </w:rPr>
        <w:footnoteRef/>
      </w:r>
      <w:r w:rsidRPr="00890D42">
        <w:t xml:space="preserve"> </w:t>
      </w:r>
      <w:r w:rsidRPr="007B7547">
        <w:t>PAC materials and meeting minutes are available at</w:t>
      </w:r>
      <w:r>
        <w:br/>
      </w:r>
      <w:r w:rsidRPr="007B7547">
        <w:t>http://www.iso-ne.com/committees/comm_wkgrps/prtcpnts_comm/pac/index.html.</w:t>
      </w:r>
    </w:p>
  </w:footnote>
  <w:footnote w:id="44">
    <w:p w:rsidR="003C78A4" w:rsidRDefault="003C78A4" w:rsidP="00EC0545">
      <w:pPr>
        <w:pStyle w:val="FootnoteText"/>
      </w:pPr>
      <w:r w:rsidRPr="00CD6A3B">
        <w:rPr>
          <w:rStyle w:val="FootnoteReference"/>
        </w:rPr>
        <w:footnoteRef/>
      </w:r>
      <w:r w:rsidRPr="00CD6A3B">
        <w:t xml:space="preserve"> </w:t>
      </w:r>
      <w:r w:rsidRPr="00F03B98">
        <w:t>A</w:t>
      </w:r>
      <w:r w:rsidRPr="00C24DB4">
        <w:t xml:space="preserve"> </w:t>
      </w:r>
      <w:r w:rsidRPr="00A8285B">
        <w:rPr>
          <w:i/>
        </w:rPr>
        <w:t>merchant transmission facility</w:t>
      </w:r>
      <w:r w:rsidRPr="00C24DB4">
        <w:t xml:space="preserve"> </w:t>
      </w:r>
      <w:r w:rsidRPr="00F03B98">
        <w:t xml:space="preserve">is an independently developed and funded facility subject to the operational control of the ISO, pursuant to an operating agreement specific to each facility (refer to Section </w:t>
      </w:r>
      <w:fldSimple w:instr=" REF _Ref266444974 \r \h  \* MERGEFORMAT ">
        <w:r w:rsidR="00E5699E">
          <w:t>6.2.3.4</w:t>
        </w:r>
      </w:fldSimple>
      <w:r w:rsidRPr="00F03B98">
        <w:t>).</w:t>
      </w:r>
    </w:p>
  </w:footnote>
  <w:footnote w:id="45">
    <w:p w:rsidR="003C78A4" w:rsidRDefault="003C78A4" w:rsidP="00EC0545">
      <w:pPr>
        <w:pStyle w:val="FootnoteText"/>
      </w:pPr>
      <w:r w:rsidRPr="00C24CD4">
        <w:rPr>
          <w:rStyle w:val="FootnoteReference"/>
        </w:rPr>
        <w:footnoteRef/>
      </w:r>
      <w:r w:rsidRPr="00C24CD4">
        <w:t xml:space="preserve"> </w:t>
      </w:r>
      <w:r w:rsidRPr="00F03B98">
        <w:t>In response to stakeholder requests, the ISO will provide additional information on NTAs as part of future RSPs.</w:t>
      </w:r>
    </w:p>
  </w:footnote>
  <w:footnote w:id="46">
    <w:p w:rsidR="003C78A4" w:rsidRDefault="003C78A4" w:rsidP="00EC0545">
      <w:pPr>
        <w:pStyle w:val="FootnoteText"/>
      </w:pPr>
      <w:r w:rsidRPr="00C24CD4">
        <w:rPr>
          <w:rStyle w:val="FootnoteReference"/>
        </w:rPr>
        <w:footnoteRef/>
      </w:r>
      <w:r w:rsidRPr="00C24CD4">
        <w:t xml:space="preserve"> </w:t>
      </w:r>
      <w:r w:rsidRPr="00F03B98">
        <w:t xml:space="preserve">The current list is available at http://www.iso-ne.com/committees/comm_wkgrps/prtcpnts_comm/pac/projects/index.html. </w:t>
      </w:r>
    </w:p>
  </w:footnote>
  <w:footnote w:id="47">
    <w:p w:rsidR="003C78A4" w:rsidRPr="00C24DB4" w:rsidRDefault="003C78A4" w:rsidP="00C24DB4">
      <w:pPr>
        <w:spacing w:after="80" w:line="240" w:lineRule="auto"/>
        <w:rPr>
          <w:rFonts w:cs="Times New Roman"/>
          <w:sz w:val="18"/>
          <w:szCs w:val="18"/>
        </w:rPr>
      </w:pPr>
      <w:r w:rsidRPr="00C24DB4">
        <w:rPr>
          <w:rStyle w:val="FootnoteReference"/>
          <w:szCs w:val="18"/>
        </w:rPr>
        <w:footnoteRef/>
      </w:r>
      <w:r w:rsidRPr="00C24DB4">
        <w:rPr>
          <w:rFonts w:cs="Times New Roman"/>
          <w:sz w:val="18"/>
          <w:szCs w:val="18"/>
        </w:rPr>
        <w:t xml:space="preserve"> Recent and archived RSP materials are available at http://www.iso-ne.com/trans/rsp/index.html. The AMR is available at http://www.iso-ne.com/markets/mkt_anlys_rpts/annl_mkt_rpts/. The Needs Assessments and Solution Studies that have been presented to the PAC and </w:t>
      </w:r>
      <w:r w:rsidRPr="00C24DB4">
        <w:rPr>
          <w:rFonts w:eastAsia="Times New Roman" w:cs="Times New Roman"/>
          <w:color w:val="000000" w:themeColor="text1"/>
          <w:sz w:val="18"/>
          <w:szCs w:val="18"/>
        </w:rPr>
        <w:t xml:space="preserve">posted on the ISO Web site can be obtained by contacting ISO Customer Service at 413-540-4220. </w:t>
      </w:r>
    </w:p>
  </w:footnote>
  <w:footnote w:id="48">
    <w:p w:rsidR="003C78A4" w:rsidRDefault="003C78A4" w:rsidP="00EC0545">
      <w:pPr>
        <w:pStyle w:val="FootnoteText"/>
      </w:pPr>
      <w:r w:rsidRPr="00C24CD4">
        <w:rPr>
          <w:rStyle w:val="FootnoteReference"/>
        </w:rPr>
        <w:footnoteRef/>
      </w:r>
      <w:r w:rsidRPr="00F03B98">
        <w:t xml:space="preserve"> Stakeholders also can obtain publicly available network models of the transmission system through the FERC 715 process, which requires transmitting utilities that operate facilities rated at or above 100 kV to submit information to FERC annually; see </w:t>
      </w:r>
      <w:hyperlink r:id="rId13" w:history="1">
        <w:r w:rsidRPr="00A8285B">
          <w:rPr>
            <w:rStyle w:val="Hyperlink"/>
            <w:color w:val="000000" w:themeColor="text1"/>
            <w:u w:val="none"/>
          </w:rPr>
          <w:t>http://www.ferc.gov/docs-filing/eforms/form-715/overview.asp</w:t>
        </w:r>
      </w:hyperlink>
      <w:r w:rsidRPr="00A8285B">
        <w:rPr>
          <w:color w:val="000000" w:themeColor="text1"/>
        </w:rPr>
        <w:t>.</w:t>
      </w:r>
      <w:r w:rsidRPr="00F03B98">
        <w:t xml:space="preserve"> Th</w:t>
      </w:r>
      <w:r w:rsidRPr="00C24DB4">
        <w:t xml:space="preserve">e </w:t>
      </w:r>
      <w:r w:rsidRPr="00A8285B">
        <w:rPr>
          <w:i/>
        </w:rPr>
        <w:t>ISO Information Policy</w:t>
      </w:r>
      <w:r w:rsidRPr="00F03B98">
        <w:t>, Attachment D of the ISO</w:t>
      </w:r>
      <w:r>
        <w:t xml:space="preserve"> tariff, </w:t>
      </w:r>
      <w:r w:rsidRPr="00F03B98">
        <w:t>addresses the requirements for controlling the disclosure of CEII and confidential information; see http://www.iso-ne.com/regulatory/tariff/attach_d/index.html.</w:t>
      </w:r>
    </w:p>
  </w:footnote>
  <w:footnote w:id="49">
    <w:p w:rsidR="003C78A4" w:rsidRDefault="003C78A4" w:rsidP="00EC0545">
      <w:pPr>
        <w:pStyle w:val="FootnoteText"/>
      </w:pPr>
      <w:r w:rsidRPr="007B7547">
        <w:rPr>
          <w:rStyle w:val="FootnoteReference"/>
        </w:rPr>
        <w:footnoteRef/>
      </w:r>
      <w:r w:rsidRPr="007B7547">
        <w:t xml:space="preserve"> A </w:t>
      </w:r>
      <w:r w:rsidRPr="007B7547">
        <w:rPr>
          <w:i/>
          <w:iCs/>
        </w:rPr>
        <w:t>balancing authority area</w:t>
      </w:r>
      <w:r w:rsidRPr="007B7547">
        <w:t xml:space="preserve"> is a group of generation, transmission, and loads within the metered boundaries of the entity (</w:t>
      </w:r>
      <w:r w:rsidRPr="007B7547">
        <w:rPr>
          <w:iCs/>
        </w:rPr>
        <w:t>balancing authority</w:t>
      </w:r>
      <w:r w:rsidRPr="007B7547">
        <w:t xml:space="preserve">) that maintains the load-resource balance within the area. Balancing authority areas were formerly referred to as </w:t>
      </w:r>
      <w:r w:rsidRPr="007B7547">
        <w:rPr>
          <w:iCs/>
        </w:rPr>
        <w:t>control areas</w:t>
      </w:r>
      <w:r w:rsidRPr="007B7547">
        <w:t>. Further information is available in the NERC glossary at http://www.nerc.com/docs/standards/rs/Glossary_12Feb08.pdf.</w:t>
      </w:r>
    </w:p>
  </w:footnote>
  <w:footnote w:id="50">
    <w:p w:rsidR="003C78A4" w:rsidRDefault="003C78A4" w:rsidP="00EC0545">
      <w:pPr>
        <w:pStyle w:val="FootnoteText"/>
      </w:pPr>
      <w:r w:rsidRPr="007B7547">
        <w:rPr>
          <w:rStyle w:val="FootnoteReference"/>
        </w:rPr>
        <w:footnoteRef/>
      </w:r>
      <w:r w:rsidRPr="007B7547">
        <w:t xml:space="preserve"> </w:t>
      </w:r>
      <w:r w:rsidRPr="007B7547">
        <w:rPr>
          <w:rStyle w:val="FoonoteTextChar"/>
          <w:i/>
        </w:rPr>
        <w:t xml:space="preserve">Preventing Undue Discrimination and Preference in Transmission Service, </w:t>
      </w:r>
      <w:r w:rsidRPr="006C7F66">
        <w:rPr>
          <w:rStyle w:val="FoonoteTextChar"/>
        </w:rPr>
        <w:t>Final Rule</w:t>
      </w:r>
      <w:r>
        <w:rPr>
          <w:rStyle w:val="FoonoteTextChar"/>
        </w:rPr>
        <w:t xml:space="preserve">, FERC Order No. 890, Docket Nos. RM05-17-000 and RM05-25-000 (February 16, 2007); </w:t>
      </w:r>
      <w:hyperlink r:id="rId14" w:history="1">
        <w:r>
          <w:rPr>
            <w:rStyle w:val="FoonoteTextChar"/>
          </w:rPr>
          <w:t>http://www.ferc.gov/whats-new/comm-meet/2007/021507/E-1.pdf</w:t>
        </w:r>
      </w:hyperlink>
      <w:r w:rsidRPr="007B7547">
        <w:t xml:space="preserve">. NERC Reliability Standards (Princeton, NJ: NERC, 2010); http://www.nerc.com/page.php?cid=2|20. NPCC Regional Standards (New York: NPCC, 2010); </w:t>
      </w:r>
      <w:hyperlink r:id="rId15" w:history="1">
        <w:r w:rsidRPr="007B7547">
          <w:rPr>
            <w:rStyle w:val="Hyperlink"/>
            <w:color w:val="auto"/>
            <w:u w:val="none"/>
          </w:rPr>
          <w:t>http://www.npcc.org/regStandards/Overview.aspx.</w:t>
        </w:r>
      </w:hyperlink>
      <w:r w:rsidRPr="007B7547">
        <w:t xml:space="preserve"> ISO New England Planning Procedures (2010); http://www.iso-ne.com/rules_proceds/isone_plan/index.html. </w:t>
      </w:r>
      <w:r>
        <w:t xml:space="preserve">ISO New England </w:t>
      </w:r>
      <w:r w:rsidRPr="007B7547">
        <w:t>Operating Procedures (2010); http://www.iso-ne.com/rules_proceds/operating/index.html.</w:t>
      </w:r>
    </w:p>
  </w:footnote>
  <w:footnote w:id="51">
    <w:p w:rsidR="003C78A4" w:rsidRDefault="003C78A4" w:rsidP="00EC0545">
      <w:pPr>
        <w:pStyle w:val="FootnoteText"/>
      </w:pPr>
      <w:r w:rsidRPr="007B7547">
        <w:rPr>
          <w:rStyle w:val="FootnoteReference"/>
        </w:rPr>
        <w:footnoteRef/>
      </w:r>
      <w:r w:rsidRPr="007B7547">
        <w:t xml:space="preserve"> The ISO is not responsible for portions of northern and eastern Maine. The Northern Maine Independent System Administrator, Inc. </w:t>
      </w:r>
      <w:r>
        <w:t xml:space="preserve">(NMISA) </w:t>
      </w:r>
      <w:r w:rsidRPr="007B7547">
        <w:t>is a nonprofit entity responsible for the administration of the northern Maine transmission system and electric power markets in Aroostook and Washington counties, which has a peak load of approximately 130 MW; see http://www.nmisa.com.</w:t>
      </w:r>
    </w:p>
  </w:footnote>
  <w:footnote w:id="52">
    <w:p w:rsidR="003C78A4" w:rsidRDefault="003C78A4" w:rsidP="00EC0545">
      <w:pPr>
        <w:pStyle w:val="FootnoteText"/>
      </w:pPr>
      <w:r w:rsidRPr="007B7547">
        <w:rPr>
          <w:rStyle w:val="FootnoteReference"/>
        </w:rPr>
        <w:footnoteRef/>
      </w:r>
      <w:r w:rsidRPr="007B7547">
        <w:t xml:space="preserve"> In exchange for compensation based on wholesale electricity prices, customers in ISO </w:t>
      </w:r>
      <w:r w:rsidRPr="00A8285B">
        <w:t>demand-resource programs</w:t>
      </w:r>
      <w:r w:rsidRPr="007B7547">
        <w:t xml:space="preserve"> reduce load continuously or quickly</w:t>
      </w:r>
      <w:r>
        <w:t>,</w:t>
      </w:r>
      <w:r w:rsidRPr="007B7547">
        <w:t xml:space="preserve"> when instructed</w:t>
      </w:r>
      <w:r>
        <w:t>,</w:t>
      </w:r>
      <w:r w:rsidRPr="007B7547">
        <w:t xml:space="preserve"> to enhance system reliability or in response to price signals. The 1,900 MW of ISO demand resources do not include energy efficiency provided by other customer-based programs that are outside the ISO markets or are otherwise unknown to ISO. See Section </w:t>
      </w:r>
      <w:fldSimple w:instr=" REF _Ref266120247 \r \h  \* MERGEFORMAT ">
        <w:r w:rsidR="00E5699E">
          <w:t>4.2.1.1</w:t>
        </w:r>
      </w:fldSimple>
      <w:r w:rsidRPr="007B7547">
        <w:t xml:space="preserve"> for more details on demand resources.</w:t>
      </w:r>
    </w:p>
  </w:footnote>
  <w:footnote w:id="53">
    <w:p w:rsidR="003C78A4" w:rsidRDefault="003C78A4" w:rsidP="00EC0545">
      <w:pPr>
        <w:pStyle w:val="FootnoteText"/>
      </w:pPr>
      <w:r w:rsidRPr="007B7547">
        <w:rPr>
          <w:rStyle w:val="FootnoteReference"/>
        </w:rPr>
        <w:footnoteRef/>
      </w:r>
      <w:r w:rsidRPr="007B7547">
        <w:t xml:space="preserve"> For more information on New England wholesale electricity markets, see the ISO’s </w:t>
      </w:r>
      <w:r w:rsidRPr="00A8285B">
        <w:rPr>
          <w:i/>
        </w:rPr>
        <w:t>2009 Annual Markets Report</w:t>
      </w:r>
      <w:r w:rsidRPr="007B7547">
        <w:t xml:space="preserve"> (</w:t>
      </w:r>
      <w:smartTag w:uri="urn:schemas-microsoft-com:office:smarttags" w:element="stockticker">
        <w:r w:rsidRPr="007B7547">
          <w:t>AMR</w:t>
        </w:r>
      </w:smartTag>
      <w:r w:rsidRPr="007B7547">
        <w:t>09) (May 18, 2010); http://www.iso-ne.com/markets/mktmonmit/rpts/index.html.</w:t>
      </w:r>
    </w:p>
  </w:footnote>
  <w:footnote w:id="54">
    <w:p w:rsidR="003C78A4" w:rsidRDefault="003C78A4" w:rsidP="00EC0545">
      <w:pPr>
        <w:pStyle w:val="FootnoteText"/>
      </w:pPr>
      <w:r w:rsidRPr="007B7547">
        <w:rPr>
          <w:rStyle w:val="FootnoteReference"/>
        </w:rPr>
        <w:footnoteRef/>
      </w:r>
      <w:r w:rsidRPr="007B7547">
        <w:t xml:space="preserve"> </w:t>
      </w:r>
      <w:r w:rsidRPr="00A8285B">
        <w:rPr>
          <w:i/>
          <w:iCs/>
        </w:rPr>
        <w:t>Installed capacity</w:t>
      </w:r>
      <w:r w:rsidRPr="007B7547">
        <w:t xml:space="preserve"> is the megawatt capability of a generating unit, dispatchable load, external resource or transaction, or demand resource that qualifies as a participant in the ISO’s Forward Capacity Market according to the market rules. Additional information is available at </w:t>
      </w:r>
      <w:hyperlink r:id="rId16" w:history="1">
        <w:r w:rsidRPr="007B7547">
          <w:t>http://www.iso-ne.com/markets/othrmkts_data/fcm/index.html</w:t>
        </w:r>
      </w:hyperlink>
      <w:r w:rsidRPr="007B7547">
        <w:t>.</w:t>
      </w:r>
    </w:p>
  </w:footnote>
  <w:footnote w:id="55">
    <w:p w:rsidR="003C78A4" w:rsidRDefault="003C78A4" w:rsidP="00EC0545">
      <w:pPr>
        <w:pStyle w:val="FootnoteText"/>
      </w:pPr>
      <w:r w:rsidRPr="007B7547">
        <w:rPr>
          <w:rStyle w:val="FootnoteReference"/>
        </w:rPr>
        <w:footnoteRef/>
      </w:r>
      <w:r w:rsidRPr="007B7547">
        <w:t xml:space="preserve"> </w:t>
      </w:r>
      <w:r w:rsidRPr="00A8285B">
        <w:rPr>
          <w:i/>
        </w:rPr>
        <w:t>Regulation</w:t>
      </w:r>
      <w:r w:rsidRPr="007B7547">
        <w:t xml:space="preserve"> is the capability of specially equipped generators to increase or decrease their generation output every four seconds in response to signals they receive from the ISO to control slight changes on the system.</w:t>
      </w:r>
    </w:p>
  </w:footnote>
  <w:footnote w:id="56">
    <w:p w:rsidR="003C78A4" w:rsidRDefault="003C78A4" w:rsidP="00EC0545">
      <w:pPr>
        <w:pStyle w:val="FootnoteText"/>
      </w:pPr>
      <w:r w:rsidRPr="007B7547">
        <w:rPr>
          <w:rStyle w:val="FootnoteReference"/>
        </w:rPr>
        <w:footnoteRef/>
      </w:r>
      <w:r w:rsidRPr="007B7547">
        <w:t xml:space="preserve"> </w:t>
      </w:r>
      <w:r w:rsidRPr="00A8285B">
        <w:rPr>
          <w:i/>
          <w:iCs/>
        </w:rPr>
        <w:t>Unloaded</w:t>
      </w:r>
      <w:r w:rsidRPr="007B7547">
        <w:t xml:space="preserve"> operating capacity is operational capacity </w:t>
      </w:r>
      <w:r w:rsidRPr="00C24CD4">
        <w:t xml:space="preserve">not generating electric energy but able to convert to generating energy. A </w:t>
      </w:r>
      <w:r w:rsidRPr="00C24CD4">
        <w:rPr>
          <w:i/>
          <w:iCs/>
        </w:rPr>
        <w:t>contingency</w:t>
      </w:r>
      <w:r w:rsidRPr="00C24CD4">
        <w:t xml:space="preserve"> is the sudden loss of a generation or transmission resource. A system’s </w:t>
      </w:r>
      <w:r w:rsidRPr="00C24CD4">
        <w:rPr>
          <w:i/>
          <w:iCs/>
        </w:rPr>
        <w:t>first contingency</w:t>
      </w:r>
      <w:r w:rsidRPr="00C24CD4">
        <w:t xml:space="preserve"> (N-1) is when the power element (facility) with the largest impact on system reliability is lost. A </w:t>
      </w:r>
      <w:r w:rsidRPr="00C24CD4">
        <w:rPr>
          <w:i/>
          <w:iCs/>
        </w:rPr>
        <w:t>second contingency</w:t>
      </w:r>
      <w:r w:rsidRPr="00C24CD4">
        <w:rPr>
          <w:iCs/>
        </w:rPr>
        <w:t xml:space="preserve"> </w:t>
      </w:r>
      <w:r w:rsidRPr="00C24CD4">
        <w:rPr>
          <w:iCs/>
        </w:rPr>
        <w:br/>
      </w:r>
      <w:r w:rsidRPr="00C24CD4">
        <w:t>(N-1-1) takes place after a first contingency has occurred and is the loss of the facility that then has the largest impact on the system.</w:t>
      </w:r>
    </w:p>
  </w:footnote>
  <w:footnote w:id="57">
    <w:p w:rsidR="003C78A4" w:rsidRDefault="003C78A4" w:rsidP="00EC0545">
      <w:pPr>
        <w:pStyle w:val="FootnoteText"/>
      </w:pPr>
      <w:r>
        <w:rPr>
          <w:rStyle w:val="FootnoteReference"/>
        </w:rPr>
        <w:footnoteRef/>
      </w:r>
      <w:r>
        <w:t xml:space="preserve"> Load zones can also have the same boundaries as </w:t>
      </w:r>
      <w:r w:rsidRPr="00CD5793">
        <w:rPr>
          <w:i/>
        </w:rPr>
        <w:t>reliability regions</w:t>
      </w:r>
      <w:r>
        <w:t xml:space="preserve">, which are intended to reflect the operating characteristics of, and the major constraints on, the New England transmission system. See </w:t>
      </w:r>
      <w:r w:rsidRPr="00CD5793">
        <w:rPr>
          <w:i/>
        </w:rPr>
        <w:t>Market Rule 1</w:t>
      </w:r>
      <w:r>
        <w:t xml:space="preserve">, Section III.2.7 of the ISO tariff; </w:t>
      </w:r>
      <w:r w:rsidRPr="00BB7846">
        <w:t>http://www.iso-ne.com/regulatory/tariff/sect_3/_mr1_sect_1-12.pdf</w:t>
      </w:r>
      <w:r>
        <w:t>.</w:t>
      </w:r>
    </w:p>
  </w:footnote>
  <w:footnote w:id="58">
    <w:p w:rsidR="003C78A4" w:rsidRDefault="003C78A4" w:rsidP="00EC0545">
      <w:pPr>
        <w:pStyle w:val="FootnoteText"/>
      </w:pPr>
      <w:r w:rsidRPr="007B7547">
        <w:rPr>
          <w:rStyle w:val="FootnoteReference"/>
        </w:rPr>
        <w:footnoteRef/>
      </w:r>
      <w:r w:rsidRPr="007B7547">
        <w:t xml:space="preserve"> The ISO tariff allows loads that meet specified requirements to request and receive nodal pricing.</w:t>
      </w:r>
    </w:p>
  </w:footnote>
  <w:footnote w:id="59">
    <w:p w:rsidR="003C78A4" w:rsidRDefault="003C78A4">
      <w:pPr>
        <w:pStyle w:val="FootnoteText"/>
      </w:pPr>
      <w:r>
        <w:rPr>
          <w:rStyle w:val="FootnoteReference"/>
        </w:rPr>
        <w:footnoteRef/>
      </w:r>
      <w:r>
        <w:t xml:space="preserve"> </w:t>
      </w:r>
      <w:r w:rsidRPr="007B7547">
        <w:rPr>
          <w:i/>
        </w:rPr>
        <w:t>Real-time emergency generation</w:t>
      </w:r>
      <w:r w:rsidRPr="007B7547">
        <w:t xml:space="preserve"> is distributed generation the ISO calls on to operate during certain voltage-reduction or more severe actions but must limit its operation to comply with the generation’s federal, state, or local air quality permit(s) or combination of permits.</w:t>
      </w:r>
    </w:p>
  </w:footnote>
  <w:footnote w:id="60">
    <w:p w:rsidR="003C78A4" w:rsidRDefault="003C78A4" w:rsidP="00EC0545">
      <w:pPr>
        <w:pStyle w:val="FootnoteText"/>
      </w:pPr>
      <w:r w:rsidRPr="007B7547">
        <w:rPr>
          <w:rStyle w:val="FootnoteReference"/>
        </w:rPr>
        <w:footnoteRef/>
      </w:r>
      <w:r w:rsidRPr="007B7547">
        <w:t xml:space="preserve"> The distribution of generation resources by RSP subarea is available in the ISO’s presentation, </w:t>
      </w:r>
      <w:r>
        <w:t>“</w:t>
      </w:r>
      <w:r w:rsidRPr="007B7547">
        <w:t>New England System Plan System Overview</w:t>
      </w:r>
      <w:r>
        <w:t>,”</w:t>
      </w:r>
      <w:r w:rsidRPr="007B7547">
        <w:t xml:space="preserve"> </w:t>
      </w:r>
      <w:r>
        <w:t xml:space="preserve">slide 12 </w:t>
      </w:r>
      <w:r w:rsidRPr="007B7547">
        <w:t>(March 31, 2009);</w:t>
      </w:r>
      <w:r>
        <w:br/>
      </w:r>
      <w:r w:rsidRPr="007B7547">
        <w:t>http://www.iso-ne.com/committees/comm_wkgrps/prtcpnts_comm/pac/mtrls/2009/mar312009/a_system_overview.pdf.</w:t>
      </w:r>
    </w:p>
  </w:footnote>
  <w:footnote w:id="61">
    <w:p w:rsidR="003C78A4" w:rsidRDefault="003C78A4" w:rsidP="00EC0545">
      <w:pPr>
        <w:pStyle w:val="FootnoteText"/>
      </w:pPr>
      <w:r w:rsidRPr="007B7547">
        <w:rPr>
          <w:rStyle w:val="FootnoteReference"/>
        </w:rPr>
        <w:footnoteRef/>
      </w:r>
      <w:r w:rsidRPr="007B7547">
        <w:t xml:space="preserve"> The ISO’s Capacity, Energy, Load, and Transmission (CELT) Reports and associated documentation contain more detailed information on short- and long-run forecast methodologies, models, and inputs; weather normalization; regional, state, subarea, and load-zone forecasts of annual electric energy use and peak loads; high- and low-forecast bandwidths; and retail electricity prices. They are available at “CELT Forecasting Details 2010</w:t>
      </w:r>
      <w:r>
        <w:t>;</w:t>
      </w:r>
      <w:r w:rsidRPr="007B7547">
        <w:t xml:space="preserve">” </w:t>
      </w:r>
      <w:hyperlink r:id="rId17" w:history="1">
        <w:r w:rsidRPr="00A525A9">
          <w:rPr>
            <w:rStyle w:val="Hyperlink"/>
            <w:color w:val="auto"/>
            <w:u w:val="none"/>
          </w:rPr>
          <w:t>http://www.iso-ne.com/trans/celt/fsct_detail/index.html</w:t>
        </w:r>
      </w:hyperlink>
      <w:r>
        <w:t xml:space="preserve">. Also see </w:t>
      </w:r>
      <w:r w:rsidRPr="002E67E2">
        <w:rPr>
          <w:i/>
        </w:rPr>
        <w:t>2010–2019 Forecast Report of Capacity, Energy, Loads, and Transmission</w:t>
      </w:r>
      <w:r>
        <w:rPr>
          <w:i/>
        </w:rPr>
        <w:t xml:space="preserve"> </w:t>
      </w:r>
      <w:r>
        <w:t xml:space="preserve">(May 18, 2010); </w:t>
      </w:r>
      <w:r w:rsidRPr="00B14E11">
        <w:t>http://www.iso-ne.com/trans/celt/report/</w:t>
      </w:r>
      <w:r w:rsidRPr="007B7547">
        <w:t>.</w:t>
      </w:r>
    </w:p>
  </w:footnote>
  <w:footnote w:id="62">
    <w:p w:rsidR="003C78A4" w:rsidRDefault="003C78A4" w:rsidP="00EC0545">
      <w:pPr>
        <w:pStyle w:val="FootnoteText"/>
      </w:pPr>
      <w:r w:rsidRPr="007B7547">
        <w:rPr>
          <w:rStyle w:val="FootnoteReference"/>
        </w:rPr>
        <w:footnoteRef/>
      </w:r>
      <w:r w:rsidRPr="007B7547">
        <w:t xml:space="preserve"> Refer to PAC materials presented on March 18, 2010;</w:t>
      </w:r>
      <w:r>
        <w:br/>
      </w:r>
      <w:r w:rsidRPr="007B7547">
        <w:t>http://iso-ne.com/committees/comm_wkgrps/prtcpnts_comm/pac/mtrls/2010/mar182010/index.html.</w:t>
      </w:r>
    </w:p>
  </w:footnote>
  <w:footnote w:id="63">
    <w:p w:rsidR="003C78A4" w:rsidRDefault="003C78A4" w:rsidP="00EC0545">
      <w:pPr>
        <w:pStyle w:val="FootnoteText"/>
      </w:pPr>
      <w:r w:rsidRPr="007B7547">
        <w:rPr>
          <w:rStyle w:val="FootnoteReference"/>
        </w:rPr>
        <w:footnoteRef/>
      </w:r>
      <w:r w:rsidRPr="007B7547">
        <w:t xml:space="preserve"> RSP09 (October 15, 2009); http://www.iso-ne.com/trans/rsp/2009/index.</w:t>
      </w:r>
    </w:p>
  </w:footnote>
  <w:footnote w:id="64">
    <w:p w:rsidR="003C78A4" w:rsidRDefault="003C78A4" w:rsidP="00EC0545">
      <w:pPr>
        <w:pStyle w:val="FootnoteText"/>
      </w:pPr>
      <w:r w:rsidRPr="007B7547">
        <w:rPr>
          <w:rStyle w:val="FootnoteReference"/>
        </w:rPr>
        <w:footnoteRef/>
      </w:r>
      <w:r w:rsidRPr="007B7547">
        <w:t xml:space="preserve"> </w:t>
      </w:r>
      <w:r>
        <w:t xml:space="preserve">Moody’s Analytics, Inc., </w:t>
      </w:r>
      <w:r w:rsidRPr="007B7547">
        <w:t>Economy.com</w:t>
      </w:r>
      <w:r>
        <w:t xml:space="preserve"> </w:t>
      </w:r>
      <w:r w:rsidRPr="007B7547">
        <w:t>(2009</w:t>
      </w:r>
      <w:r w:rsidRPr="0065459C">
        <w:rPr>
          <w:color w:val="000000" w:themeColor="text1"/>
        </w:rPr>
        <w:t xml:space="preserve">); </w:t>
      </w:r>
      <w:hyperlink r:id="rId18" w:history="1">
        <w:r w:rsidRPr="00B976C0">
          <w:rPr>
            <w:rStyle w:val="Hyperlink"/>
            <w:color w:val="000000" w:themeColor="text1"/>
            <w:u w:val="none"/>
          </w:rPr>
          <w:t xml:space="preserve">http://www.economy.com/default.asp. Electricity load forecasters throughout the United States and New England use Moody’s </w:t>
        </w:r>
      </w:hyperlink>
      <w:r w:rsidRPr="007B7547">
        <w:t xml:space="preserve">economic forecasts. </w:t>
      </w:r>
    </w:p>
  </w:footnote>
  <w:footnote w:id="65">
    <w:p w:rsidR="003C78A4" w:rsidRDefault="003C78A4" w:rsidP="00EC0545">
      <w:pPr>
        <w:pStyle w:val="FootnoteText"/>
      </w:pPr>
      <w:r w:rsidRPr="007B7547">
        <w:rPr>
          <w:rStyle w:val="FootnoteReference"/>
        </w:rPr>
        <w:footnoteRef/>
      </w:r>
      <w:r w:rsidRPr="007B7547">
        <w:t xml:space="preserve"> The increase in electric energy savings attributable to </w:t>
      </w:r>
      <w:r w:rsidRPr="00596573">
        <w:rPr>
          <w:i/>
        </w:rPr>
        <w:t>active demand resources</w:t>
      </w:r>
      <w:r w:rsidRPr="007B7547">
        <w:t xml:space="preserve"> (i.e., demand-response resources that reduce peak load; see Section 4.2.1.1) is insignificant.</w:t>
      </w:r>
    </w:p>
  </w:footnote>
  <w:footnote w:id="66">
    <w:p w:rsidR="003C78A4" w:rsidRDefault="003C78A4" w:rsidP="00EC0545">
      <w:pPr>
        <w:pStyle w:val="FootnoteText"/>
      </w:pPr>
      <w:r w:rsidRPr="007B7547">
        <w:rPr>
          <w:rStyle w:val="FootnoteReference"/>
        </w:rPr>
        <w:footnoteRef/>
      </w:r>
      <w:r w:rsidRPr="007B7547">
        <w:t xml:space="preserve"> The compound annual growth rate (CAGR) is calculated as follows:</w:t>
      </w:r>
    </w:p>
    <w:p w:rsidR="003C78A4" w:rsidRDefault="003C78A4" w:rsidP="00EC0545">
      <w:pPr>
        <w:pStyle w:val="FootnoteText"/>
      </w:pPr>
      <w:r>
        <w:rPr>
          <w:noProof/>
        </w:rPr>
        <w:drawing>
          <wp:inline distT="0" distB="0" distL="0" distR="0">
            <wp:extent cx="2908300" cy="406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908300" cy="406400"/>
                    </a:xfrm>
                    <a:prstGeom prst="rect">
                      <a:avLst/>
                    </a:prstGeom>
                    <a:noFill/>
                    <a:ln w="9525">
                      <a:noFill/>
                      <a:miter lim="800000"/>
                      <a:headEnd/>
                      <a:tailEnd/>
                    </a:ln>
                  </pic:spPr>
                </pic:pic>
              </a:graphicData>
            </a:graphic>
          </wp:inline>
        </w:drawing>
      </w:r>
    </w:p>
  </w:footnote>
  <w:footnote w:id="67">
    <w:p w:rsidR="003C78A4" w:rsidRDefault="003C78A4" w:rsidP="00EC0545">
      <w:pPr>
        <w:pStyle w:val="FootnoteText"/>
      </w:pPr>
      <w:r w:rsidRPr="007B7547">
        <w:rPr>
          <w:rStyle w:val="FootnoteReference"/>
        </w:rPr>
        <w:footnoteRef/>
      </w:r>
      <w:r w:rsidRPr="007B7547">
        <w:t xml:space="preserve"> The inflation rate was obtained from Moody’s </w:t>
      </w:r>
      <w:r>
        <w:t xml:space="preserve">Analytics, </w:t>
      </w:r>
      <w:r w:rsidRPr="001F685E">
        <w:t>Economy.com</w:t>
      </w:r>
      <w:r>
        <w:t>,</w:t>
      </w:r>
      <w:r w:rsidRPr="007B7547">
        <w:t xml:space="preserve"> as part of </w:t>
      </w:r>
      <w:r>
        <w:t>its</w:t>
      </w:r>
      <w:r w:rsidRPr="007B7547">
        <w:t xml:space="preserve"> November 2009 economic forecast.</w:t>
      </w:r>
      <w:r w:rsidRPr="007B7547">
        <w:br/>
      </w:r>
      <w:r w:rsidRPr="001E041A">
        <w:rPr>
          <w:i/>
        </w:rPr>
        <w:t>Order Accepting in Part and Modifying in Part Standard Market Design Filing and Dismissing Compliance Filing</w:t>
      </w:r>
      <w:r w:rsidRPr="007B7547">
        <w:t>, FERC Docket Nos. ER02-2330-000 and EL00-62-039 (September 20, 2002)</w:t>
      </w:r>
      <w:r>
        <w:t xml:space="preserve">, </w:t>
      </w:r>
      <w:r w:rsidRPr="007B7547">
        <w:t xml:space="preserve">37. For background information, see </w:t>
      </w:r>
      <w:r w:rsidRPr="001E041A">
        <w:rPr>
          <w:i/>
        </w:rPr>
        <w:t>Explanatory Statement in Support of Settlement Agreement of the Settling Parties and Request for Expedited Consideration and Settlement Agreement Resolving All Issues</w:t>
      </w:r>
      <w:r w:rsidRPr="007B7547">
        <w:t>, FERC Docket Nos. ER03-563-000, -030, -055 (filed March 6, 2006; as amended March 7, 2006). Refer to AMR09, Section 2.2 and Section 4, for more information on the FCM;</w:t>
      </w:r>
      <w:r>
        <w:br/>
      </w:r>
      <w:hyperlink r:id="rId20" w:history="1">
        <w:r w:rsidRPr="007B7547">
          <w:rPr>
            <w:rStyle w:val="Hyperlink"/>
            <w:color w:val="000000" w:themeColor="text1"/>
            <w:u w:val="none"/>
          </w:rPr>
          <w:t>http://www.iso-ne.com/markets/mkt_anlys_rpts/annl_mkt_rpts/index.html</w:t>
        </w:r>
      </w:hyperlink>
      <w:r w:rsidRPr="007B7547">
        <w:t>.</w:t>
      </w:r>
    </w:p>
  </w:footnote>
  <w:footnote w:id="68">
    <w:p w:rsidR="003C78A4" w:rsidRDefault="003C78A4" w:rsidP="00EC0545">
      <w:pPr>
        <w:pStyle w:val="FootnoteText"/>
      </w:pPr>
      <w:r w:rsidRPr="007B7547">
        <w:rPr>
          <w:rStyle w:val="FootnoteReference"/>
        </w:rPr>
        <w:footnoteRef/>
      </w:r>
      <w:r w:rsidRPr="007B7547">
        <w:t xml:space="preserve"> </w:t>
      </w:r>
      <w:r w:rsidRPr="001E041A">
        <w:rPr>
          <w:i/>
        </w:rPr>
        <w:t>Peak energy rent</w:t>
      </w:r>
      <w:r w:rsidRPr="007B7547">
        <w:t xml:space="preserve"> reduces capacity market payments for all capacity resources, typically when electricity demand is high and prices in the electric energy markets go above the PER </w:t>
      </w:r>
      <w:r w:rsidRPr="00E91A0C">
        <w:rPr>
          <w:i/>
        </w:rPr>
        <w:t>threshold price</w:t>
      </w:r>
      <w:r w:rsidRPr="007B7547">
        <w:t xml:space="preserve"> (i.e., an estimate of the electric energy cost of the most expensive resource on the system). Section </w:t>
      </w:r>
      <w:fldSimple w:instr=" REF _Ref265056087 \r \h  \* MERGEFORMAT ">
        <w:r w:rsidR="00E5699E">
          <w:t>4.2.2</w:t>
        </w:r>
      </w:fldSimple>
      <w:r w:rsidRPr="007B7547">
        <w:t xml:space="preserve"> contains additional information on the FCA.</w:t>
      </w:r>
    </w:p>
  </w:footnote>
  <w:footnote w:id="69">
    <w:p w:rsidR="003C78A4" w:rsidRDefault="003C78A4" w:rsidP="00EC0545">
      <w:pPr>
        <w:pStyle w:val="FootnoteText"/>
      </w:pPr>
      <w:r w:rsidRPr="007B7547">
        <w:rPr>
          <w:rStyle w:val="FootnoteReference"/>
        </w:rPr>
        <w:footnoteRef/>
      </w:r>
      <w:r w:rsidRPr="007B7547">
        <w:t xml:space="preserve"> </w:t>
      </w:r>
      <w:r w:rsidRPr="001E041A">
        <w:rPr>
          <w:i/>
        </w:rPr>
        <w:t>American Recovery and Reinvestment Act of 2009</w:t>
      </w:r>
      <w:r>
        <w:t>,</w:t>
      </w:r>
      <w:r w:rsidRPr="007B7547">
        <w:t xml:space="preserve"> Stimulus Bill, </w:t>
      </w:r>
      <w:r>
        <w:t xml:space="preserve">U.S. </w:t>
      </w:r>
      <w:r w:rsidRPr="007B7547">
        <w:t>Pub</w:t>
      </w:r>
      <w:r>
        <w:t xml:space="preserve">lic </w:t>
      </w:r>
      <w:r w:rsidRPr="007B7547">
        <w:t>L</w:t>
      </w:r>
      <w:r>
        <w:t>aw</w:t>
      </w:r>
      <w:r w:rsidRPr="007B7547">
        <w:t xml:space="preserve"> 111-5, H.R. 1, S. 1 (February 17, 2009); http://www.gpo.gov/fdsys/pkg/PLAW-111publ5/content-detail.html. Several articles by</w:t>
      </w:r>
      <w:r>
        <w:t xml:space="preserve"> Moody’s Analytics, </w:t>
      </w:r>
      <w:r w:rsidRPr="001F685E">
        <w:t>Economy.com</w:t>
      </w:r>
      <w:r>
        <w:t>,</w:t>
      </w:r>
      <w:r w:rsidRPr="007B7547">
        <w:t xml:space="preserve"> detail and explain its forecast</w:t>
      </w:r>
      <w:r>
        <w:t xml:space="preserve"> and are available at “Economy.com January 2009 Economic Forecasting Articles;”</w:t>
      </w:r>
      <w:r>
        <w:br/>
      </w:r>
      <w:hyperlink r:id="rId21" w:history="1">
        <w:r w:rsidRPr="007B7547">
          <w:rPr>
            <w:rStyle w:val="Hyperlink"/>
            <w:color w:val="000000" w:themeColor="text1"/>
            <w:u w:val="none"/>
          </w:rPr>
          <w:t>http://www.iso-ne.com/committees/comm_wkgrps/prtcpnts_comm/pac/mtrls/2009/feb252009/index.html</w:t>
        </w:r>
      </w:hyperlink>
      <w:r w:rsidRPr="007B7547">
        <w:t xml:space="preserve">. </w:t>
      </w:r>
    </w:p>
  </w:footnote>
  <w:footnote w:id="70">
    <w:p w:rsidR="003C78A4" w:rsidRDefault="003C78A4" w:rsidP="00EC0545">
      <w:pPr>
        <w:pStyle w:val="FootnoteText"/>
      </w:pPr>
      <w:r w:rsidRPr="00BF3723">
        <w:rPr>
          <w:rStyle w:val="FootnoteReference"/>
        </w:rPr>
        <w:footnoteRef/>
      </w:r>
      <w:r w:rsidRPr="007B7547">
        <w:rPr>
          <w:b/>
        </w:rPr>
        <w:t xml:space="preserve"> </w:t>
      </w:r>
      <w:r w:rsidRPr="00BF3723">
        <w:t>Office of</w:t>
      </w:r>
      <w:r>
        <w:rPr>
          <w:b/>
        </w:rPr>
        <w:t xml:space="preserve"> </w:t>
      </w:r>
      <w:r w:rsidRPr="00BF3723">
        <w:t>Energy Efficiency and Renewable Energy</w:t>
      </w:r>
      <w:r>
        <w:t xml:space="preserve">, DOE, </w:t>
      </w:r>
      <w:r w:rsidRPr="001E041A">
        <w:t>“</w:t>
      </w:r>
      <w:r w:rsidRPr="007B7547">
        <w:t>Appliances and Commercial Equipment Standards Program</w:t>
      </w:r>
      <w:r>
        <w:t xml:space="preserve">” Web site </w:t>
      </w:r>
      <w:r w:rsidRPr="007B7547">
        <w:t>(April 24, 2009); http://www1.eere.energy.gov/buildings/appliance_standards/.</w:t>
      </w:r>
    </w:p>
  </w:footnote>
  <w:footnote w:id="71">
    <w:p w:rsidR="003C78A4" w:rsidRDefault="003C78A4" w:rsidP="00EC0545">
      <w:pPr>
        <w:pStyle w:val="FootnoteText"/>
      </w:pPr>
      <w:r w:rsidRPr="007B7547">
        <w:rPr>
          <w:rStyle w:val="FootnoteReference"/>
        </w:rPr>
        <w:footnoteRef/>
      </w:r>
      <w:r w:rsidRPr="007B7547">
        <w:t xml:space="preserve"> Details of the loads are available at “CELT Forecasting Details 2010;”</w:t>
      </w:r>
      <w:r w:rsidRPr="007B7547">
        <w:br/>
        <w:t xml:space="preserve">http://www.iso-ne.com/trans/celt/fsct_detail/index.html. </w:t>
      </w:r>
      <w:r>
        <w:t>Also see t</w:t>
      </w:r>
      <w:r w:rsidRPr="007B7547">
        <w:t xml:space="preserve">he full </w:t>
      </w:r>
      <w:r>
        <w:t xml:space="preserve">2010 </w:t>
      </w:r>
      <w:r w:rsidRPr="007B7547">
        <w:t>CELT report</w:t>
      </w:r>
      <w:r>
        <w:t xml:space="preserve">; </w:t>
      </w:r>
      <w:r w:rsidRPr="00B14E11">
        <w:t>http://www.iso-ne.com/trans/celt/report/</w:t>
      </w:r>
      <w:r w:rsidRPr="007B7547">
        <w:t>.</w:t>
      </w:r>
    </w:p>
  </w:footnote>
  <w:footnote w:id="72">
    <w:p w:rsidR="003C78A4" w:rsidRDefault="003C78A4" w:rsidP="00EC0545">
      <w:pPr>
        <w:pStyle w:val="FootnoteText"/>
      </w:pPr>
      <w:r w:rsidRPr="007B7547">
        <w:rPr>
          <w:rStyle w:val="FootnoteReference"/>
        </w:rPr>
        <w:footnoteRef/>
      </w:r>
      <w:r w:rsidRPr="007B7547">
        <w:t xml:space="preserve"> For additional information, refer to the pricing node tables available at “Settlement Model Information;”</w:t>
      </w:r>
      <w:r>
        <w:br/>
      </w:r>
      <w:r w:rsidRPr="007B7547">
        <w:t>http://www.iso-ne.com/stlmnts/stlmnt_mod_info/index.html.</w:t>
      </w:r>
    </w:p>
  </w:footnote>
  <w:footnote w:id="73">
    <w:p w:rsidR="003C78A4" w:rsidRDefault="003C78A4" w:rsidP="00EC0545">
      <w:pPr>
        <w:pStyle w:val="FootnoteText"/>
      </w:pPr>
      <w:r>
        <w:rPr>
          <w:rStyle w:val="FootnoteReference"/>
        </w:rPr>
        <w:footnoteRef/>
      </w:r>
      <w:r>
        <w:t xml:space="preserve"> </w:t>
      </w:r>
      <w:r w:rsidRPr="00276F20">
        <w:t>20</w:t>
      </w:r>
      <w:r>
        <w:t>1</w:t>
      </w:r>
      <w:r w:rsidRPr="00276F20">
        <w:t>0–201</w:t>
      </w:r>
      <w:r>
        <w:t>9</w:t>
      </w:r>
      <w:r w:rsidRPr="00276F20">
        <w:t xml:space="preserve"> Forecast Report of Capacity, Energy, Loads, and Transmission</w:t>
      </w:r>
      <w:r>
        <w:t>;</w:t>
      </w:r>
      <w:r>
        <w:br/>
      </w:r>
      <w:r w:rsidRPr="00A525A9">
        <w:t>http://www.iso-ne.com/trans/celt/report/index.html.</w:t>
      </w:r>
    </w:p>
  </w:footnote>
  <w:footnote w:id="74">
    <w:p w:rsidR="003C78A4" w:rsidRDefault="003C78A4" w:rsidP="00EC0545">
      <w:pPr>
        <w:pStyle w:val="FootnoteText"/>
      </w:pPr>
      <w:r w:rsidRPr="007B7547">
        <w:rPr>
          <w:rStyle w:val="FootnoteReference"/>
        </w:rPr>
        <w:footnoteRef/>
      </w:r>
      <w:r w:rsidRPr="007B7547">
        <w:t xml:space="preserve"> Increased energy savings attributable to </w:t>
      </w:r>
      <w:r>
        <w:t>other demand resources (</w:t>
      </w:r>
      <w:r w:rsidRPr="007B7547">
        <w:t>ODRs</w:t>
      </w:r>
      <w:r>
        <w:t>)</w:t>
      </w:r>
      <w:r w:rsidRPr="007B7547">
        <w:t xml:space="preserve"> reduced the growth in weather-normalized electric energy consumption by 50% from 2008 to 2009. </w:t>
      </w:r>
      <w:r w:rsidRPr="007B7547">
        <w:rPr>
          <w:i/>
        </w:rPr>
        <w:t>Other demand resources</w:t>
      </w:r>
      <w:r w:rsidRPr="007B7547">
        <w:t xml:space="preserve"> consist of energy-efficiency measures, load management, and distributed generation. These types of demand resources typically are nondispatchable and tend to reduce end-use demand on the electricity network across many hours but usually not in direct response to changing hourly wholesale prices. Refer to the ISO’s </w:t>
      </w:r>
      <w:r w:rsidRPr="007B7547">
        <w:rPr>
          <w:i/>
        </w:rPr>
        <w:t>2009 Regional System Plan</w:t>
      </w:r>
      <w:r w:rsidRPr="007B7547">
        <w:t xml:space="preserve"> (RSP09) (October 15, 2009), Section 4.2.4.3, for additional information on ODRs; http://www.iso-ne.com/trans/rsp/2009/index.</w:t>
      </w:r>
    </w:p>
  </w:footnote>
  <w:footnote w:id="75">
    <w:p w:rsidR="003C78A4" w:rsidRDefault="003C78A4" w:rsidP="00EC0545">
      <w:pPr>
        <w:pStyle w:val="FootnoteText"/>
      </w:pPr>
      <w:r w:rsidRPr="007B7547">
        <w:rPr>
          <w:rStyle w:val="FootnoteReference"/>
        </w:rPr>
        <w:footnoteRef/>
      </w:r>
      <w:r w:rsidRPr="007B7547">
        <w:t xml:space="preserve"> A </w:t>
      </w:r>
      <w:r w:rsidRPr="001E041A">
        <w:rPr>
          <w:i/>
        </w:rPr>
        <w:t>capacity supply obligation</w:t>
      </w:r>
      <w:r w:rsidRPr="007B7547">
        <w:t xml:space="preserve"> is a requirement for a resource to provide capacity, or a portion of capacity, to satisfy a portion of the ISO’s Installed Capacity Requirement that is acquired through an FCA, a reconfiguration auction, or a CSO bilateral contract through which a market participant may transfer all or part of its CSO to another entity.</w:t>
      </w:r>
    </w:p>
  </w:footnote>
  <w:footnote w:id="76">
    <w:p w:rsidR="003C78A4" w:rsidRDefault="003C78A4" w:rsidP="00EC0545">
      <w:pPr>
        <w:pStyle w:val="FootnoteText"/>
      </w:pPr>
      <w:r w:rsidRPr="007B7547">
        <w:rPr>
          <w:rStyle w:val="FootnoteReference"/>
        </w:rPr>
        <w:footnoteRef/>
      </w:r>
      <w:r w:rsidRPr="007B7547">
        <w:t xml:space="preserve"> See the PAC agenda summary at http://www.iso-ne.com/committees/comm_wkgrps/prtcpnts_comm/pac/mins/index.html.</w:t>
      </w:r>
    </w:p>
  </w:footnote>
  <w:footnote w:id="77">
    <w:p w:rsidR="003C78A4" w:rsidRDefault="003C78A4" w:rsidP="00EC0545">
      <w:pPr>
        <w:pStyle w:val="FootnoteText"/>
      </w:pPr>
      <w:r w:rsidRPr="007B7547">
        <w:rPr>
          <w:rStyle w:val="FootnoteReference"/>
        </w:rPr>
        <w:footnoteRef/>
      </w:r>
      <w:r w:rsidRPr="007B7547">
        <w:t xml:space="preserve"> The </w:t>
      </w:r>
      <w:r w:rsidRPr="007B7547">
        <w:rPr>
          <w:i/>
        </w:rPr>
        <w:t>queue</w:t>
      </w:r>
      <w:r w:rsidRPr="007B7547">
        <w:t xml:space="preserve"> includes the requests submitted by generators to interconnect to the ISO New England electric power system.</w:t>
      </w:r>
    </w:p>
  </w:footnote>
  <w:footnote w:id="78">
    <w:p w:rsidR="003C78A4" w:rsidRDefault="003C78A4" w:rsidP="00EC0545">
      <w:pPr>
        <w:pStyle w:val="FootnoteText"/>
      </w:pPr>
      <w:r w:rsidRPr="007B7547">
        <w:rPr>
          <w:rStyle w:val="FootnoteReference"/>
        </w:rPr>
        <w:footnoteRef/>
      </w:r>
      <w:r w:rsidRPr="007B7547">
        <w:t xml:space="preserve"> </w:t>
      </w:r>
      <w:r w:rsidRPr="007B7547">
        <w:rPr>
          <w:i/>
        </w:rPr>
        <w:t>Deterministic analyses</w:t>
      </w:r>
      <w:r w:rsidRPr="007B7547">
        <w:t xml:space="preserve"> are snapshots of assumed specific conditions that do not attempt to quantify the likelihood that these conditions will actually materialize. The results are based on analyzing a set of conditions representing a specific scenario.</w:t>
      </w:r>
    </w:p>
  </w:footnote>
  <w:footnote w:id="79">
    <w:p w:rsidR="003C78A4" w:rsidRDefault="003C78A4" w:rsidP="00EC0545">
      <w:pPr>
        <w:pStyle w:val="FootnoteText"/>
      </w:pPr>
      <w:r w:rsidRPr="007B7547">
        <w:rPr>
          <w:rStyle w:val="FootnoteReference"/>
        </w:rPr>
        <w:footnoteRef/>
      </w:r>
      <w:r w:rsidRPr="007B7547">
        <w:t xml:space="preserve"> </w:t>
      </w:r>
      <w:r w:rsidRPr="007B7547">
        <w:rPr>
          <w:i/>
        </w:rPr>
        <w:t>Probabilistic analyses</w:t>
      </w:r>
      <w:r w:rsidRPr="007B7547">
        <w:t xml:space="preserve"> use statistical estimates of the likelihood of an event taking place and explicitly recognize that the inputs are uncertain. </w:t>
      </w:r>
    </w:p>
  </w:footnote>
  <w:footnote w:id="80">
    <w:p w:rsidR="003C78A4" w:rsidRDefault="003C78A4" w:rsidP="00EC0545">
      <w:pPr>
        <w:pStyle w:val="FootnoteText"/>
      </w:pPr>
      <w:r w:rsidRPr="007B7547">
        <w:rPr>
          <w:rStyle w:val="FootnoteReference"/>
        </w:rPr>
        <w:footnoteRef/>
      </w:r>
      <w:r w:rsidRPr="007B7547">
        <w:t xml:space="preserve"> Not meeting this criterion could result in a penalty, currently being developed by the NPCC, for the New England Balancing Authority Area. Additional information is available at </w:t>
      </w:r>
      <w:hyperlink r:id="rId22" w:history="1">
        <w:r w:rsidRPr="007B7547">
          <w:t>http://www.npcc.org/documents/regStandards/Criteria.aspx</w:t>
        </w:r>
      </w:hyperlink>
      <w:r w:rsidRPr="007B7547">
        <w:t>. However, the amount procured may exceed the ICR as a result of price floors established during the development of the FCM—in which case, all the resources offered to the market would clear below the established floor price—or because the size of the marginal resource that cleared in the auction was larger than the amount needed. The FCM rules allow for intermediate adjustments to the amount of procured capacity to account for expected changes in system conditions.</w:t>
      </w:r>
    </w:p>
  </w:footnote>
  <w:footnote w:id="81">
    <w:p w:rsidR="003C78A4" w:rsidRDefault="003C78A4" w:rsidP="00EC0545">
      <w:pPr>
        <w:pStyle w:val="FootnoteText"/>
      </w:pPr>
      <w:r w:rsidRPr="007B7547">
        <w:rPr>
          <w:rStyle w:val="FootnoteReference"/>
        </w:rPr>
        <w:footnoteRef/>
      </w:r>
      <w:r w:rsidRPr="007B7547">
        <w:t xml:space="preserve"> </w:t>
      </w:r>
      <w:r w:rsidRPr="007B7547">
        <w:rPr>
          <w:i/>
        </w:rPr>
        <w:t>Tie-line benefits</w:t>
      </w:r>
      <w:r w:rsidRPr="007B7547">
        <w:t xml:space="preserve"> account for both the transmission-transfer capability of the tie lines and the emergency capacity assistance that may be available from neighboring systems when and if New England would need it.</w:t>
      </w:r>
    </w:p>
  </w:footnote>
  <w:footnote w:id="82">
    <w:p w:rsidR="003C78A4" w:rsidRDefault="003C78A4" w:rsidP="00EC0545">
      <w:pPr>
        <w:pStyle w:val="FootnoteText"/>
      </w:pPr>
      <w:r w:rsidRPr="007B7547">
        <w:rPr>
          <w:rStyle w:val="FootnoteReference"/>
        </w:rPr>
        <w:footnoteRef/>
      </w:r>
      <w:r w:rsidRPr="007B7547">
        <w:t xml:space="preserve"> A </w:t>
      </w:r>
      <w:r w:rsidRPr="007B7547">
        <w:rPr>
          <w:i/>
        </w:rPr>
        <w:t>bus</w:t>
      </w:r>
      <w:r w:rsidRPr="007B7547">
        <w:t xml:space="preserve"> is a point of interconnection to the system. Internal transmission constraints are addressed through the modeling of local sourcing requirements (LSRs) and maximum capacity limits (MCLs); see Section </w:t>
      </w:r>
      <w:fldSimple w:instr=" REF _Ref231194169 \r \h  \* MERGEFORMAT ">
        <w:r w:rsidR="00E5699E">
          <w:t>4.1.2</w:t>
        </w:r>
      </w:fldSimple>
      <w:r w:rsidRPr="007B7547">
        <w:t>.</w:t>
      </w:r>
    </w:p>
  </w:footnote>
  <w:footnote w:id="83">
    <w:p w:rsidR="003C78A4" w:rsidRDefault="003C78A4" w:rsidP="00EC0545">
      <w:pPr>
        <w:pStyle w:val="FootnoteText"/>
      </w:pPr>
      <w:r w:rsidRPr="007B7547">
        <w:rPr>
          <w:rStyle w:val="FootnoteReference"/>
        </w:rPr>
        <w:footnoteRef/>
      </w:r>
      <w:r w:rsidRPr="007B7547">
        <w:t xml:space="preserve"> For the 2010/2011 ICR calculations, the purchases and sales data are based on the values published in the </w:t>
      </w:r>
      <w:r w:rsidRPr="00B14E11">
        <w:t>ISO</w:t>
      </w:r>
      <w:r>
        <w:t>’s</w:t>
      </w:r>
      <w:r w:rsidRPr="00B14E11">
        <w:t xml:space="preserve"> </w:t>
      </w:r>
      <w:r>
        <w:t>2010 CELT Report</w:t>
      </w:r>
      <w:r w:rsidRPr="007B7547">
        <w:t>; http://www.iso-ne.com/trans/celt/index.html.</w:t>
      </w:r>
    </w:p>
  </w:footnote>
  <w:footnote w:id="84">
    <w:p w:rsidR="003C78A4" w:rsidRDefault="003C78A4" w:rsidP="00EC0545">
      <w:pPr>
        <w:pStyle w:val="FootnoteText"/>
      </w:pPr>
      <w:r w:rsidRPr="007B7547">
        <w:rPr>
          <w:rStyle w:val="FootnoteReference"/>
        </w:rPr>
        <w:footnoteRef/>
      </w:r>
      <w:r w:rsidRPr="007B7547">
        <w:t xml:space="preserve"> </w:t>
      </w:r>
      <w:r w:rsidRPr="00B14E11">
        <w:rPr>
          <w:i/>
        </w:rPr>
        <w:t>Established</w:t>
      </w:r>
      <w:r w:rsidRPr="007B7547">
        <w:t xml:space="preserve"> ICR values refer to the values that either have been approved by FERC or have been filed with FERC for approval. </w:t>
      </w:r>
      <w:r w:rsidRPr="00B14E11">
        <w:rPr>
          <w:i/>
        </w:rPr>
        <w:t>Representative net</w:t>
      </w:r>
      <w:r w:rsidRPr="007B7547">
        <w:t xml:space="preserve"> ICR values are the representative I</w:t>
      </w:r>
      <w:r>
        <w:t>CR</w:t>
      </w:r>
      <w:r w:rsidRPr="007B7547">
        <w:t xml:space="preserve">s for the region, minus the tie-reliability benefits associated with the Hydro-Québec Phase I/II Interface (termed HQICCs). As defined in the ISO’s tariff, the </w:t>
      </w:r>
      <w:r w:rsidRPr="00B000DC">
        <w:rPr>
          <w:i/>
        </w:rPr>
        <w:t>HQICC</w:t>
      </w:r>
      <w:r w:rsidRPr="007B7547">
        <w:t xml:space="preserve"> is a monthly value that reflects the annual installed capacity benefits of the HQ Interconnection, as determined by the ISO using a standard methodology on file with FERC. The ISO calculates representative net ICR values solely to inform New England stakeholders; these values have not and will not be filed with FERC for approval. Capacity commitment periods, also referred to as capability years, run from June 1 through May 31of the following year.</w:t>
      </w:r>
    </w:p>
  </w:footnote>
  <w:footnote w:id="85">
    <w:p w:rsidR="003C78A4" w:rsidRDefault="003C78A4" w:rsidP="00EC0545">
      <w:pPr>
        <w:pStyle w:val="FootnoteText"/>
      </w:pPr>
      <w:r w:rsidRPr="007B7547">
        <w:rPr>
          <w:rStyle w:val="FootnoteReference"/>
        </w:rPr>
        <w:footnoteRef/>
      </w:r>
      <w:r w:rsidRPr="007B7547">
        <w:t xml:space="preserve"> The most recent version of this presentation is available at</w:t>
      </w:r>
      <w:r>
        <w:br/>
      </w:r>
      <w:r w:rsidRPr="007B7547">
        <w:t xml:space="preserve">http://www.iso-ne.com/committees/comm_wkgrps/prtcpnts_comm/pac/mtrls/2010/apr272010/icr_values.pdf. </w:t>
      </w:r>
    </w:p>
  </w:footnote>
  <w:footnote w:id="86">
    <w:p w:rsidR="003C78A4" w:rsidRDefault="003C78A4" w:rsidP="00EC0545">
      <w:pPr>
        <w:pStyle w:val="FootnoteText"/>
      </w:pPr>
      <w:r w:rsidRPr="007B7547">
        <w:rPr>
          <w:rStyle w:val="FootnoteReference"/>
        </w:rPr>
        <w:footnoteRef/>
      </w:r>
      <w:r w:rsidRPr="007B7547">
        <w:t xml:space="preserve"> </w:t>
      </w:r>
      <w:r w:rsidRPr="00B000DC">
        <w:rPr>
          <w:i/>
        </w:rPr>
        <w:t>Resulting reserves</w:t>
      </w:r>
      <w:r w:rsidRPr="007B7547">
        <w:t xml:space="preserve"> are the amount of capacity in excess of the forecast 50/50 peak load. Percent resulting reserves =</w:t>
      </w:r>
      <w:r>
        <w:br/>
      </w:r>
      <w:r w:rsidRPr="007B7547">
        <w:t xml:space="preserve">[{(Net ICR − 50/50 peak load) ÷ 50/50 peak load} × 100]. </w:t>
      </w:r>
    </w:p>
  </w:footnote>
  <w:footnote w:id="87">
    <w:p w:rsidR="003C78A4" w:rsidRDefault="003C78A4">
      <w:pPr>
        <w:spacing w:after="80" w:line="240" w:lineRule="auto"/>
        <w:rPr>
          <w:rFonts w:cs="Times New Roman"/>
          <w:sz w:val="18"/>
          <w:szCs w:val="18"/>
        </w:rPr>
      </w:pPr>
      <w:r>
        <w:rPr>
          <w:rStyle w:val="FootnoteReference"/>
          <w:szCs w:val="18"/>
        </w:rPr>
        <w:footnoteRef/>
      </w:r>
      <w:r w:rsidRPr="007B7547">
        <w:rPr>
          <w:rFonts w:cs="Times New Roman"/>
          <w:sz w:val="18"/>
          <w:szCs w:val="18"/>
        </w:rPr>
        <w:t xml:space="preserve"> </w:t>
      </w:r>
      <w:r>
        <w:rPr>
          <w:rStyle w:val="Hyperlink"/>
          <w:rFonts w:cs="Times New Roman"/>
          <w:color w:val="000000" w:themeColor="text1"/>
          <w:sz w:val="18"/>
          <w:szCs w:val="18"/>
          <w:u w:val="none"/>
        </w:rPr>
        <w:t xml:space="preserve">The ISO submitted the ICR </w:t>
      </w:r>
      <w:r>
        <w:rPr>
          <w:rStyle w:val="Hyperlink"/>
          <w:rFonts w:eastAsia="Times New Roman" w:cs="Times New Roman"/>
          <w:color w:val="000000" w:themeColor="text1"/>
          <w:sz w:val="18"/>
          <w:szCs w:val="18"/>
          <w:u w:val="none"/>
        </w:rPr>
        <w:t>filing to FERC on</w:t>
      </w:r>
      <w:r>
        <w:rPr>
          <w:rStyle w:val="Hyperlink"/>
          <w:rFonts w:cs="Times New Roman"/>
          <w:color w:val="000000" w:themeColor="text1"/>
          <w:sz w:val="18"/>
          <w:szCs w:val="18"/>
          <w:u w:val="none"/>
        </w:rPr>
        <w:t xml:space="preserve"> May 4</w:t>
      </w:r>
      <w:r>
        <w:rPr>
          <w:rStyle w:val="Hyperlink"/>
          <w:rFonts w:eastAsia="Times New Roman" w:cs="Times New Roman"/>
          <w:color w:val="000000" w:themeColor="text1"/>
          <w:sz w:val="18"/>
          <w:szCs w:val="18"/>
          <w:u w:val="none"/>
        </w:rPr>
        <w:t>, 2010; it is available at</w:t>
      </w:r>
      <w:r>
        <w:rPr>
          <w:rStyle w:val="Hyperlink"/>
          <w:rFonts w:eastAsia="Times New Roman" w:cs="Times New Roman"/>
          <w:color w:val="000000" w:themeColor="text1"/>
          <w:sz w:val="18"/>
          <w:szCs w:val="18"/>
          <w:u w:val="none"/>
        </w:rPr>
        <w:br/>
      </w:r>
      <w:r w:rsidRPr="007B7547">
        <w:rPr>
          <w:rFonts w:cs="Times New Roman"/>
          <w:sz w:val="18"/>
          <w:szCs w:val="18"/>
        </w:rPr>
        <w:t>http://www.iso-ne.com/regulatory/ferc/filings/2010/may/er10-___-000_05-04-10_icr_2013-2014.pdf</w:t>
      </w:r>
      <w:r>
        <w:rPr>
          <w:rStyle w:val="Hyperlink"/>
          <w:rFonts w:cs="Times New Roman"/>
          <w:color w:val="000000" w:themeColor="text1"/>
          <w:sz w:val="18"/>
          <w:szCs w:val="18"/>
          <w:u w:val="none"/>
        </w:rPr>
        <w:t>.</w:t>
      </w:r>
    </w:p>
  </w:footnote>
  <w:footnote w:id="88">
    <w:p w:rsidR="003C78A4" w:rsidRDefault="003C78A4" w:rsidP="00EC0545">
      <w:pPr>
        <w:pStyle w:val="FootnoteText"/>
      </w:pPr>
      <w:r w:rsidRPr="007B7547">
        <w:rPr>
          <w:rStyle w:val="FootnoteReference"/>
        </w:rPr>
        <w:footnoteRef/>
      </w:r>
      <w:r w:rsidRPr="007B7547">
        <w:t xml:space="preserve"> The 2011/2012 ICR</w:t>
      </w:r>
      <w:r>
        <w:t>,</w:t>
      </w:r>
      <w:r w:rsidRPr="007B7547">
        <w:t xml:space="preserve"> filed September 9, 2008, and based on the 2008 load forecast</w:t>
      </w:r>
      <w:r>
        <w:t xml:space="preserve">, </w:t>
      </w:r>
      <w:r w:rsidRPr="007B7547">
        <w:t xml:space="preserve">is available at </w:t>
      </w:r>
      <w:hyperlink r:id="rId23" w:history="1">
        <w:r w:rsidRPr="007B7547">
          <w:rPr>
            <w:rStyle w:val="Hyperlink"/>
            <w:color w:val="000000" w:themeColor="text1"/>
            <w:u w:val="none"/>
          </w:rPr>
          <w:t>http://www.iso-ne.com/regulatory/ferc/filings/2008/sep/er08-1512-000_9-9-08_2011-2012_icr_filing.pdf</w:t>
        </w:r>
      </w:hyperlink>
      <w:r w:rsidRPr="007B7547">
        <w:t xml:space="preserve">. The 2010/2011 ICR for the annual reconfiguration </w:t>
      </w:r>
      <w:r>
        <w:t xml:space="preserve">auction </w:t>
      </w:r>
      <w:r w:rsidRPr="007B7547">
        <w:t>(not the primary FCA) was filed January 30, 2009, and also used the 2008 load forecast;</w:t>
      </w:r>
      <w:r>
        <w:br/>
      </w:r>
      <w:r w:rsidRPr="007B7547">
        <w:t>http://www.iso-ne.com/regulatory/ferc/filings/2009/jan/er09-640-000_1-30-09_icr_filing.pdf.</w:t>
      </w:r>
    </w:p>
  </w:footnote>
  <w:footnote w:id="89">
    <w:p w:rsidR="003C78A4" w:rsidRDefault="003C78A4" w:rsidP="00EC0545">
      <w:pPr>
        <w:pStyle w:val="FootnoteText"/>
      </w:pPr>
      <w:r w:rsidRPr="007B7547">
        <w:rPr>
          <w:rStyle w:val="FootnoteReference"/>
        </w:rPr>
        <w:footnoteRef/>
      </w:r>
      <w:r w:rsidRPr="007B7547">
        <w:t xml:space="preserve"> The rule changes pertain only to import-constrained load zones. Each export-constrained load zone is modeled as a separate capacity zone in the FCA; the ISO did not propose any change to these provisions.</w:t>
      </w:r>
    </w:p>
  </w:footnote>
  <w:footnote w:id="90">
    <w:p w:rsidR="003C78A4" w:rsidRDefault="003C78A4" w:rsidP="00EC0545">
      <w:pPr>
        <w:pStyle w:val="FootnoteText"/>
      </w:pPr>
      <w:r w:rsidRPr="007B7547">
        <w:rPr>
          <w:rStyle w:val="FootnoteReference"/>
        </w:rPr>
        <w:footnoteRef/>
      </w:r>
      <w:r w:rsidRPr="007B7547">
        <w:t xml:space="preserve"> To enhance the regional system planning process, th</w:t>
      </w:r>
      <w:r>
        <w:t>e</w:t>
      </w:r>
      <w:r w:rsidRPr="007B7547">
        <w:t xml:space="preserve"> ISO is also analyzing the impact of proposed transmission topology changes on FCM zonal configuration and requirements, identifying emerging issues that may require changes in zonal configuration, identifying effective solutions to local security and reliability needs, and developing projections of zonal configurations under alternate expansion strategies.</w:t>
      </w:r>
    </w:p>
  </w:footnote>
  <w:footnote w:id="91">
    <w:p w:rsidR="003C78A4" w:rsidRDefault="003C78A4">
      <w:pPr>
        <w:spacing w:after="80" w:line="240" w:lineRule="auto"/>
        <w:rPr>
          <w:rFonts w:cs="Times New Roman"/>
          <w:sz w:val="18"/>
          <w:szCs w:val="18"/>
        </w:rPr>
      </w:pPr>
      <w:r>
        <w:rPr>
          <w:rStyle w:val="FootnoteReference"/>
          <w:color w:val="000000" w:themeColor="text1"/>
          <w:szCs w:val="18"/>
        </w:rPr>
        <w:footnoteRef/>
      </w:r>
      <w:r w:rsidRPr="007B7547">
        <w:rPr>
          <w:rFonts w:cs="Times New Roman"/>
          <w:color w:val="000000" w:themeColor="text1"/>
          <w:sz w:val="18"/>
          <w:szCs w:val="18"/>
        </w:rPr>
        <w:t xml:space="preserve"> The capacity commitment period requirements for 2010/2011 to 2013/2014 are available in the FERC filings at </w:t>
      </w:r>
      <w:hyperlink r:id="rId24" w:history="1">
        <w:r>
          <w:rPr>
            <w:rStyle w:val="Hyperlink"/>
            <w:rFonts w:cs="Times New Roman"/>
            <w:color w:val="000000" w:themeColor="text1"/>
            <w:sz w:val="18"/>
            <w:szCs w:val="18"/>
            <w:u w:val="none"/>
          </w:rPr>
          <w:t>http://www.iso-ne.com/regulatory/ferc/filings/2008/sep/er08-1512-000_9-9-08_2011-2012_icr_filing.pdf</w:t>
        </w:r>
      </w:hyperlink>
      <w:r w:rsidRPr="007B7547">
        <w:rPr>
          <w:rFonts w:cs="Times New Roman"/>
          <w:color w:val="000000" w:themeColor="text1"/>
          <w:sz w:val="18"/>
          <w:szCs w:val="18"/>
        </w:rPr>
        <w:t>;</w:t>
      </w:r>
      <w:r>
        <w:rPr>
          <w:rFonts w:cs="Times New Roman"/>
          <w:color w:val="000000" w:themeColor="text1"/>
          <w:sz w:val="18"/>
          <w:szCs w:val="18"/>
        </w:rPr>
        <w:br/>
      </w:r>
      <w:r w:rsidRPr="007B7547">
        <w:rPr>
          <w:rFonts w:cs="Times New Roman"/>
          <w:sz w:val="18"/>
          <w:szCs w:val="18"/>
        </w:rPr>
        <w:t>http://www.iso-ne.com/regulatory/ferc/filings/2009/jan/er09-640-000_1-30-09_icr_filing.pdf</w:t>
      </w:r>
      <w:r w:rsidRPr="007B7547">
        <w:rPr>
          <w:rFonts w:cs="Times New Roman"/>
          <w:color w:val="000000" w:themeColor="text1"/>
          <w:sz w:val="18"/>
          <w:szCs w:val="18"/>
        </w:rPr>
        <w:t>;</w:t>
      </w:r>
      <w:r>
        <w:rPr>
          <w:rFonts w:cs="Times New Roman"/>
          <w:color w:val="000000" w:themeColor="text1"/>
          <w:sz w:val="18"/>
          <w:szCs w:val="18"/>
        </w:rPr>
        <w:br/>
      </w:r>
      <w:hyperlink r:id="rId25" w:history="1">
        <w:r>
          <w:rPr>
            <w:rStyle w:val="Hyperlink"/>
            <w:rFonts w:cs="Times New Roman"/>
            <w:color w:val="000000" w:themeColor="text1"/>
            <w:sz w:val="18"/>
            <w:szCs w:val="18"/>
            <w:u w:val="none"/>
          </w:rPr>
          <w:t>http://www.iso-ne.com/regulatory/ferc/filings/2009/jul/er09-___-000_7-7-09_2012-2013_icr_values.pdf</w:t>
        </w:r>
      </w:hyperlink>
      <w:r w:rsidRPr="007B7547">
        <w:rPr>
          <w:rFonts w:cs="Times New Roman"/>
          <w:color w:val="000000" w:themeColor="text1"/>
          <w:sz w:val="18"/>
          <w:szCs w:val="18"/>
        </w:rPr>
        <w:t>; and</w:t>
      </w:r>
      <w:hyperlink r:id="rId26" w:history="1">
        <w:r w:rsidRPr="00733161">
          <w:rPr>
            <w:rStyle w:val="Hyperlink"/>
            <w:rFonts w:cs="Times New Roman"/>
            <w:color w:val="000000" w:themeColor="text1"/>
            <w:sz w:val="18"/>
            <w:szCs w:val="18"/>
            <w:u w:val="none"/>
          </w:rPr>
          <w:t xml:space="preserve"> </w:t>
        </w:r>
        <w:r w:rsidRPr="00733161">
          <w:rPr>
            <w:rStyle w:val="Hyperlink"/>
            <w:rFonts w:cs="Times New Roman"/>
            <w:color w:val="000000" w:themeColor="text1"/>
            <w:sz w:val="18"/>
            <w:szCs w:val="18"/>
            <w:u w:val="none"/>
          </w:rPr>
          <w:br/>
          <w:t xml:space="preserve">http://www.iso-ne.com/regulatory/ferc/filings/2010/may/er10-___-000_05-04-10_icr_2013-2014.pdf. </w:t>
        </w:r>
      </w:hyperlink>
      <w:r w:rsidRPr="00733161">
        <w:rPr>
          <w:rFonts w:cs="Times New Roman"/>
          <w:color w:val="000000" w:themeColor="text1"/>
          <w:sz w:val="18"/>
          <w:szCs w:val="18"/>
        </w:rPr>
        <w:t>FERC</w:t>
      </w:r>
      <w:r w:rsidRPr="007B7547">
        <w:rPr>
          <w:rFonts w:cs="Times New Roman"/>
          <w:color w:val="000000" w:themeColor="text1"/>
          <w:sz w:val="18"/>
          <w:szCs w:val="18"/>
        </w:rPr>
        <w:t xml:space="preserve"> has approved the actual values.</w:t>
      </w:r>
      <w:r w:rsidRPr="007B7547">
        <w:rPr>
          <w:rFonts w:cs="Times New Roman"/>
          <w:sz w:val="18"/>
          <w:szCs w:val="18"/>
        </w:rPr>
        <w:t xml:space="preserve"> </w:t>
      </w:r>
    </w:p>
  </w:footnote>
  <w:footnote w:id="92">
    <w:p w:rsidR="003C78A4" w:rsidRDefault="003C78A4" w:rsidP="00EC0545">
      <w:pPr>
        <w:pStyle w:val="FootnoteText"/>
      </w:pPr>
      <w:r w:rsidRPr="007B7547">
        <w:rPr>
          <w:rStyle w:val="FootnoteReference"/>
        </w:rPr>
        <w:footnoteRef/>
      </w:r>
      <w:r w:rsidRPr="007B7547">
        <w:t xml:space="preserve"> The ISO’s </w:t>
      </w:r>
      <w:r w:rsidRPr="007B7547">
        <w:rPr>
          <w:i/>
        </w:rPr>
        <w:t>2009 Annual Markets Report</w:t>
      </w:r>
      <w:r w:rsidRPr="007B7547">
        <w:t xml:space="preserve">, Section 2.2 (May 18, 2010), describes the FCM in more detail. The report is available at </w:t>
      </w:r>
      <w:hyperlink r:id="rId27" w:history="1">
        <w:r w:rsidRPr="007B7547">
          <w:rPr>
            <w:rStyle w:val="Hyperlink"/>
            <w:color w:val="000000" w:themeColor="text1"/>
            <w:u w:val="none"/>
          </w:rPr>
          <w:t>http://www.iso-ne.com/markets/mkt_anlys_rpts/annl_mkt_rpts/index.html</w:t>
        </w:r>
      </w:hyperlink>
      <w:r w:rsidRPr="007B7547">
        <w:t>.</w:t>
      </w:r>
    </w:p>
  </w:footnote>
  <w:footnote w:id="93">
    <w:p w:rsidR="003C78A4" w:rsidRDefault="003C78A4" w:rsidP="00EC0545">
      <w:pPr>
        <w:pStyle w:val="FootnoteText"/>
      </w:pPr>
      <w:r w:rsidRPr="007B7547">
        <w:rPr>
          <w:rStyle w:val="FootnoteReference"/>
        </w:rPr>
        <w:footnoteRef/>
      </w:r>
      <w:r w:rsidRPr="007B7547">
        <w:t xml:space="preserve"> Although FCA #4 was held in August 2010, results are not yet publically available for inclusion in RSP10.</w:t>
      </w:r>
    </w:p>
  </w:footnote>
  <w:footnote w:id="94">
    <w:p w:rsidR="003C78A4" w:rsidRDefault="003C78A4" w:rsidP="00EC0545">
      <w:pPr>
        <w:pStyle w:val="FootnoteText"/>
      </w:pPr>
      <w:r w:rsidRPr="007B7547">
        <w:rPr>
          <w:rStyle w:val="FootnoteReference"/>
        </w:rPr>
        <w:footnoteRef/>
      </w:r>
      <w:r w:rsidRPr="007B7547">
        <w:t xml:space="preserve"> Real-time emergency generators are required to begin operating within 30 minutes, which results in increasing supply on the New England grid, and also to continue that operation until receiving a dispatch instruction allowing them to shut down.</w:t>
      </w:r>
    </w:p>
  </w:footnote>
  <w:footnote w:id="95">
    <w:p w:rsidR="003C78A4" w:rsidRDefault="003C78A4" w:rsidP="00EC0545">
      <w:pPr>
        <w:pStyle w:val="FootnoteText"/>
      </w:pPr>
      <w:r w:rsidRPr="007B7547">
        <w:rPr>
          <w:rStyle w:val="FootnoteReference"/>
        </w:rPr>
        <w:footnoteRef/>
      </w:r>
      <w:r w:rsidRPr="007B7547">
        <w:t xml:space="preserve"> Various types of delist bids exist, including </w:t>
      </w:r>
      <w:r w:rsidRPr="007B7547">
        <w:rPr>
          <w:i/>
        </w:rPr>
        <w:t>static, dynamic, permanent, export</w:t>
      </w:r>
      <w:r w:rsidRPr="007B7547">
        <w:t>, and several others. Refer to AMR09, Section 2.2.3, for the more information on delist bids; http://www.iso-ne.com/markets/mkt_anlys_rpts/annl_mkt_rpts/index.html.</w:t>
      </w:r>
    </w:p>
  </w:footnote>
  <w:footnote w:id="96">
    <w:p w:rsidR="003C78A4" w:rsidRDefault="003C78A4" w:rsidP="00EC0545">
      <w:pPr>
        <w:pStyle w:val="FootnoteText"/>
      </w:pPr>
      <w:r w:rsidRPr="007B7547">
        <w:rPr>
          <w:rStyle w:val="FootnoteReference"/>
        </w:rPr>
        <w:footnoteRef/>
      </w:r>
      <w:r w:rsidRPr="007B7547">
        <w:t xml:space="preserve"> </w:t>
      </w:r>
      <w:r w:rsidRPr="00B000DC">
        <w:rPr>
          <w:i/>
        </w:rPr>
        <w:t>Internal Market Monitoring Unit Review of the Forward Capacity Market Auction Results and Design Elements</w:t>
      </w:r>
      <w:r>
        <w:t xml:space="preserve">, </w:t>
      </w:r>
      <w:r w:rsidRPr="007B7547">
        <w:t xml:space="preserve">15, Table 3-1, </w:t>
      </w:r>
      <w:r w:rsidRPr="00A70A08">
        <w:rPr>
          <w:i/>
        </w:rPr>
        <w:t>Quantity Rule</w:t>
      </w:r>
      <w:r w:rsidRPr="007B7547">
        <w:t xml:space="preserve"> (filed with FERC June 5, 2009); </w:t>
      </w:r>
      <w:hyperlink r:id="rId28" w:history="1">
        <w:r w:rsidRPr="007B7547">
          <w:rPr>
            <w:rStyle w:val="Hyperlink"/>
            <w:color w:val="auto"/>
            <w:u w:val="none"/>
          </w:rPr>
          <w:t>http://www.iso-ne.com/regulatory/ferc/filings/2009/jun/er09-1282-000_06-05-09_market_monitor_report_for_fcm.pdf</w:t>
        </w:r>
      </w:hyperlink>
      <w:r w:rsidRPr="007B7547">
        <w:t>.</w:t>
      </w:r>
    </w:p>
  </w:footnote>
  <w:footnote w:id="97">
    <w:p w:rsidR="003C78A4" w:rsidRDefault="003C78A4" w:rsidP="00EC0545">
      <w:pPr>
        <w:pStyle w:val="FootnoteText"/>
      </w:pPr>
      <w:r>
        <w:rPr>
          <w:rStyle w:val="FootnoteReference"/>
        </w:rPr>
        <w:footnoteRef/>
      </w:r>
      <w:r w:rsidRPr="00890D42">
        <w:t xml:space="preserve"> 2010 CELT Report, Section 3.1; </w:t>
      </w:r>
      <w:hyperlink r:id="rId29" w:history="1">
        <w:r w:rsidRPr="00890D42">
          <w:rPr>
            <w:rStyle w:val="Hyperlink"/>
            <w:color w:val="auto"/>
            <w:u w:val="none"/>
          </w:rPr>
          <w:t>http://www.iso-ne.com/trans/celt/report/2010/2010_celt_report.xls</w:t>
        </w:r>
      </w:hyperlink>
      <w:r w:rsidRPr="00890D42">
        <w:t xml:space="preserve">. </w:t>
      </w:r>
    </w:p>
  </w:footnote>
  <w:footnote w:id="98">
    <w:p w:rsidR="003C78A4" w:rsidRPr="00C323B0" w:rsidRDefault="003C78A4" w:rsidP="00EC0545">
      <w:pPr>
        <w:pStyle w:val="FootnoteText"/>
      </w:pPr>
      <w:r w:rsidRPr="007B7547">
        <w:rPr>
          <w:rStyle w:val="FootnoteReference"/>
          <w:color w:val="000000" w:themeColor="text1"/>
        </w:rPr>
        <w:footnoteRef/>
      </w:r>
      <w:r w:rsidRPr="007B7547">
        <w:t xml:space="preserve"> Under certain conditions, </w:t>
      </w:r>
      <w:r w:rsidRPr="00B000DC">
        <w:rPr>
          <w:i/>
        </w:rPr>
        <w:t>Market Rule 1</w:t>
      </w:r>
      <w:r w:rsidRPr="007B7547">
        <w:t xml:space="preserve"> allows generators that repower or perform environmental upgrades to be classified as “new.” For FCA #3, there were no repowering projects, and a majority of the new projects, approximately 87%, were environmental upgrades to existing generators. </w:t>
      </w:r>
    </w:p>
  </w:footnote>
  <w:footnote w:id="99">
    <w:p w:rsidR="003C78A4" w:rsidRDefault="003C78A4">
      <w:pPr>
        <w:spacing w:after="80" w:line="240" w:lineRule="auto"/>
        <w:rPr>
          <w:rFonts w:cs="Times New Roman"/>
          <w:sz w:val="18"/>
          <w:szCs w:val="18"/>
        </w:rPr>
      </w:pPr>
      <w:r>
        <w:rPr>
          <w:rStyle w:val="FootnoteReference"/>
          <w:color w:val="000000" w:themeColor="text1"/>
          <w:szCs w:val="18"/>
        </w:rPr>
        <w:footnoteRef/>
      </w:r>
      <w:r w:rsidRPr="007B7547">
        <w:rPr>
          <w:rFonts w:cs="Times New Roman"/>
          <w:color w:val="000000" w:themeColor="text1"/>
          <w:sz w:val="18"/>
          <w:szCs w:val="18"/>
        </w:rPr>
        <w:t xml:space="preserve"> Because FCA #4 results were preliminary at the time of RSP10’s information deadline, they are not included in the analyses conducted for this report. The preliminary results are available at</w:t>
      </w:r>
      <w:r>
        <w:rPr>
          <w:rFonts w:cs="Times New Roman"/>
          <w:color w:val="000000" w:themeColor="text1"/>
          <w:sz w:val="18"/>
          <w:szCs w:val="18"/>
        </w:rPr>
        <w:t xml:space="preserve"> </w:t>
      </w:r>
      <w:r>
        <w:rPr>
          <w:rFonts w:cs="Times New Roman"/>
          <w:color w:val="000000" w:themeColor="text1"/>
          <w:sz w:val="18"/>
          <w:szCs w:val="18"/>
        </w:rPr>
        <w:br/>
      </w:r>
      <w:hyperlink r:id="rId30" w:history="1">
        <w:r w:rsidRPr="007B7547">
          <w:rPr>
            <w:rStyle w:val="Hyperlink"/>
            <w:rFonts w:cs="Times New Roman"/>
            <w:color w:val="000000" w:themeColor="text1"/>
            <w:sz w:val="18"/>
            <w:szCs w:val="18"/>
            <w:u w:val="none"/>
          </w:rPr>
          <w:t>http://www.iso-ne.com/nwsiss/pr/2010/final_fca4_release_08062010.pdf</w:t>
        </w:r>
      </w:hyperlink>
      <w:r w:rsidRPr="007B7547">
        <w:rPr>
          <w:rFonts w:cs="Times New Roman"/>
          <w:color w:val="000000" w:themeColor="text1"/>
          <w:sz w:val="18"/>
          <w:szCs w:val="18"/>
        </w:rPr>
        <w:t>.</w:t>
      </w:r>
    </w:p>
  </w:footnote>
  <w:footnote w:id="100">
    <w:p w:rsidR="003C78A4" w:rsidRDefault="003C78A4" w:rsidP="00EC0545">
      <w:pPr>
        <w:pStyle w:val="FootnoteText"/>
      </w:pPr>
      <w:r w:rsidRPr="007B7547">
        <w:rPr>
          <w:rStyle w:val="FootnoteReference"/>
        </w:rPr>
        <w:footnoteRef/>
      </w:r>
      <w:r w:rsidRPr="007B7547">
        <w:t xml:space="preserve"> The May 4, 2010, filing, </w:t>
      </w:r>
      <w:r w:rsidRPr="00B000DC">
        <w:rPr>
          <w:i/>
        </w:rPr>
        <w:t>Informational Filing for Qualification in the Forward Capacity Market</w:t>
      </w:r>
      <w:r w:rsidRPr="007B7547">
        <w:t>, is available at http://www.iso-ne.com/markets/othrmkts_data/fcm/cal_results/index.html.</w:t>
      </w:r>
    </w:p>
  </w:footnote>
  <w:footnote w:id="101">
    <w:p w:rsidR="003C78A4" w:rsidRDefault="003C78A4" w:rsidP="00EC0545">
      <w:pPr>
        <w:pStyle w:val="FootnoteText"/>
      </w:pPr>
      <w:r w:rsidRPr="007B7547">
        <w:rPr>
          <w:rStyle w:val="FootnoteReference"/>
        </w:rPr>
        <w:footnoteRef/>
      </w:r>
      <w:r w:rsidRPr="007B7547">
        <w:t xml:space="preserve"> Operating Procedure No. 4, </w:t>
      </w:r>
      <w:r w:rsidRPr="00B000DC">
        <w:rPr>
          <w:i/>
        </w:rPr>
        <w:t>Action during a Capacity Deficiency</w:t>
      </w:r>
      <w:r w:rsidRPr="007B7547">
        <w:t xml:space="preserve"> (June 1, 2010);</w:t>
      </w:r>
      <w:r w:rsidRPr="007B7547">
        <w:br/>
      </w:r>
      <w:hyperlink r:id="rId31" w:history="1">
        <w:r w:rsidRPr="007B7547">
          <w:rPr>
            <w:rStyle w:val="Hyperlink"/>
            <w:color w:val="000000" w:themeColor="text1"/>
            <w:u w:val="none"/>
          </w:rPr>
          <w:t>http://www.iso-ne.com/rules_proceds/operating/isone/op4/index.html</w:t>
        </w:r>
      </w:hyperlink>
      <w:r w:rsidRPr="007B7547">
        <w:t xml:space="preserve">. Operating Procedure No.7, </w:t>
      </w:r>
      <w:r w:rsidRPr="00B000DC">
        <w:rPr>
          <w:i/>
        </w:rPr>
        <w:t>Action in an Emergency</w:t>
      </w:r>
      <w:r w:rsidRPr="007B7547">
        <w:t xml:space="preserve"> (August 19, 2008); http://www.iso-ne.com/rules_proceds/operating/isone/op7/index.html.</w:t>
      </w:r>
    </w:p>
  </w:footnote>
  <w:footnote w:id="102">
    <w:p w:rsidR="003C78A4" w:rsidRDefault="003C78A4" w:rsidP="00EC0545">
      <w:pPr>
        <w:pStyle w:val="FootnoteText"/>
      </w:pPr>
      <w:r w:rsidRPr="007B7547">
        <w:rPr>
          <w:rStyle w:val="FootnoteReference"/>
        </w:rPr>
        <w:footnoteRef/>
      </w:r>
      <w:r w:rsidRPr="007B7547">
        <w:t xml:space="preserve"> To obtain 2,500 MW of load and capacity relief, ISO system operators would need to implement Actions 1 through 13 of OP 4, which include allowing the depletion of the 30-minute and partial depletion of the 10-minute reserve (1,000 MW), scheduling market participants’ submitted emergency transactions and arranging emergency purchases between balancing authority areas (1,600 MW–2,000 MW), and implementing 5% voltage reductions (450 MW). </w:t>
      </w:r>
    </w:p>
  </w:footnote>
  <w:footnote w:id="103">
    <w:p w:rsidR="003C78A4" w:rsidRDefault="003C78A4" w:rsidP="00EC0545">
      <w:pPr>
        <w:pStyle w:val="FootnoteText"/>
      </w:pPr>
      <w:r w:rsidRPr="007B7547">
        <w:rPr>
          <w:rStyle w:val="FootnoteReference"/>
        </w:rPr>
        <w:footnoteRef/>
      </w:r>
      <w:r w:rsidRPr="007B7547">
        <w:t xml:space="preserve"> These amounts are consistent and achievable through the use of OP 4 actions that can provide over 3,000 MW through the use of tie benefits, 5% voltage reduction, and the depletion of the 10-minute operating reserve (to the minimum level of 200 MW).</w:t>
      </w:r>
    </w:p>
  </w:footnote>
  <w:footnote w:id="104">
    <w:p w:rsidR="003C78A4" w:rsidRDefault="003C78A4" w:rsidP="00EC0545">
      <w:pPr>
        <w:pStyle w:val="FootnoteText"/>
      </w:pPr>
      <w:r w:rsidRPr="007B7547">
        <w:rPr>
          <w:rStyle w:val="FootnoteReference"/>
        </w:rPr>
        <w:footnoteRef/>
      </w:r>
      <w:r w:rsidRPr="007B7547">
        <w:t xml:space="preserve"> The projects that have been proposed but discontinued faced problems during their development associated with financing, licensing, insufficient market incentives, or other issues. More information on interconnection projects is available at “Interconnection Status” (April 1, 2010); http://www.iso-ne.com/genrtion_resrcs/nwgen_inter/status/index.html.</w:t>
      </w:r>
    </w:p>
  </w:footnote>
  <w:footnote w:id="105">
    <w:p w:rsidR="003C78A4" w:rsidRDefault="003C78A4" w:rsidP="00EC0545">
      <w:pPr>
        <w:pStyle w:val="FootnoteText"/>
      </w:pPr>
      <w:r w:rsidRPr="007B7547">
        <w:rPr>
          <w:rStyle w:val="FootnoteReference"/>
        </w:rPr>
        <w:footnoteRef/>
      </w:r>
      <w:r w:rsidRPr="007B7547">
        <w:t xml:space="preserve"> ISO Operating Procedure No. 8, </w:t>
      </w:r>
      <w:r w:rsidRPr="000A0467">
        <w:rPr>
          <w:i/>
        </w:rPr>
        <w:t>Operating Reserve and Regulation</w:t>
      </w:r>
      <w:r w:rsidRPr="007B7547">
        <w:t xml:space="preserve"> (June 5, 2009);</w:t>
      </w:r>
      <w:r>
        <w:br/>
      </w:r>
      <w:r w:rsidRPr="007B7547">
        <w:t>http://www.iso-ne.com/rules_proceds/operating/isone/op8/op8_rto_final.pdf.</w:t>
      </w:r>
    </w:p>
  </w:footnote>
  <w:footnote w:id="106">
    <w:p w:rsidR="003C78A4" w:rsidRDefault="003C78A4" w:rsidP="00EC0545">
      <w:pPr>
        <w:pStyle w:val="FootnoteText"/>
      </w:pPr>
      <w:r w:rsidRPr="007B7547">
        <w:rPr>
          <w:rStyle w:val="FootnoteReference"/>
        </w:rPr>
        <w:footnoteRef/>
      </w:r>
      <w:r w:rsidRPr="007B7547">
        <w:t xml:space="preserve"> ISO Operating Procedure No. 19, </w:t>
      </w:r>
      <w:r w:rsidRPr="000A0467">
        <w:rPr>
          <w:i/>
        </w:rPr>
        <w:t>Transmission Operations</w:t>
      </w:r>
      <w:r w:rsidRPr="007B7547">
        <w:t xml:space="preserve"> (April 13, 2007);</w:t>
      </w:r>
      <w:r w:rsidRPr="007B7547">
        <w:br/>
        <w:t>http://www.iso-ne.com/rules_proceds/operating/isone/op19/op19_rto_final.pdf.</w:t>
      </w:r>
    </w:p>
  </w:footnote>
  <w:footnote w:id="107">
    <w:p w:rsidR="003C78A4" w:rsidRDefault="003C78A4" w:rsidP="00EC0545">
      <w:pPr>
        <w:pStyle w:val="FootnoteText"/>
      </w:pPr>
      <w:r>
        <w:rPr>
          <w:rStyle w:val="FootnoteReference"/>
        </w:rPr>
        <w:footnoteRef/>
      </w:r>
      <w:r w:rsidRPr="007B7547">
        <w:t xml:space="preserve"> </w:t>
      </w:r>
      <w:r w:rsidRPr="000A0467">
        <w:rPr>
          <w:i/>
        </w:rPr>
        <w:t>Market Rule 1</w:t>
      </w:r>
      <w:r w:rsidRPr="007B7547">
        <w:t>, Standard Market Design (Sectio</w:t>
      </w:r>
      <w:smartTag w:uri="urn:schemas-microsoft-com:office:smarttags" w:element="stockticker">
        <w:r w:rsidRPr="007B7547">
          <w:t>n I</w:t>
        </w:r>
      </w:smartTag>
      <w:r w:rsidRPr="007B7547">
        <w:t xml:space="preserve">II of </w:t>
      </w:r>
      <w:r>
        <w:t>the ISO tariff</w:t>
      </w:r>
      <w:r w:rsidRPr="007B7547">
        <w:t>) (20</w:t>
      </w:r>
      <w:r>
        <w:t>10</w:t>
      </w:r>
      <w:r w:rsidRPr="007B7547">
        <w:t>) defines the types of reserves that can meet these requirements; http://www.iso-ne.com/regulatory/tariff/sect_3/index.html.</w:t>
      </w:r>
    </w:p>
  </w:footnote>
  <w:footnote w:id="108">
    <w:p w:rsidR="003C78A4" w:rsidRDefault="003C78A4" w:rsidP="00EC0545">
      <w:pPr>
        <w:pStyle w:val="FootnoteText"/>
      </w:pPr>
      <w:r w:rsidRPr="007B7547">
        <w:rPr>
          <w:rStyle w:val="FootnoteReference"/>
        </w:rPr>
        <w:footnoteRef/>
      </w:r>
      <w:r w:rsidRPr="007B7547">
        <w:t xml:space="preserve"> </w:t>
      </w:r>
      <w:r w:rsidRPr="000A0467">
        <w:rPr>
          <w:i/>
          <w:iCs/>
        </w:rPr>
        <w:t>Economic-merit order</w:t>
      </w:r>
      <w:r w:rsidRPr="007B7547">
        <w:rPr>
          <w:iCs/>
        </w:rPr>
        <w:t xml:space="preserve"> (i.e., in merit or in merit order) </w:t>
      </w:r>
      <w:r w:rsidRPr="007B7547">
        <w:t xml:space="preserve">is when the generators with the lowest-price offers are committed and dispatched first, and increasingly higher-priced generators are brought on line as demand increases. </w:t>
      </w:r>
      <w:r w:rsidRPr="000A0467">
        <w:rPr>
          <w:i/>
        </w:rPr>
        <w:t>Out-of-merit dispatch</w:t>
      </w:r>
      <w:r w:rsidRPr="007B7547">
        <w:t xml:space="preserve"> is when generators are run less economically to respect system reliability requirements.</w:t>
      </w:r>
    </w:p>
  </w:footnote>
  <w:footnote w:id="109">
    <w:p w:rsidR="003C78A4" w:rsidRDefault="003C78A4" w:rsidP="00EC0545">
      <w:pPr>
        <w:pStyle w:val="FootnoteText"/>
      </w:pPr>
      <w:r w:rsidRPr="007B7547">
        <w:rPr>
          <w:rStyle w:val="FootnoteReference"/>
        </w:rPr>
        <w:footnoteRef/>
      </w:r>
      <w:r w:rsidRPr="007B7547">
        <w:t xml:space="preserve"> </w:t>
      </w:r>
      <w:r w:rsidRPr="000A0467">
        <w:rPr>
          <w:i/>
        </w:rPr>
        <w:t>Baseload</w:t>
      </w:r>
      <w:r w:rsidRPr="007B7547">
        <w:t xml:space="preserve"> generating units satisfy all or part of the minimum load of the system and, as a consequence, produce electric energy continuously and at a constant rate. These units usually are economic to operate day to day. </w:t>
      </w:r>
      <w:r w:rsidRPr="000A0467">
        <w:rPr>
          <w:i/>
        </w:rPr>
        <w:t>Intermediate-load</w:t>
      </w:r>
      <w:r w:rsidRPr="007B7547">
        <w:t xml:space="preserve"> generating units are used during the transition between baseload and peak-load requirements. These units come on line during intermediate load levels and ramp up and down to follow the system load that peaks during the day and is at its lowest in the middle of the night. </w:t>
      </w:r>
      <w:r>
        <w:rPr>
          <w:rStyle w:val="FootnoteTextChar"/>
        </w:rPr>
        <w:t xml:space="preserve">A </w:t>
      </w:r>
      <w:r w:rsidRPr="000A0467">
        <w:rPr>
          <w:rStyle w:val="FootnoteTextChar"/>
          <w:i/>
        </w:rPr>
        <w:t>peaking</w:t>
      </w:r>
      <w:r>
        <w:rPr>
          <w:rStyle w:val="FootnoteTextChar"/>
        </w:rPr>
        <w:t xml:space="preserve"> unit is designed to start up quickly on demand and operate for only a few hours, typically during system peak days, which amounts to a few hundred hours per year.</w:t>
      </w:r>
    </w:p>
  </w:footnote>
  <w:footnote w:id="110">
    <w:p w:rsidR="003C78A4" w:rsidRDefault="003C78A4" w:rsidP="00EC0545">
      <w:pPr>
        <w:pStyle w:val="FootnoteText"/>
      </w:pPr>
      <w:r w:rsidRPr="007B7547">
        <w:rPr>
          <w:rStyle w:val="FootnoteReference"/>
        </w:rPr>
        <w:footnoteRef/>
      </w:r>
      <w:r w:rsidRPr="007B7547">
        <w:t xml:space="preserve"> In some circumstances, when transmission contingencies are more severe than generation contingencies, shedding some load may be acceptable.</w:t>
      </w:r>
    </w:p>
  </w:footnote>
  <w:footnote w:id="111">
    <w:p w:rsidR="003C78A4" w:rsidRDefault="003C78A4" w:rsidP="00EC0545">
      <w:pPr>
        <w:pStyle w:val="FootnoteText"/>
      </w:pPr>
      <w:r w:rsidRPr="007B7547">
        <w:rPr>
          <w:rStyle w:val="FootnoteReference"/>
        </w:rPr>
        <w:footnoteRef/>
      </w:r>
      <w:r w:rsidRPr="007B7547">
        <w:t xml:space="preserve"> This dispatch and telemetry configuration is very similar to the dispatch of generating resources. The specifications of the system are identified in ISO Operating Procedure No. 18, </w:t>
      </w:r>
      <w:r w:rsidRPr="000A0467">
        <w:rPr>
          <w:i/>
        </w:rPr>
        <w:t>Metering and Telemetry Criteria</w:t>
      </w:r>
      <w:r w:rsidRPr="007B7547">
        <w:t>, Appendix G</w:t>
      </w:r>
      <w:r>
        <w:t xml:space="preserve">: </w:t>
      </w:r>
      <w:r w:rsidRPr="007B7547">
        <w:t xml:space="preserve">Demand Response RTU (June 1, 2010); </w:t>
      </w:r>
      <w:hyperlink r:id="rId32" w:history="1">
        <w:r w:rsidRPr="007B7547">
          <w:rPr>
            <w:rStyle w:val="Hyperlink"/>
            <w:color w:val="000000" w:themeColor="text1"/>
            <w:u w:val="none"/>
          </w:rPr>
          <w:t>http://www.iso-ne.com/rules_proceds/operating/isone/op18/index.html</w:t>
        </w:r>
      </w:hyperlink>
      <w:r w:rsidRPr="007B7547">
        <w:t>.</w:t>
      </w:r>
    </w:p>
  </w:footnote>
  <w:footnote w:id="112">
    <w:p w:rsidR="003C78A4" w:rsidRDefault="003C78A4" w:rsidP="00EC0545">
      <w:pPr>
        <w:pStyle w:val="FootnoteText"/>
      </w:pPr>
      <w:r w:rsidRPr="007B7547">
        <w:rPr>
          <w:rStyle w:val="FootnoteReference"/>
        </w:rPr>
        <w:footnoteRef/>
      </w:r>
      <w:r w:rsidRPr="007B7547">
        <w:t xml:space="preserve"> ISO New England commissioned KEMA to perform a study of several aspects of its DRR pilot program, including baseline modeling. A series of alternatives also were evaluated to ensure that the forecasting methodology was appropriate.</w:t>
      </w:r>
    </w:p>
  </w:footnote>
  <w:footnote w:id="113">
    <w:p w:rsidR="003C78A4" w:rsidRDefault="003C78A4" w:rsidP="00EC0545">
      <w:pPr>
        <w:pStyle w:val="FootnoteText"/>
      </w:pPr>
      <w:r w:rsidRPr="007B7547">
        <w:rPr>
          <w:rStyle w:val="FootnoteReference"/>
        </w:rPr>
        <w:footnoteRef/>
      </w:r>
      <w:r w:rsidRPr="007B7547">
        <w:t xml:space="preserve"> RSP09, Section</w:t>
      </w:r>
      <w:r>
        <w:t xml:space="preserve"> </w:t>
      </w:r>
      <w:r w:rsidRPr="007B7547">
        <w:t>10; http://www.iso-ne.com/trans/rsp/2009/index.html. Planning Advisory C</w:t>
      </w:r>
      <w:r>
        <w:t xml:space="preserve">ommittee materials and report; </w:t>
      </w:r>
      <w:hyperlink r:id="rId33" w:history="1">
        <w:r w:rsidRPr="007B7547">
          <w:rPr>
            <w:rStyle w:val="Hyperlink"/>
            <w:color w:val="000000" w:themeColor="text1"/>
            <w:u w:val="none"/>
          </w:rPr>
          <w:t>http://www.iso-ne.com/committees/comm_wkgrps/prtcpnts_comm/pac/index.html</w:t>
        </w:r>
      </w:hyperlink>
      <w:r w:rsidRPr="007B7547">
        <w:t>.</w:t>
      </w:r>
    </w:p>
  </w:footnote>
  <w:footnote w:id="114">
    <w:p w:rsidR="003C78A4" w:rsidRDefault="003C78A4" w:rsidP="00EC0545">
      <w:pPr>
        <w:pStyle w:val="FootnoteText"/>
      </w:pPr>
      <w:r w:rsidRPr="007B7547">
        <w:rPr>
          <w:rStyle w:val="FootnoteReference"/>
        </w:rPr>
        <w:footnoteRef/>
      </w:r>
      <w:r w:rsidRPr="007B7547">
        <w:t xml:space="preserve"> The </w:t>
      </w:r>
      <w:r w:rsidRPr="007B7547">
        <w:rPr>
          <w:i/>
        </w:rPr>
        <w:t>Eastern Interconnection</w:t>
      </w:r>
      <w:r w:rsidRPr="007B7547">
        <w:t xml:space="preserve"> consists of the interconnected transmission and distribution infrastructure that synchronously operates east of the Rocky Mountains, excluding the portion of the system located in the Electric Reliability Council of Texas (ERCOT) and Québec.</w:t>
      </w:r>
    </w:p>
  </w:footnote>
  <w:footnote w:id="115">
    <w:p w:rsidR="003C78A4" w:rsidRDefault="003C78A4" w:rsidP="00EC0545">
      <w:pPr>
        <w:pStyle w:val="FootnoteText"/>
      </w:pPr>
      <w:r w:rsidRPr="007B7547">
        <w:rPr>
          <w:rStyle w:val="FootnoteReference"/>
        </w:rPr>
        <w:footnoteRef/>
      </w:r>
      <w:r w:rsidRPr="007B7547">
        <w:t xml:space="preserve"> See the OATT, Section II.B, Attachment N, “Procedures for Regional System Plan Upgrades;”</w:t>
      </w:r>
      <w:r>
        <w:br/>
      </w:r>
      <w:r w:rsidRPr="007B7547">
        <w:t>http://www.iso-ne.com/regulatory/tariff/sect_2/oatt/index.html.</w:t>
      </w:r>
    </w:p>
  </w:footnote>
  <w:footnote w:id="116">
    <w:p w:rsidR="003C78A4" w:rsidRDefault="003C78A4" w:rsidP="00EC0545">
      <w:pPr>
        <w:pStyle w:val="FootnoteText"/>
      </w:pPr>
      <w:r w:rsidRPr="007B7547">
        <w:rPr>
          <w:rStyle w:val="FootnoteReference"/>
        </w:rPr>
        <w:footnoteRef/>
      </w:r>
      <w:r w:rsidRPr="007B7547">
        <w:t xml:space="preserve"> ISO practices and procedures are available at http://www.iso-ne.com/trans/services/types_apps/.</w:t>
      </w:r>
    </w:p>
  </w:footnote>
  <w:footnote w:id="117">
    <w:p w:rsidR="003C78A4" w:rsidRPr="00C323B0" w:rsidRDefault="003C78A4" w:rsidP="00EC0545">
      <w:pPr>
        <w:pStyle w:val="FootnoteText"/>
      </w:pPr>
      <w:r w:rsidRPr="007B7547">
        <w:rPr>
          <w:rStyle w:val="FootnoteReference"/>
        </w:rPr>
        <w:footnoteRef/>
      </w:r>
      <w:r w:rsidRPr="007B7547">
        <w:t xml:space="preserve"> The </w:t>
      </w:r>
      <w:r w:rsidRPr="00FF4D28">
        <w:rPr>
          <w:i/>
        </w:rPr>
        <w:t>Network Capability Interconnection Standard</w:t>
      </w:r>
      <w:r w:rsidRPr="007B7547">
        <w:t xml:space="preserve"> is an energy-only standard that includes the minimum criteria required to permit a generator to connect to the transmission system so that it does not have any adverse impacts on reliability, stability, or the operation of the system, including the degradation of transfer capability for interfaces affected by the generating facility. The </w:t>
      </w:r>
      <w:r w:rsidRPr="00FF4D28">
        <w:rPr>
          <w:i/>
        </w:rPr>
        <w:t>Capacity Capability Interconnection Standard</w:t>
      </w:r>
      <w:r w:rsidRPr="007B7547">
        <w:t xml:space="preserve"> is a capacity and energy standard that includes the same criteria as the </w:t>
      </w:r>
      <w:r w:rsidRPr="00FF4D28">
        <w:rPr>
          <w:i/>
        </w:rPr>
        <w:t xml:space="preserve">Network Capability Interconnection Standard </w:t>
      </w:r>
      <w:r w:rsidRPr="007B7547">
        <w:t>but also includes criteria to ensure intrazonal deliverability by avoiding the redispatch of other capacity network resources. Before October 29, 1998, Generator Interconnection-Related Upgrades included cost responsibility for additional upgrades beyond those required to satisfy the minimum interconnection standard. The standard are defined in the OATT, Section 22; http://www.iso-ne.com/regulatory/tariff/sect_2/sch22/1-24-10-sched_22.pdf.</w:t>
      </w:r>
    </w:p>
  </w:footnote>
  <w:footnote w:id="118">
    <w:p w:rsidR="003C78A4" w:rsidRDefault="003C78A4" w:rsidP="00EC0545">
      <w:pPr>
        <w:pStyle w:val="FootnoteText"/>
      </w:pPr>
      <w:r>
        <w:rPr>
          <w:rStyle w:val="FootnoteReference"/>
        </w:rPr>
        <w:footnoteRef/>
      </w:r>
      <w:r>
        <w:t xml:space="preserve"> </w:t>
      </w:r>
      <w:r w:rsidRPr="008B1E44">
        <w:t xml:space="preserve">NEMA Upgrades are located in the Northeast Massachusetts Reliability Region and were scheduled and placed in service by June 30, 2004. </w:t>
      </w:r>
      <w:r>
        <w:t xml:space="preserve">The OATT, </w:t>
      </w:r>
      <w:r w:rsidRPr="008B1E44">
        <w:t>Schedule 12A</w:t>
      </w:r>
      <w:r>
        <w:t>,</w:t>
      </w:r>
      <w:r w:rsidRPr="008B1E44">
        <w:t xml:space="preserve"> lists the NEMA Upgrades</w:t>
      </w:r>
      <w:r>
        <w:t xml:space="preserve">; </w:t>
      </w:r>
      <w:r w:rsidRPr="008B1E44">
        <w:t>http://www.iso-ne.com/regulatory/tariff/sect_1/sec_1.pdf</w:t>
      </w:r>
      <w:r>
        <w:t>.</w:t>
      </w:r>
    </w:p>
  </w:footnote>
  <w:footnote w:id="119">
    <w:p w:rsidR="003C78A4" w:rsidRPr="00C323B0" w:rsidRDefault="003C78A4" w:rsidP="00EC0545">
      <w:pPr>
        <w:pStyle w:val="FootnoteText"/>
      </w:pPr>
      <w:r w:rsidRPr="007B7547">
        <w:rPr>
          <w:rStyle w:val="FootnoteReference"/>
        </w:rPr>
        <w:footnoteRef/>
      </w:r>
      <w:r w:rsidRPr="007B7547">
        <w:t xml:space="preserve"> The filing for the addition or modification to the transmission upgrade must be in accordance with </w:t>
      </w:r>
      <w:r>
        <w:t xml:space="preserve">the OATT, </w:t>
      </w:r>
      <w:r w:rsidRPr="007B7547">
        <w:t>Section II.47.2</w:t>
      </w:r>
      <w:r>
        <w:t xml:space="preserve">, </w:t>
      </w:r>
      <w:r w:rsidRPr="007B7547">
        <w:t xml:space="preserve">on a date after the </w:t>
      </w:r>
      <w:r>
        <w:rPr>
          <w:i/>
        </w:rPr>
        <w:t xml:space="preserve">RSP Project List </w:t>
      </w:r>
      <w:r>
        <w:t xml:space="preserve">(as of the date of that application) already has documented the </w:t>
      </w:r>
      <w:r w:rsidRPr="007B7547">
        <w:t>addition or modification</w:t>
      </w:r>
      <w:r>
        <w:t>, o</w:t>
      </w:r>
      <w:r w:rsidRPr="007B7547">
        <w:t>ther than as an Elective Transmission Upgrade.</w:t>
      </w:r>
    </w:p>
  </w:footnote>
  <w:footnote w:id="120">
    <w:p w:rsidR="003C78A4" w:rsidRDefault="003C78A4" w:rsidP="00EC0545">
      <w:pPr>
        <w:pStyle w:val="FootnoteText"/>
      </w:pPr>
      <w:r w:rsidRPr="007B7547">
        <w:rPr>
          <w:rStyle w:val="FootnoteReference"/>
        </w:rPr>
        <w:footnoteRef/>
      </w:r>
      <w:r w:rsidRPr="007B7547">
        <w:t xml:space="preserve"> This part of the ISO tariff covers the review of participants’ proposed plans. Approval of projects pursuant to Section I.3.9 of the tariff is the recognition that the proposed project can be implemented without significantly degrading the performance of the system; it is not an endorsement of the need for or associated costs of the project. See http://www.iso-ne.com/regulatory/tariff/sect_1/09-8-19_section_1.pdf.</w:t>
      </w:r>
    </w:p>
  </w:footnote>
  <w:footnote w:id="121">
    <w:p w:rsidR="003C78A4" w:rsidRDefault="003C78A4" w:rsidP="00EC0545">
      <w:pPr>
        <w:pStyle w:val="FootnoteText"/>
      </w:pPr>
      <w:r w:rsidRPr="007B7547">
        <w:rPr>
          <w:rStyle w:val="FootnoteReference"/>
        </w:rPr>
        <w:footnoteRef/>
      </w:r>
      <w:r w:rsidRPr="007B7547">
        <w:t xml:space="preserve"> PAC materials and meeting minutes are available at</w:t>
      </w:r>
      <w:r>
        <w:br/>
      </w:r>
      <w:hyperlink r:id="rId34" w:history="1">
        <w:r w:rsidRPr="007B7547">
          <w:rPr>
            <w:rStyle w:val="Hyperlink"/>
            <w:color w:val="000000" w:themeColor="text1"/>
            <w:u w:val="none"/>
          </w:rPr>
          <w:t>http://www.iso-ne.com/committees/comm_wkgrps/prtcpnts_comm/pac/index.html</w:t>
        </w:r>
      </w:hyperlink>
      <w:r w:rsidRPr="007B7547">
        <w:t xml:space="preserve">. The </w:t>
      </w:r>
      <w:r w:rsidRPr="00CA653F">
        <w:rPr>
          <w:i/>
        </w:rPr>
        <w:t>RSP Project List</w:t>
      </w:r>
      <w:r w:rsidRPr="007B7547">
        <w:t xml:space="preserve"> is available at http://www.iso-ne.com/committees/comm_wkgrps/prtcpnts_comm/pac/projects/index.html.</w:t>
      </w:r>
    </w:p>
  </w:footnote>
  <w:footnote w:id="122">
    <w:p w:rsidR="003C78A4" w:rsidRDefault="003C78A4" w:rsidP="00EC0545">
      <w:pPr>
        <w:pStyle w:val="FootnoteText"/>
      </w:pPr>
      <w:r w:rsidRPr="007B7547">
        <w:rPr>
          <w:rStyle w:val="FootnoteReference"/>
        </w:rPr>
        <w:footnoteRef/>
      </w:r>
      <w:r w:rsidRPr="007B7547">
        <w:t xml:space="preserve"> The $5 billion cost estimate </w:t>
      </w:r>
      <w:r>
        <w:t xml:space="preserve">is </w:t>
      </w:r>
      <w:r w:rsidRPr="007B7547">
        <w:t>bas</w:t>
      </w:r>
      <w:r>
        <w:t>ed on</w:t>
      </w:r>
      <w:r w:rsidRPr="007B7547">
        <w:t xml:space="preserve"> projects that are proposed, planned, and under construction </w:t>
      </w:r>
      <w:r>
        <w:t xml:space="preserve">and </w:t>
      </w:r>
      <w:r w:rsidRPr="007B7547">
        <w:t xml:space="preserve">has a range </w:t>
      </w:r>
      <w:r>
        <w:t xml:space="preserve">of </w:t>
      </w:r>
      <w:r w:rsidRPr="007B7547">
        <w:t>$3.8 to $6.2 billion</w:t>
      </w:r>
      <w:r>
        <w:t>.</w:t>
      </w:r>
    </w:p>
  </w:footnote>
  <w:footnote w:id="123">
    <w:p w:rsidR="003C78A4" w:rsidRDefault="003C78A4" w:rsidP="00EC0545">
      <w:pPr>
        <w:pStyle w:val="FootnoteText"/>
      </w:pPr>
      <w:r w:rsidRPr="0079000A">
        <w:rPr>
          <w:rStyle w:val="FootnoteReference"/>
        </w:rPr>
        <w:footnoteRef/>
      </w:r>
      <w:r w:rsidRPr="0079000A">
        <w:t xml:space="preserve"> For background information, refer to “RNS Rate Effective June 1, 2010,” </w:t>
      </w:r>
      <w:r>
        <w:t xml:space="preserve">by the </w:t>
      </w:r>
      <w:r w:rsidRPr="0079000A">
        <w:t>PTO AC Rates Working Group</w:t>
      </w:r>
      <w:r>
        <w:t>, presented</w:t>
      </w:r>
      <w:r w:rsidRPr="0079000A">
        <w:t xml:space="preserve"> </w:t>
      </w:r>
      <w:r>
        <w:t xml:space="preserve">at the </w:t>
      </w:r>
      <w:r w:rsidRPr="0079000A">
        <w:t>NEPOOL RC and TC Joint Summer Meeting (August 16–17, 2010); http://www.iso-ne.com/committees/comm_wkgrps/trans_comm/tariff_comm/mtrls/2010/aug16172010/a11_2010_rns_rates_presentation.pdf.</w:t>
      </w:r>
    </w:p>
  </w:footnote>
  <w:footnote w:id="124">
    <w:p w:rsidR="003C78A4" w:rsidRDefault="003C78A4" w:rsidP="00EC0545">
      <w:pPr>
        <w:pStyle w:val="FootnoteText"/>
      </w:pPr>
      <w:r w:rsidRPr="007B7547">
        <w:rPr>
          <w:rStyle w:val="FootnoteReference"/>
        </w:rPr>
        <w:footnoteRef/>
      </w:r>
      <w:r w:rsidRPr="007B7547">
        <w:t xml:space="preserve"> One exception is that Aroostook and Washington Counties in Maine are served radially from New Brunswick.</w:t>
      </w:r>
    </w:p>
  </w:footnote>
  <w:footnote w:id="125">
    <w:p w:rsidR="003C78A4" w:rsidRDefault="003C78A4" w:rsidP="00EC0545">
      <w:pPr>
        <w:pStyle w:val="FootnoteText"/>
      </w:pPr>
      <w:r w:rsidRPr="007B7547">
        <w:rPr>
          <w:rStyle w:val="FootnoteReference"/>
        </w:rPr>
        <w:footnoteRef/>
      </w:r>
      <w:r w:rsidRPr="007B7547">
        <w:t xml:space="preserve"> Further details about individual transmission projects can be obtained by contacting ISO Customer Service at (413) 540</w:t>
      </w:r>
      <w:r w:rsidRPr="007B7547">
        <w:noBreakHyphen/>
        <w:t>4220. As part of the PAC materials, the ISO includes study schedules of system performance Needs Assessments and Solutions Studies.</w:t>
      </w:r>
    </w:p>
  </w:footnote>
  <w:footnote w:id="126">
    <w:p w:rsidR="003C78A4" w:rsidRDefault="003C78A4" w:rsidP="00EC0545">
      <w:pPr>
        <w:pStyle w:val="FootnoteText"/>
      </w:pPr>
      <w:r w:rsidRPr="007B7547">
        <w:rPr>
          <w:rStyle w:val="FootnoteReference"/>
        </w:rPr>
        <w:footnoteRef/>
      </w:r>
      <w:r w:rsidRPr="007B7547">
        <w:t xml:space="preserve"> The flows vary with system conditions, as shown by the 2009 data where the flows were northbound about 20% of the time; see http://www.iso-ne.com/committees/comm_wkgrps/prtcpnts_comm/pac/mtrls/2010/jan212010/lmp_and_interface.pdf.</w:t>
      </w:r>
    </w:p>
  </w:footnote>
  <w:footnote w:id="127">
    <w:p w:rsidR="003C78A4" w:rsidRDefault="003C78A4" w:rsidP="00EC0545">
      <w:pPr>
        <w:pStyle w:val="FootnoteText"/>
      </w:pPr>
      <w:r w:rsidRPr="007B7547">
        <w:rPr>
          <w:rStyle w:val="FootnoteReference"/>
        </w:rPr>
        <w:footnoteRef/>
      </w:r>
      <w:r w:rsidRPr="007B7547">
        <w:t xml:space="preserve"> </w:t>
      </w:r>
      <w:r w:rsidRPr="000A0467">
        <w:rPr>
          <w:i/>
        </w:rPr>
        <w:t>New Hampshire Transmission System Needs Assessment</w:t>
      </w:r>
      <w:r w:rsidRPr="007B7547">
        <w:t xml:space="preserve"> (October 1, 2009);</w:t>
      </w:r>
      <w:r>
        <w:br/>
      </w:r>
      <w:hyperlink r:id="rId35" w:history="1">
        <w:r w:rsidRPr="007B7547">
          <w:rPr>
            <w:rStyle w:val="Hyperlink"/>
            <w:color w:val="auto"/>
            <w:u w:val="none"/>
          </w:rPr>
          <w:t>http://www.iso-ne.com/committees/comm_wkgrps/prtcpnts_comm/pac/ceii/reports/2009/final_nh_needs_report.pdf</w:t>
        </w:r>
      </w:hyperlink>
      <w:r w:rsidRPr="007B7547">
        <w:t>.</w:t>
      </w:r>
      <w:r>
        <w:br/>
      </w:r>
      <w:r w:rsidRPr="000A0467">
        <w:rPr>
          <w:i/>
        </w:rPr>
        <w:t>New Hampshire Transmission Needs Assessment Update Presentation</w:t>
      </w:r>
      <w:r w:rsidRPr="007B7547">
        <w:t xml:space="preserve"> (July 6, 2009);</w:t>
      </w:r>
      <w:r>
        <w:br/>
      </w:r>
      <w:hyperlink r:id="rId36" w:history="1">
        <w:r w:rsidRPr="007B7547">
          <w:rPr>
            <w:rStyle w:val="Hyperlink"/>
            <w:color w:val="auto"/>
            <w:u w:val="none"/>
          </w:rPr>
          <w:t>http://www.iso-ne.com/committees/comm_wkgrps/prtcpnts_comm/pac/ceii/mtrls/2009/jul162009/nh_needs.pdf</w:t>
        </w:r>
      </w:hyperlink>
      <w:r w:rsidRPr="007B7547">
        <w:t xml:space="preserve">. </w:t>
      </w:r>
    </w:p>
  </w:footnote>
  <w:footnote w:id="128">
    <w:p w:rsidR="003C78A4" w:rsidRDefault="003C78A4" w:rsidP="00EC0545">
      <w:pPr>
        <w:pStyle w:val="FootnoteText"/>
      </w:pPr>
      <w:r w:rsidRPr="007B7547">
        <w:rPr>
          <w:rStyle w:val="FootnoteReference"/>
        </w:rPr>
        <w:footnoteRef/>
      </w:r>
      <w:r w:rsidRPr="007B7547">
        <w:t xml:space="preserve"> </w:t>
      </w:r>
      <w:r>
        <w:t>2010 CELT Report</w:t>
      </w:r>
      <w:r w:rsidRPr="007B7547">
        <w:t>; http://www.iso-ne.com/trans/celt/index.html.</w:t>
      </w:r>
    </w:p>
  </w:footnote>
  <w:footnote w:id="129">
    <w:p w:rsidR="003C78A4" w:rsidRDefault="003C78A4" w:rsidP="00EC0545">
      <w:pPr>
        <w:pStyle w:val="FootnoteText"/>
      </w:pPr>
      <w:r w:rsidRPr="007B7547">
        <w:rPr>
          <w:rStyle w:val="FootnoteReference"/>
        </w:rPr>
        <w:footnoteRef/>
      </w:r>
      <w:r w:rsidRPr="007B7547">
        <w:t xml:space="preserve"> </w:t>
      </w:r>
      <w:r w:rsidRPr="000A0467">
        <w:rPr>
          <w:i/>
        </w:rPr>
        <w:t>2006 Vermont Transmission System Long-Range Plan</w:t>
      </w:r>
      <w:r w:rsidRPr="007B7547">
        <w:t xml:space="preserve"> (June 30, 2006); http://www.velco.com/LongRange/Documents/abridged_2006_plan%5B1%5D.pdf.</w:t>
      </w:r>
    </w:p>
  </w:footnote>
  <w:footnote w:id="130">
    <w:p w:rsidR="003C78A4" w:rsidRDefault="003C78A4" w:rsidP="00EC0545">
      <w:pPr>
        <w:pStyle w:val="FootnoteText"/>
      </w:pPr>
      <w:r w:rsidRPr="007B7547">
        <w:rPr>
          <w:rStyle w:val="FootnoteReference"/>
        </w:rPr>
        <w:footnoteRef/>
      </w:r>
      <w:r w:rsidRPr="007B7547">
        <w:t xml:space="preserve"> </w:t>
      </w:r>
      <w:r w:rsidRPr="000A0467">
        <w:rPr>
          <w:i/>
        </w:rPr>
        <w:t>Vermont Transmission System Needs Assessment Study Scope</w:t>
      </w:r>
      <w:r w:rsidRPr="007B7547">
        <w:t xml:space="preserve"> (October 15, 2008); http://www.iso-ne.com/trans/sys_studies/rsp_docs/pres/2008/final_vermont_transmission_system_needs_assessment__study_scope_oct152008.pdf.</w:t>
      </w:r>
      <w:hyperlink w:history="1"/>
    </w:p>
  </w:footnote>
  <w:footnote w:id="131">
    <w:p w:rsidR="003C78A4" w:rsidRDefault="003C78A4" w:rsidP="00EC0545">
      <w:pPr>
        <w:pStyle w:val="FootnoteText"/>
      </w:pPr>
      <w:r w:rsidRPr="007B7547">
        <w:rPr>
          <w:rStyle w:val="FootnoteReference"/>
        </w:rPr>
        <w:footnoteRef/>
      </w:r>
      <w:r w:rsidRPr="007B7547">
        <w:t xml:space="preserve"> </w:t>
      </w:r>
      <w:r w:rsidRPr="000A0467">
        <w:rPr>
          <w:i/>
        </w:rPr>
        <w:t>2009 Vermont Transmission System Long-Range Plan</w:t>
      </w:r>
      <w:r w:rsidRPr="007B7547">
        <w:t xml:space="preserve"> (July 1, 2009); http://www.velco.com/LongRange/Pages/2009Long-RangeTransmissionPlan.aspx.</w:t>
      </w:r>
    </w:p>
  </w:footnote>
  <w:footnote w:id="132">
    <w:p w:rsidR="003C78A4" w:rsidRPr="00C323B0" w:rsidRDefault="003C78A4" w:rsidP="00EC0545">
      <w:pPr>
        <w:pStyle w:val="FootnoteText"/>
      </w:pPr>
      <w:r w:rsidRPr="007B7547">
        <w:rPr>
          <w:rStyle w:val="FootnoteReference"/>
        </w:rPr>
        <w:footnoteRef/>
      </w:r>
      <w:r w:rsidRPr="007B7547">
        <w:t xml:space="preserve"> </w:t>
      </w:r>
      <w:r w:rsidRPr="000A0467">
        <w:rPr>
          <w:i/>
        </w:rPr>
        <w:t>Vermont Transmission Reliability Report Need Analysis</w:t>
      </w:r>
      <w:r w:rsidRPr="007B7547">
        <w:t xml:space="preserve"> (February 8, 2010);</w:t>
      </w:r>
      <w:r>
        <w:br/>
      </w:r>
      <w:hyperlink r:id="rId37" w:history="1">
        <w:r w:rsidRPr="007B7547">
          <w:rPr>
            <w:rStyle w:val="Hyperlink"/>
            <w:color w:val="000000" w:themeColor="text1"/>
            <w:u w:val="none"/>
          </w:rPr>
          <w:t>http://www.iso-ne.com/committees/comm_wkgrps/prtcpnts_comm/pac/ceii/reports/2010/final_vt_report.pdf</w:t>
        </w:r>
      </w:hyperlink>
      <w:r w:rsidRPr="007B7547">
        <w:t>.</w:t>
      </w:r>
      <w:hyperlink w:history="1"/>
      <w:r w:rsidRPr="007B7547">
        <w:t xml:space="preserve"> </w:t>
      </w:r>
    </w:p>
  </w:footnote>
  <w:footnote w:id="133">
    <w:p w:rsidR="003C78A4" w:rsidRDefault="003C78A4" w:rsidP="00EC0545">
      <w:pPr>
        <w:pStyle w:val="FootnoteText"/>
      </w:pPr>
      <w:r w:rsidRPr="007B7547">
        <w:rPr>
          <w:rStyle w:val="FootnoteReference"/>
        </w:rPr>
        <w:footnoteRef/>
      </w:r>
      <w:r w:rsidRPr="007B7547">
        <w:t xml:space="preserve"> </w:t>
      </w:r>
      <w:r w:rsidRPr="000A0467">
        <w:rPr>
          <w:i/>
        </w:rPr>
        <w:t>Vermont Transmission System Needs Assessment Presentation</w:t>
      </w:r>
      <w:r w:rsidRPr="007B7547">
        <w:t xml:space="preserve"> (February 25, 2009); http://w ww.iso-ne.com/committees/comm_wkgrps/prtcpnts_comm/pac/ceii/mtrls/2009/feb252009/vermont_needs.pdf.</w:t>
      </w:r>
      <w:hyperlink w:history="1"/>
    </w:p>
  </w:footnote>
  <w:footnote w:id="134">
    <w:p w:rsidR="003C78A4" w:rsidRDefault="003C78A4" w:rsidP="00EC0545">
      <w:pPr>
        <w:pStyle w:val="FootnoteText"/>
      </w:pPr>
      <w:r w:rsidRPr="007B7547">
        <w:rPr>
          <w:rStyle w:val="FootnoteReference"/>
        </w:rPr>
        <w:footnoteRef/>
      </w:r>
      <w:r w:rsidRPr="007B7547">
        <w:t xml:space="preserve"> </w:t>
      </w:r>
      <w:r w:rsidRPr="00AE0891">
        <w:rPr>
          <w:i/>
        </w:rPr>
        <w:t>Southern Loop/Coolidge Connector Presentation</w:t>
      </w:r>
      <w:r w:rsidRPr="007B7547">
        <w:t xml:space="preserve"> (January 17, 2008);</w:t>
      </w:r>
      <w:r>
        <w:br/>
      </w:r>
      <w:hyperlink r:id="rId38" w:history="1">
        <w:r w:rsidRPr="007B7547">
          <w:rPr>
            <w:rStyle w:val="Hyperlink"/>
            <w:color w:val="auto"/>
            <w:u w:val="none"/>
          </w:rPr>
          <w:t>http://www.iso-ne.com/committees/comm_wkgrps/prtcpnts_comm/pac/mtrls/2008/jan172008/avelcosouthernloop.pdf</w:t>
        </w:r>
      </w:hyperlink>
      <w:r w:rsidRPr="007B7547">
        <w:t>.</w:t>
      </w:r>
      <w:r>
        <w:br/>
      </w:r>
      <w:r w:rsidRPr="00AE0891">
        <w:rPr>
          <w:i/>
        </w:rPr>
        <w:t xml:space="preserve">Vermont Southern Loop/Coolidge Connector Update Presentation </w:t>
      </w:r>
      <w:r w:rsidRPr="007B7547">
        <w:t xml:space="preserve">(January 15, 2008); </w:t>
      </w:r>
      <w:hyperlink r:id="rId39" w:history="1">
        <w:r w:rsidRPr="007B7547">
          <w:rPr>
            <w:rStyle w:val="Hyperlink"/>
            <w:color w:val="auto"/>
            <w:u w:val="none"/>
          </w:rPr>
          <w:t>http://www.iso-ne.com/trans/sys_studies/rsp_docs/pres/2008/avtsoloop.pdf</w:t>
        </w:r>
      </w:hyperlink>
      <w:r w:rsidRPr="007B7547">
        <w:t xml:space="preserve">). </w:t>
      </w:r>
      <w:r w:rsidRPr="00AE0891">
        <w:rPr>
          <w:i/>
        </w:rPr>
        <w:t>Vermont Coolidge Connecter Presentation</w:t>
      </w:r>
      <w:r w:rsidRPr="007B7547">
        <w:t xml:space="preserve"> (July 16, 2009); http://www.iso-ne.com/committees/comm_wkgrps/prtcpnts_comm/pac/ceii/mtrls/2009/jul162009/vermont.pdf.</w:t>
      </w:r>
    </w:p>
  </w:footnote>
  <w:footnote w:id="135">
    <w:p w:rsidR="003C78A4" w:rsidRDefault="003C78A4" w:rsidP="00EC0545">
      <w:pPr>
        <w:pStyle w:val="FootnoteText"/>
      </w:pPr>
      <w:r w:rsidRPr="007B7547">
        <w:rPr>
          <w:rStyle w:val="FootnoteReference"/>
        </w:rPr>
        <w:footnoteRef/>
      </w:r>
      <w:r w:rsidRPr="007B7547">
        <w:t xml:space="preserve"> </w:t>
      </w:r>
      <w:r w:rsidRPr="00AE0891">
        <w:rPr>
          <w:i/>
        </w:rPr>
        <w:t>Overview—New Hampshire Second Deerfield Autotransformer Presentation</w:t>
      </w:r>
      <w:r w:rsidRPr="007B7547">
        <w:t xml:space="preserve"> (June 4, 2008); </w:t>
      </w:r>
      <w:hyperlink r:id="rId40" w:history="1">
        <w:r w:rsidRPr="007B7547">
          <w:rPr>
            <w:rStyle w:val="Hyperlink"/>
            <w:color w:val="auto"/>
            <w:u w:val="none"/>
          </w:rPr>
          <w:t>http://www.iso-ne.com/trans/sys_studies/rsp_docs/pres/2008/deerfield_area.pdf</w:t>
        </w:r>
      </w:hyperlink>
      <w:r w:rsidRPr="007B7547">
        <w:t xml:space="preserve">. </w:t>
      </w:r>
      <w:r w:rsidRPr="00AE0891">
        <w:rPr>
          <w:i/>
        </w:rPr>
        <w:t xml:space="preserve">New Hampshire Second Deerfield Autotransformer—Update to June 2008 Presentation </w:t>
      </w:r>
      <w:r w:rsidRPr="007B7547">
        <w:t xml:space="preserve">(December 16, 2008); </w:t>
      </w:r>
      <w:hyperlink r:id="rId41" w:history="1">
        <w:r w:rsidRPr="007B7547">
          <w:rPr>
            <w:rStyle w:val="Hyperlink"/>
            <w:color w:val="000000" w:themeColor="text1"/>
            <w:u w:val="none"/>
          </w:rPr>
          <w:t>http://www.iso-ne.com/trans/sys_studies/rsp_docs/pres/2008/deerfield.pdf</w:t>
        </w:r>
      </w:hyperlink>
      <w:r w:rsidRPr="007B7547">
        <w:t xml:space="preserve">. </w:t>
      </w:r>
      <w:r w:rsidRPr="00AE0891">
        <w:rPr>
          <w:i/>
        </w:rPr>
        <w:t>Second 345/115-kV Deerfield Autotransformer Proposed Plan Application Analysis Report</w:t>
      </w:r>
      <w:r w:rsidRPr="007B7547">
        <w:t xml:space="preserve"> (June 16, 2009); http://www.iso-ne.com/committees/comm_wkgrps/relblty_comm/relblty/ceii/ceii_mtrls/2009/jun162009/2nd_deerfield_txfmr_rev1_ppa.zip.</w:t>
      </w:r>
    </w:p>
  </w:footnote>
  <w:footnote w:id="136">
    <w:p w:rsidR="003C78A4" w:rsidRPr="00C323B0" w:rsidRDefault="003C78A4" w:rsidP="00EC0545">
      <w:pPr>
        <w:pStyle w:val="FootnoteText"/>
      </w:pPr>
      <w:r w:rsidRPr="007B7547">
        <w:rPr>
          <w:rStyle w:val="FootnoteReference"/>
        </w:rPr>
        <w:footnoteRef/>
      </w:r>
      <w:r w:rsidRPr="007B7547">
        <w:t xml:space="preserve"> </w:t>
      </w:r>
      <w:r w:rsidRPr="00AE0891">
        <w:rPr>
          <w:bCs/>
          <w:i/>
        </w:rPr>
        <w:t>Littleton Substation Reconfiguration Project</w:t>
      </w:r>
      <w:r w:rsidRPr="00AE0891">
        <w:rPr>
          <w:i/>
        </w:rPr>
        <w:t xml:space="preserve"> Presentation</w:t>
      </w:r>
      <w:r w:rsidRPr="007B7547">
        <w:t xml:space="preserve"> (July 6, 2009); </w:t>
      </w:r>
      <w:hyperlink r:id="rId42" w:history="1">
        <w:r w:rsidRPr="007B7547">
          <w:rPr>
            <w:rStyle w:val="Hyperlink"/>
            <w:color w:val="auto"/>
            <w:u w:val="none"/>
          </w:rPr>
          <w:t>http://www.iso-ne.com/committees/comm_wkgrps/prtcpnts_comm/pac/ceii/mtrls/2009/jul162009/littleton.pdf</w:t>
        </w:r>
      </w:hyperlink>
      <w:r w:rsidRPr="007B7547">
        <w:t>.</w:t>
      </w:r>
      <w:hyperlink w:history="1"/>
    </w:p>
  </w:footnote>
  <w:footnote w:id="137">
    <w:p w:rsidR="003C78A4" w:rsidRDefault="003C78A4" w:rsidP="00EC0545">
      <w:pPr>
        <w:pStyle w:val="FootnoteText"/>
      </w:pPr>
      <w:r w:rsidRPr="007B7547">
        <w:rPr>
          <w:rStyle w:val="FootnoteReference"/>
        </w:rPr>
        <w:footnoteRef/>
      </w:r>
      <w:r w:rsidRPr="007B7547">
        <w:t xml:space="preserve"> </w:t>
      </w:r>
      <w:r w:rsidRPr="00AE0891">
        <w:rPr>
          <w:i/>
        </w:rPr>
        <w:t>Maine Power Reliability Program (MPRP) Steady State Needs Assessment Presentation</w:t>
      </w:r>
      <w:r w:rsidRPr="007B7547">
        <w:t xml:space="preserve"> (May 14, 2007); </w:t>
      </w:r>
      <w:hyperlink r:id="rId43" w:history="1">
        <w:r w:rsidRPr="007B7547">
          <w:rPr>
            <w:rStyle w:val="Hyperlink"/>
            <w:color w:val="auto"/>
            <w:u w:val="none"/>
          </w:rPr>
          <w:t>http://www.iso-ne.com/trans/sys_studies/rsp_docs/pres/2007/maine_power_reliability_program_steady_state_needs_assessment.pdf</w:t>
        </w:r>
      </w:hyperlink>
      <w:r w:rsidRPr="007B7547">
        <w:t xml:space="preserve">). </w:t>
      </w:r>
      <w:hyperlink w:history="1"/>
      <w:r w:rsidRPr="00AE0891">
        <w:rPr>
          <w:i/>
        </w:rPr>
        <w:t>Final Report Maine Power Reliability Program Needs Assessment of the Maine Transmission System</w:t>
      </w:r>
      <w:r w:rsidRPr="007B7547">
        <w:t xml:space="preserve"> (June 19, 2007</w:t>
      </w:r>
      <w:r>
        <w:t>;</w:t>
      </w:r>
      <w:r w:rsidRPr="007B7547">
        <w:t xml:space="preserve"> </w:t>
      </w:r>
      <w:hyperlink r:id="rId44" w:history="1">
        <w:r w:rsidRPr="007B7547">
          <w:rPr>
            <w:rStyle w:val="Hyperlink"/>
            <w:color w:val="auto"/>
            <w:u w:val="none"/>
          </w:rPr>
          <w:t>http://www.iso-ne.com/trans/sys_studies/rsp_docs/pres/2007/maine_power_reliability_program_needs_assessment_final_report.pdf</w:t>
        </w:r>
      </w:hyperlink>
      <w:r w:rsidRPr="007B7547">
        <w:t>.</w:t>
      </w:r>
    </w:p>
  </w:footnote>
  <w:footnote w:id="138">
    <w:p w:rsidR="003C78A4" w:rsidRDefault="003C78A4" w:rsidP="00EC0545">
      <w:pPr>
        <w:pStyle w:val="FootnoteText"/>
      </w:pPr>
      <w:r w:rsidRPr="007B7547">
        <w:rPr>
          <w:rStyle w:val="FootnoteReference"/>
        </w:rPr>
        <w:footnoteRef/>
      </w:r>
      <w:r w:rsidRPr="007B7547">
        <w:t xml:space="preserve"> </w:t>
      </w:r>
      <w:r w:rsidRPr="00AE0891">
        <w:rPr>
          <w:i/>
        </w:rPr>
        <w:t>Maine Power Reliability Program (MPRP) Transmission Alternatives</w:t>
      </w:r>
      <w:r>
        <w:rPr>
          <w:i/>
        </w:rPr>
        <w:t>—</w:t>
      </w:r>
      <w:r w:rsidRPr="00AE0891">
        <w:rPr>
          <w:i/>
        </w:rPr>
        <w:t>Revised Presentation</w:t>
      </w:r>
      <w:r w:rsidRPr="007B7547">
        <w:t xml:space="preserve"> (January 24, 2008); </w:t>
      </w:r>
      <w:hyperlink r:id="rId45" w:history="1">
        <w:r w:rsidRPr="007B7547">
          <w:rPr>
            <w:rStyle w:val="Hyperlink"/>
            <w:color w:val="auto"/>
            <w:u w:val="none"/>
          </w:rPr>
          <w:t>http://www.iso-ne.com/trans/sys_studies/rsp_docs/pres/2008/amprprevised.pdf</w:t>
        </w:r>
      </w:hyperlink>
      <w:r w:rsidRPr="007B7547">
        <w:t xml:space="preserve">. </w:t>
      </w:r>
      <w:r w:rsidRPr="00AE0891">
        <w:rPr>
          <w:i/>
        </w:rPr>
        <w:t>Final Report Maine Power Reliability Program Transmission Alternatives Assessment for the Maine Transmission System</w:t>
      </w:r>
      <w:r w:rsidRPr="007B7547">
        <w:t xml:space="preserve"> (June 10, 2008); </w:t>
      </w:r>
      <w:hyperlink r:id="rId46" w:history="1">
        <w:r w:rsidRPr="007B7547">
          <w:rPr>
            <w:rStyle w:val="Hyperlink"/>
            <w:color w:val="auto"/>
            <w:u w:val="none"/>
          </w:rPr>
          <w:t>http://www.iso-ne.com/trans/sys_studies/rsp_docs/pres/2008/mprp_final_report.pdf</w:t>
        </w:r>
      </w:hyperlink>
      <w:r w:rsidRPr="007B7547">
        <w:t>.</w:t>
      </w:r>
      <w:r>
        <w:t xml:space="preserve"> </w:t>
      </w:r>
      <w:r w:rsidRPr="00AE0891">
        <w:t>The</w:t>
      </w:r>
      <w:r>
        <w:t xml:space="preserve"> </w:t>
      </w:r>
      <w:r w:rsidRPr="00AE0891">
        <w:rPr>
          <w:i/>
        </w:rPr>
        <w:t xml:space="preserve">Maine Power Reliability Program Transmission Alternatives Assessment for the Maine Transmission System </w:t>
      </w:r>
      <w:r w:rsidRPr="007B7547">
        <w:t xml:space="preserve">(May 30, 2008) describes the original version of this project in more detail. The </w:t>
      </w:r>
      <w:r w:rsidRPr="00AE0891">
        <w:rPr>
          <w:i/>
        </w:rPr>
        <w:t>CMP Maine Power Reliability Program Proposed Plan Application Analyses Addendum Report</w:t>
      </w:r>
      <w:r w:rsidRPr="007B7547">
        <w:t xml:space="preserve"> (February 6, 2009) updates the project descriptions.</w:t>
      </w:r>
    </w:p>
  </w:footnote>
  <w:footnote w:id="139">
    <w:p w:rsidR="003C78A4" w:rsidRDefault="003C78A4" w:rsidP="00EC0545">
      <w:pPr>
        <w:pStyle w:val="FootnoteText"/>
      </w:pPr>
      <w:r w:rsidRPr="007B7547">
        <w:rPr>
          <w:rStyle w:val="FootnoteReference"/>
        </w:rPr>
        <w:footnoteRef/>
      </w:r>
      <w:r w:rsidRPr="007B7547">
        <w:t xml:space="preserve"> </w:t>
      </w:r>
      <w:r w:rsidRPr="00AE0891">
        <w:t>Central Maine Power Company and Public Service of New Hampshire, Request for Certificate of Public Convenience and Necessity for the Maine Power Reliability Program Consisting of the Construction of Approximately 350 miles of 345 kV and 115 kV Transmission Lines</w:t>
      </w:r>
      <w:r>
        <w:t xml:space="preserve">, </w:t>
      </w:r>
      <w:r w:rsidRPr="007B7547">
        <w:t xml:space="preserve">Maine PUC Docket No. </w:t>
      </w:r>
      <w:r w:rsidRPr="007B7547">
        <w:rPr>
          <w:color w:val="000000" w:themeColor="text1"/>
        </w:rPr>
        <w:t xml:space="preserve">2008-255 (July 31, 2008); </w:t>
      </w:r>
      <w:hyperlink r:id="rId47" w:history="1">
        <w:r w:rsidRPr="007B7547">
          <w:rPr>
            <w:rStyle w:val="Hyperlink"/>
            <w:color w:val="000000" w:themeColor="text1"/>
            <w:u w:val="none"/>
          </w:rPr>
          <w:t>http://www.cmpco.com/OurCompany/MPRP_CPCN_APPLCTN.html</w:t>
        </w:r>
      </w:hyperlink>
      <w:r w:rsidRPr="007B7547">
        <w:rPr>
          <w:color w:val="000000" w:themeColor="text1"/>
        </w:rPr>
        <w:t xml:space="preserve">. </w:t>
      </w:r>
    </w:p>
  </w:footnote>
  <w:footnote w:id="140">
    <w:p w:rsidR="003C78A4" w:rsidRDefault="003C78A4" w:rsidP="00EC0545">
      <w:pPr>
        <w:pStyle w:val="FootnoteText"/>
      </w:pPr>
      <w:r w:rsidRPr="007B7547">
        <w:rPr>
          <w:rStyle w:val="FootnoteReference"/>
        </w:rPr>
        <w:footnoteRef/>
      </w:r>
      <w:r w:rsidRPr="007B7547">
        <w:t xml:space="preserve"> </w:t>
      </w:r>
      <w:r w:rsidRPr="00AE0891">
        <w:rPr>
          <w:i/>
        </w:rPr>
        <w:t>PSNH and CMP Joint Supplemental Filing with Respect to Termination of Section 3022 Adjacent to Existing Three Rivers Substation</w:t>
      </w:r>
      <w:r w:rsidRPr="007B7547">
        <w:t xml:space="preserve">, </w:t>
      </w:r>
      <w:r>
        <w:t xml:space="preserve">Maine PUC </w:t>
      </w:r>
      <w:r w:rsidRPr="007B7547">
        <w:t xml:space="preserve">Docket No. 2008-255 (July 26, 2010). The report is available at </w:t>
      </w:r>
      <w:hyperlink r:id="rId48" w:history="1">
        <w:r w:rsidRPr="007B7547">
          <w:rPr>
            <w:rStyle w:val="Hyperlink"/>
            <w:color w:val="000000" w:themeColor="text1"/>
            <w:u w:val="none"/>
          </w:rPr>
          <w:t>http://mpuc.informe.org/easyfile/easyweb.php?func=easyweb_query</w:t>
        </w:r>
      </w:hyperlink>
      <w:r w:rsidRPr="007B7547">
        <w:rPr>
          <w:color w:val="000000" w:themeColor="text1"/>
        </w:rPr>
        <w:t>.</w:t>
      </w:r>
      <w:r w:rsidRPr="007B7547">
        <w:t xml:space="preserve"> (Enter</w:t>
      </w:r>
      <w:r>
        <w:t xml:space="preserve"> </w:t>
      </w:r>
      <w:r w:rsidRPr="007B7547">
        <w:t>"2008255" into the "Case ID" on the search page and locate the filings for July 26, 2010, to access the entry for "Three Rivers Substation.")</w:t>
      </w:r>
    </w:p>
  </w:footnote>
  <w:footnote w:id="141">
    <w:p w:rsidR="003C78A4" w:rsidRDefault="003C78A4" w:rsidP="00EC0545">
      <w:pPr>
        <w:pStyle w:val="FootnoteText"/>
      </w:pPr>
      <w:r w:rsidRPr="007B7547">
        <w:rPr>
          <w:rStyle w:val="FootnoteReference"/>
        </w:rPr>
        <w:footnoteRef/>
      </w:r>
      <w:r w:rsidRPr="007B7547">
        <w:t xml:space="preserve"> </w:t>
      </w:r>
      <w:r w:rsidRPr="00AE0891">
        <w:rPr>
          <w:i/>
        </w:rPr>
        <w:t>Bangor Hydro’s Northern System Review Presentation</w:t>
      </w:r>
      <w:r w:rsidRPr="007B7547">
        <w:t xml:space="preserve"> (June 4, 2008);</w:t>
      </w:r>
      <w:r>
        <w:br/>
      </w:r>
      <w:r w:rsidRPr="007B7547">
        <w:t xml:space="preserve">http://www.iso-ne.com/committees/comm_wkgrps/prtcpnts_comm/pac/ceii/mtrls/2008/bhe.pdf. </w:t>
      </w:r>
    </w:p>
  </w:footnote>
  <w:footnote w:id="142">
    <w:p w:rsidR="003C78A4" w:rsidRPr="00AE0891" w:rsidRDefault="003C78A4" w:rsidP="00EC0545">
      <w:pPr>
        <w:pStyle w:val="FootnoteText"/>
      </w:pPr>
      <w:r w:rsidRPr="00AE0891">
        <w:rPr>
          <w:rStyle w:val="FootnoteReference"/>
        </w:rPr>
        <w:footnoteRef/>
      </w:r>
      <w:r w:rsidRPr="00AE0891">
        <w:t xml:space="preserve"> </w:t>
      </w:r>
      <w:hyperlink r:id="rId49" w:history="1">
        <w:r w:rsidRPr="00AE0891">
          <w:rPr>
            <w:rStyle w:val="Hyperlink"/>
            <w:i/>
            <w:color w:val="auto"/>
            <w:u w:val="none"/>
          </w:rPr>
          <w:t>New Hampshire 10-Year Study-Transmission Alternatives</w:t>
        </w:r>
      </w:hyperlink>
      <w:r w:rsidRPr="000302C3">
        <w:t xml:space="preserve"> </w:t>
      </w:r>
      <w:r w:rsidRPr="00AE0891">
        <w:t>(January 21, 2009); http://www.iso-ne.com/committees/comm_wkgrps/prtcpnts_comm/pac/ceii/mtrls/2009/jan212009/a_nh_alternative_assessment.pdf.</w:t>
      </w:r>
    </w:p>
  </w:footnote>
  <w:footnote w:id="143">
    <w:p w:rsidR="003C78A4" w:rsidRDefault="003C78A4" w:rsidP="00EC0545">
      <w:pPr>
        <w:pStyle w:val="FootnoteText"/>
      </w:pPr>
      <w:r w:rsidRPr="00AE0891">
        <w:rPr>
          <w:rStyle w:val="FootnoteReference"/>
        </w:rPr>
        <w:footnoteRef/>
      </w:r>
      <w:r w:rsidRPr="00AE0891">
        <w:t xml:space="preserve"> </w:t>
      </w:r>
      <w:r w:rsidRPr="00AE0891">
        <w:rPr>
          <w:i/>
        </w:rPr>
        <w:t xml:space="preserve">Greater Hartford Reliability Study </w:t>
      </w:r>
      <w:r w:rsidRPr="000302C3">
        <w:t>(March 18, 2010);</w:t>
      </w:r>
      <w:r>
        <w:br/>
      </w:r>
      <w:r w:rsidRPr="000302C3">
        <w:t xml:space="preserve">http://www.iso-ne.com/committees/comm_wkgrps/prtcpnts_comm/pac/ceii/mtrls/2010/mar182010/greaterhartford.pdf. </w:t>
      </w:r>
    </w:p>
  </w:footnote>
  <w:footnote w:id="144">
    <w:p w:rsidR="003C78A4" w:rsidRDefault="003C78A4" w:rsidP="00EC0545">
      <w:pPr>
        <w:pStyle w:val="FootnoteText"/>
      </w:pPr>
      <w:r w:rsidRPr="00AE0891">
        <w:rPr>
          <w:rStyle w:val="FootnoteReference"/>
        </w:rPr>
        <w:footnoteRef/>
      </w:r>
      <w:r w:rsidRPr="00AE0891">
        <w:t xml:space="preserve"> </w:t>
      </w:r>
      <w:r w:rsidRPr="00AE0891">
        <w:rPr>
          <w:i/>
        </w:rPr>
        <w:t>New England East</w:t>
      </w:r>
      <w:r>
        <w:rPr>
          <w:i/>
        </w:rPr>
        <w:t>–</w:t>
      </w:r>
      <w:r w:rsidRPr="00AE0891">
        <w:rPr>
          <w:i/>
        </w:rPr>
        <w:t xml:space="preserve">West Solution (NEEWS) Rhode Island </w:t>
      </w:r>
      <w:r>
        <w:rPr>
          <w:i/>
        </w:rPr>
        <w:t>and</w:t>
      </w:r>
      <w:r w:rsidRPr="00AE0891">
        <w:rPr>
          <w:i/>
        </w:rPr>
        <w:t xml:space="preserve"> Springfield Current Needs Assessments</w:t>
      </w:r>
      <w:r w:rsidRPr="000302C3">
        <w:t xml:space="preserve"> (June 17, 2009); http://www.iso-ne.com/committees/comm_wkgrps/prtcpnts_comm/pac/ceii/mtrls/2009/jun172009/neews.pdf.</w:t>
      </w:r>
    </w:p>
  </w:footnote>
  <w:footnote w:id="145">
    <w:p w:rsidR="003C78A4" w:rsidRDefault="003C78A4" w:rsidP="00EC0545">
      <w:pPr>
        <w:pStyle w:val="FootnoteText"/>
      </w:pPr>
      <w:r w:rsidRPr="00AE0891">
        <w:rPr>
          <w:rStyle w:val="FootnoteReference"/>
        </w:rPr>
        <w:footnoteRef/>
      </w:r>
      <w:r w:rsidRPr="000302C3">
        <w:t xml:space="preserve"> </w:t>
      </w:r>
      <w:r w:rsidRPr="00AE0891">
        <w:rPr>
          <w:i/>
        </w:rPr>
        <w:t>Southern New England Transmission Reliability Needs Analysis Report</w:t>
      </w:r>
      <w:r w:rsidRPr="000302C3">
        <w:t>. Both public (redacted) and private versions of this report are available on the ISO's Web site. Contact ISO Customer Services at (413) 540-4220 for additional information.</w:t>
      </w:r>
    </w:p>
  </w:footnote>
  <w:footnote w:id="146">
    <w:p w:rsidR="003C78A4" w:rsidRPr="00AE0891" w:rsidRDefault="003C78A4" w:rsidP="00EC0545">
      <w:pPr>
        <w:pStyle w:val="FootnoteText"/>
      </w:pPr>
      <w:r w:rsidRPr="00AE0891">
        <w:rPr>
          <w:rStyle w:val="FootnoteReference"/>
        </w:rPr>
        <w:footnoteRef/>
      </w:r>
      <w:r w:rsidRPr="00AD585E">
        <w:rPr>
          <w:i/>
        </w:rPr>
        <w:t xml:space="preserve"> </w:t>
      </w:r>
      <w:r w:rsidRPr="00AE0891">
        <w:rPr>
          <w:i/>
        </w:rPr>
        <w:t>Greater Boston Area Transmission Needs Assessment</w:t>
      </w:r>
      <w:r w:rsidRPr="00987991">
        <w:t xml:space="preserve"> </w:t>
      </w:r>
      <w:r w:rsidRPr="00AE0891">
        <w:t>(July 8, 2010);</w:t>
      </w:r>
      <w:r>
        <w:br/>
      </w:r>
      <w:hyperlink r:id="rId50" w:history="1">
        <w:r w:rsidRPr="00AE0891">
          <w:rPr>
            <w:rStyle w:val="Hyperlink"/>
            <w:color w:val="000000" w:themeColor="text1"/>
            <w:u w:val="none"/>
          </w:rPr>
          <w:t>http://iso-ne.com/committees/comm_wkgrps/prtcpnts_comm/pac/reports/index.html</w:t>
        </w:r>
      </w:hyperlink>
      <w:r w:rsidRPr="00AE0891">
        <w:rPr>
          <w:color w:val="000000" w:themeColor="text1"/>
        </w:rPr>
        <w:t xml:space="preserve">. </w:t>
      </w:r>
    </w:p>
  </w:footnote>
  <w:footnote w:id="147">
    <w:p w:rsidR="003C78A4" w:rsidRDefault="003C78A4" w:rsidP="00EC0545">
      <w:pPr>
        <w:pStyle w:val="FootnoteText"/>
      </w:pPr>
      <w:r w:rsidRPr="00AE0891">
        <w:rPr>
          <w:rStyle w:val="FootnoteReference"/>
        </w:rPr>
        <w:footnoteRef/>
      </w:r>
      <w:r w:rsidRPr="00AD585E">
        <w:rPr>
          <w:i/>
        </w:rPr>
        <w:t xml:space="preserve"> </w:t>
      </w:r>
      <w:r w:rsidRPr="00AE0891">
        <w:rPr>
          <w:bCs/>
          <w:i/>
        </w:rPr>
        <w:t>Greater Boston Study Needs Assessment/Solutions</w:t>
      </w:r>
      <w:r w:rsidRPr="00987991">
        <w:t xml:space="preserve"> </w:t>
      </w:r>
      <w:r w:rsidRPr="00AE0891">
        <w:t>(March 18, 2010);</w:t>
      </w:r>
      <w:r>
        <w:br/>
      </w:r>
      <w:hyperlink r:id="rId51" w:history="1">
        <w:r w:rsidRPr="00AE0891">
          <w:rPr>
            <w:rStyle w:val="Hyperlink"/>
            <w:color w:val="000000" w:themeColor="text1"/>
            <w:u w:val="none"/>
          </w:rPr>
          <w:t>http://www.iso-ne.com/committees/comm_wkgrps/prtcpnts_comm/pac/mtrls/2010/mar182010/gb_needs_solutions.pdf</w:t>
        </w:r>
      </w:hyperlink>
      <w:r w:rsidRPr="00AE0891">
        <w:t>.</w:t>
      </w:r>
    </w:p>
  </w:footnote>
  <w:footnote w:id="148">
    <w:p w:rsidR="003C78A4" w:rsidRPr="00AE0891" w:rsidRDefault="003C78A4" w:rsidP="00EC0545">
      <w:pPr>
        <w:pStyle w:val="FootnoteText"/>
      </w:pPr>
      <w:r w:rsidRPr="007B7547">
        <w:rPr>
          <w:rStyle w:val="FootnoteReference"/>
          <w:color w:val="000000" w:themeColor="text1"/>
        </w:rPr>
        <w:footnoteRef/>
      </w:r>
      <w:r w:rsidRPr="007B7547">
        <w:t xml:space="preserve"> </w:t>
      </w:r>
      <w:r w:rsidRPr="00AE0891">
        <w:rPr>
          <w:bCs/>
          <w:i/>
        </w:rPr>
        <w:t>Western Massachusetts (MA) Transmission Planning Studies</w:t>
      </w:r>
      <w:r w:rsidRPr="007B7547">
        <w:t xml:space="preserve"> (November 6, 2007);</w:t>
      </w:r>
      <w:r>
        <w:br/>
      </w:r>
      <w:hyperlink r:id="rId52" w:history="1">
        <w:r w:rsidRPr="007B7547">
          <w:rPr>
            <w:rStyle w:val="Hyperlink"/>
            <w:color w:val="000000" w:themeColor="text1"/>
            <w:u w:val="none"/>
          </w:rPr>
          <w:t>http://www.iso-ne.com/trans/sys_studies/rsp_docs/pres/2007/western_massachusetts_transmission_planning_studies.pdf</w:t>
        </w:r>
      </w:hyperlink>
      <w:r w:rsidRPr="007B7547">
        <w:t xml:space="preserve">. </w:t>
      </w:r>
      <w:hyperlink w:history="1"/>
      <w:r w:rsidRPr="00AE0891">
        <w:rPr>
          <w:i/>
        </w:rPr>
        <w:t xml:space="preserve">Pittsfield-Greenfield, MA Area Transmission Needs Assessment </w:t>
      </w:r>
      <w:r w:rsidRPr="007B7547">
        <w:t>and the appendices to this report (June 29, 2010);</w:t>
      </w:r>
      <w:r>
        <w:br/>
      </w:r>
      <w:hyperlink r:id="rId53" w:history="1">
        <w:r w:rsidRPr="00AE0891">
          <w:rPr>
            <w:rStyle w:val="Hyperlink"/>
            <w:color w:val="000000" w:themeColor="text1"/>
            <w:u w:val="none"/>
          </w:rPr>
          <w:t>https://iso-ne.com/committees/comm_wkgrps/prtcpnts_comm/pac/ceii/reports/2010/pitts-green_assess.pdf</w:t>
        </w:r>
      </w:hyperlink>
      <w:r w:rsidRPr="00AE0891">
        <w:t xml:space="preserve"> and</w:t>
      </w:r>
      <w:r>
        <w:br/>
      </w:r>
      <w:r w:rsidRPr="00AE0891">
        <w:t>http://iso-ne.com/committees/comm_wkgrps/prtcpnts_comm/pac/reports/index.html.</w:t>
      </w:r>
    </w:p>
  </w:footnote>
  <w:footnote w:id="149">
    <w:p w:rsidR="003C78A4" w:rsidRPr="005E5163" w:rsidRDefault="003C78A4" w:rsidP="00EC0545">
      <w:pPr>
        <w:pStyle w:val="FootnoteText"/>
      </w:pPr>
      <w:r w:rsidRPr="005E5163">
        <w:rPr>
          <w:rStyle w:val="FootnoteReference"/>
        </w:rPr>
        <w:footnoteRef/>
      </w:r>
      <w:r w:rsidRPr="005E5163">
        <w:t xml:space="preserve"> </w:t>
      </w:r>
      <w:r w:rsidRPr="005E5163">
        <w:rPr>
          <w:i/>
        </w:rPr>
        <w:t>Greater Hartford Area Reliability Study</w:t>
      </w:r>
      <w:r w:rsidRPr="00AD585E">
        <w:t xml:space="preserve"> </w:t>
      </w:r>
      <w:r w:rsidRPr="005E5163">
        <w:t>(March 18, 2010);</w:t>
      </w:r>
      <w:r>
        <w:br/>
      </w:r>
      <w:hyperlink r:id="rId54" w:history="1">
        <w:r w:rsidRPr="005E5163">
          <w:rPr>
            <w:rStyle w:val="Hyperlink"/>
            <w:color w:val="000000" w:themeColor="text1"/>
            <w:u w:val="none"/>
          </w:rPr>
          <w:t>http://www.iso-ne.com/committees/comm_wkgrps/prtcpnts_comm/pac/ceii/mtrls/2010/mar182010/greaterhartford.pdf</w:t>
        </w:r>
      </w:hyperlink>
      <w:r w:rsidRPr="005E5163">
        <w:t>.</w:t>
      </w:r>
      <w:hyperlink w:history="1"/>
      <w:r w:rsidRPr="005E5163">
        <w:t xml:space="preserve"> </w:t>
      </w:r>
    </w:p>
  </w:footnote>
  <w:footnote w:id="150">
    <w:p w:rsidR="003C78A4" w:rsidRDefault="003C78A4" w:rsidP="00EC0545">
      <w:pPr>
        <w:pStyle w:val="FootnoteText"/>
      </w:pPr>
      <w:r w:rsidRPr="007B7547">
        <w:rPr>
          <w:rStyle w:val="FootnoteReference"/>
        </w:rPr>
        <w:footnoteRef/>
      </w:r>
      <w:r w:rsidRPr="007B7547">
        <w:t xml:space="preserve"> </w:t>
      </w:r>
      <w:r w:rsidRPr="005E5163">
        <w:rPr>
          <w:i/>
        </w:rPr>
        <w:t>New England East–West Solution</w:t>
      </w:r>
      <w:r w:rsidRPr="007B7547">
        <w:t xml:space="preserve"> (June 2008); http://www.iso-ne.com/trans/sys_studies/rsp_docs/pres/2008/neews_options_final_protect.pdf. A number of the less complex Rhode Island improvements, which were put on an accelerated schedule, came to be known as the advanced NEEWS upgrades for Rhode Island. These were merged with other upgrades into what became the Greater Rhode Island Project. This project is discussed further below.</w:t>
      </w:r>
    </w:p>
  </w:footnote>
  <w:footnote w:id="151">
    <w:p w:rsidR="003C78A4" w:rsidRDefault="003C78A4" w:rsidP="00EC0545">
      <w:pPr>
        <w:pStyle w:val="FootnoteText"/>
      </w:pPr>
      <w:r w:rsidRPr="005E5163">
        <w:rPr>
          <w:rStyle w:val="FootnoteReference"/>
        </w:rPr>
        <w:footnoteRef/>
      </w:r>
      <w:r w:rsidRPr="005E5163">
        <w:t xml:space="preserve"> </w:t>
      </w:r>
      <w:r w:rsidRPr="005E5163">
        <w:rPr>
          <w:i/>
        </w:rPr>
        <w:t>Merrimack/North Shore Area Transmission Reliability Study Steady State Analysis to Support Proposed Plan Application</w:t>
      </w:r>
      <w:r w:rsidRPr="004E03AF">
        <w:t xml:space="preserve"> (April 2006); http://www.iso-ne.com/committees/comm_wkgrps/relblty_comm/relblty/mtrls/2008/feb142008/zip3_wakefield.zip.</w:t>
      </w:r>
    </w:p>
  </w:footnote>
  <w:footnote w:id="152">
    <w:p w:rsidR="003C78A4" w:rsidRDefault="003C78A4" w:rsidP="00EC0545">
      <w:pPr>
        <w:pStyle w:val="FootnoteText"/>
      </w:pPr>
      <w:r w:rsidRPr="005E5163">
        <w:rPr>
          <w:rStyle w:val="FootnoteReference"/>
        </w:rPr>
        <w:footnoteRef/>
      </w:r>
      <w:r w:rsidRPr="005E5163">
        <w:t xml:space="preserve"> </w:t>
      </w:r>
      <w:r w:rsidRPr="005E5163">
        <w:rPr>
          <w:i/>
        </w:rPr>
        <w:t>Mystic 345 kV, 160 MVAR Shunt Reactor Project Transmission Facilities Proposed Plan Steady State Analysis</w:t>
      </w:r>
      <w:r w:rsidRPr="004E03AF">
        <w:t xml:space="preserve"> (July 1, 2008); http://www.iso-ne.com/committees/comm_wkgrps/relblty_comm/relblty/ceii/2008/aug/mystic_reactor_study_report.pdf.</w:t>
      </w:r>
    </w:p>
  </w:footnote>
  <w:footnote w:id="153">
    <w:p w:rsidR="003C78A4" w:rsidRDefault="003C78A4" w:rsidP="00EC0545">
      <w:pPr>
        <w:pStyle w:val="FootnoteText"/>
      </w:pPr>
      <w:r w:rsidRPr="005E5163">
        <w:rPr>
          <w:rStyle w:val="FootnoteReference"/>
        </w:rPr>
        <w:footnoteRef/>
      </w:r>
      <w:r w:rsidRPr="004E03AF">
        <w:t xml:space="preserve"> </w:t>
      </w:r>
      <w:r w:rsidRPr="005E5163">
        <w:rPr>
          <w:bCs/>
          <w:i/>
        </w:rPr>
        <w:t>E-205E 230 kV Line Refurbishment</w:t>
      </w:r>
      <w:r w:rsidRPr="004E03AF">
        <w:t xml:space="preserve"> (August 19, 2009);</w:t>
      </w:r>
      <w:r>
        <w:br/>
      </w:r>
      <w:r w:rsidRPr="004E03AF">
        <w:t>http://www.iso-ne.com/committees/comm_wkgrps/prtcpnts_comm/pac/ceii/mtrls/2009/aug192009/a_ngrid.pdf.</w:t>
      </w:r>
    </w:p>
  </w:footnote>
  <w:footnote w:id="154">
    <w:p w:rsidR="003C78A4" w:rsidRPr="007D25C7" w:rsidRDefault="003C78A4" w:rsidP="00EC0545">
      <w:pPr>
        <w:pStyle w:val="FootnoteText"/>
        <w:rPr>
          <w:color w:val="000000" w:themeColor="text1"/>
        </w:rPr>
      </w:pPr>
      <w:r w:rsidRPr="005E5163">
        <w:rPr>
          <w:rStyle w:val="FootnoteReference"/>
        </w:rPr>
        <w:footnoteRef/>
      </w:r>
      <w:r w:rsidRPr="005E5163">
        <w:t xml:space="preserve"> </w:t>
      </w:r>
      <w:r w:rsidRPr="005E5163">
        <w:rPr>
          <w:bCs/>
          <w:i/>
        </w:rPr>
        <w:t>Western Massachusetts Transmission Reinforcements 2007 to 2017</w:t>
      </w:r>
      <w:r w:rsidRPr="004E03AF">
        <w:t xml:space="preserve"> (September 2007);</w:t>
      </w:r>
      <w:r>
        <w:br/>
      </w:r>
      <w:r w:rsidRPr="004E03AF">
        <w:t>http://www.iso-</w:t>
      </w:r>
      <w:r w:rsidRPr="007D25C7">
        <w:rPr>
          <w:color w:val="000000" w:themeColor="text1"/>
        </w:rPr>
        <w:t>ne.com/committees/comm_wkgrps/relblty_comm/relblty/mtrls/2007/oct102007/zip2_western_ma_ppa.zip.</w:t>
      </w:r>
    </w:p>
  </w:footnote>
  <w:footnote w:id="155">
    <w:p w:rsidR="003C78A4" w:rsidRPr="007D25C7" w:rsidRDefault="003C78A4" w:rsidP="00EC0545">
      <w:pPr>
        <w:pStyle w:val="FootnoteText"/>
      </w:pPr>
      <w:r w:rsidRPr="007D25C7">
        <w:rPr>
          <w:rStyle w:val="FootnoteReference"/>
          <w:color w:val="000000" w:themeColor="text1"/>
        </w:rPr>
        <w:footnoteRef/>
      </w:r>
      <w:r w:rsidRPr="007D25C7">
        <w:t xml:space="preserve"> </w:t>
      </w:r>
      <w:r>
        <w:t xml:space="preserve">Slawek </w:t>
      </w:r>
      <w:r w:rsidRPr="007D25C7">
        <w:t xml:space="preserve">Szymanowski, </w:t>
      </w:r>
      <w:r w:rsidRPr="007D25C7">
        <w:rPr>
          <w:i/>
        </w:rPr>
        <w:t>Auburn St. Substation Upgrades System Impact Study</w:t>
      </w:r>
      <w:r w:rsidRPr="007D25C7">
        <w:t xml:space="preserve"> (Nation</w:t>
      </w:r>
      <w:r>
        <w:t>al</w:t>
      </w:r>
      <w:r w:rsidRPr="007D25C7">
        <w:t xml:space="preserve"> Grid</w:t>
      </w:r>
      <w:r>
        <w:t>,</w:t>
      </w:r>
      <w:r w:rsidRPr="007D25C7">
        <w:t xml:space="preserve"> November 2007) and </w:t>
      </w:r>
      <w:r>
        <w:t xml:space="preserve">Sandeep </w:t>
      </w:r>
      <w:r w:rsidRPr="007D25C7">
        <w:t>Baidwan</w:t>
      </w:r>
      <w:r>
        <w:t xml:space="preserve"> </w:t>
      </w:r>
      <w:r w:rsidRPr="007D25C7">
        <w:t xml:space="preserve">and Ahmet Oztepe, </w:t>
      </w:r>
      <w:r w:rsidRPr="007D25C7">
        <w:rPr>
          <w:i/>
        </w:rPr>
        <w:t>Auburn St. Substation and Area Transmission System Reliability Study</w:t>
      </w:r>
      <w:r w:rsidRPr="007D25C7">
        <w:rPr>
          <w:rFonts w:eastAsiaTheme="minorHAnsi" w:cstheme="minorBidi"/>
        </w:rPr>
        <w:t xml:space="preserve"> (National Grid</w:t>
      </w:r>
      <w:r>
        <w:rPr>
          <w:rFonts w:eastAsiaTheme="minorHAnsi" w:cstheme="minorBidi"/>
        </w:rPr>
        <w:t>,</w:t>
      </w:r>
      <w:r w:rsidRPr="007D25C7">
        <w:rPr>
          <w:rFonts w:eastAsiaTheme="minorHAnsi" w:cstheme="minorBidi"/>
        </w:rPr>
        <w:t xml:space="preserve"> July 2007); </w:t>
      </w:r>
      <w:r w:rsidRPr="007D25C7">
        <w:t xml:space="preserve"> </w:t>
      </w:r>
      <w:hyperlink r:id="rId55" w:history="1">
        <w:r w:rsidRPr="007D25C7">
          <w:rPr>
            <w:rStyle w:val="Hyperlink"/>
            <w:rFonts w:eastAsiaTheme="minorHAnsi" w:cstheme="minorBidi"/>
            <w:color w:val="000000" w:themeColor="text1"/>
            <w:u w:val="none"/>
          </w:rPr>
          <w:t>http://www.iso-ne.com/committees/comm_wkgrps/relblty_comm/relblty/mtrls/2007/dec192007/index.html</w:t>
        </w:r>
      </w:hyperlink>
      <w:r w:rsidRPr="007D25C7">
        <w:rPr>
          <w:rFonts w:eastAsiaTheme="minorHAnsi" w:cstheme="minorBidi"/>
        </w:rPr>
        <w:t xml:space="preserve"> (Zip 3 Study Reports).</w:t>
      </w:r>
    </w:p>
  </w:footnote>
  <w:footnote w:id="156">
    <w:p w:rsidR="003C78A4" w:rsidRDefault="003C78A4" w:rsidP="00EC0545">
      <w:pPr>
        <w:pStyle w:val="FootnoteText"/>
      </w:pPr>
      <w:r w:rsidRPr="005E5163">
        <w:rPr>
          <w:rStyle w:val="FootnoteReference"/>
        </w:rPr>
        <w:footnoteRef/>
      </w:r>
      <w:r w:rsidRPr="005E5163">
        <w:t xml:space="preserve"> </w:t>
      </w:r>
      <w:r w:rsidRPr="005E5163">
        <w:rPr>
          <w:bCs/>
          <w:i/>
        </w:rPr>
        <w:t>Lower SEMA Short Term Upgrades System Impact Study Steady State Analysis</w:t>
      </w:r>
      <w:r w:rsidRPr="004E03AF">
        <w:t xml:space="preserve"> (May 3, 2007)</w:t>
      </w:r>
      <w:r>
        <w:t>;</w:t>
      </w:r>
      <w:r>
        <w:br/>
      </w:r>
      <w:r w:rsidRPr="004E03AF">
        <w:t>http://www.iso-ne.com/committees/comm_wkgrps/relblty_comm/relblty/mtrls/2007/aug82007/zip1b_study-reports.zip.</w:t>
      </w:r>
    </w:p>
  </w:footnote>
  <w:footnote w:id="157">
    <w:p w:rsidR="003C78A4" w:rsidRDefault="003C78A4" w:rsidP="00EC0545">
      <w:pPr>
        <w:pStyle w:val="FootnoteText"/>
      </w:pPr>
      <w:r w:rsidRPr="007B7547">
        <w:rPr>
          <w:rStyle w:val="FootnoteReference"/>
        </w:rPr>
        <w:footnoteRef/>
      </w:r>
      <w:r w:rsidRPr="007B7547">
        <w:t xml:space="preserve"> </w:t>
      </w:r>
      <w:r w:rsidRPr="007B7547">
        <w:rPr>
          <w:bCs/>
          <w:i/>
        </w:rPr>
        <w:t>Greater Rhode Island Transmission Reinforcements</w:t>
      </w:r>
      <w:r w:rsidRPr="007B7547">
        <w:t xml:space="preserve"> (March 2008);</w:t>
      </w:r>
      <w:r>
        <w:br/>
      </w:r>
      <w:r w:rsidRPr="007B7547">
        <w:t>http://www.iso-ne.com/committees/comm_wkgrps/relblty_comm/relblty/mtrls/2008/apr152008/zip1_gri-study-reports.zip.</w:t>
      </w:r>
    </w:p>
  </w:footnote>
  <w:footnote w:id="158">
    <w:p w:rsidR="003C78A4" w:rsidRPr="00934F88" w:rsidRDefault="003C78A4" w:rsidP="00EC0545">
      <w:pPr>
        <w:pStyle w:val="FootnoteText"/>
      </w:pPr>
      <w:r w:rsidRPr="007B7547">
        <w:rPr>
          <w:rStyle w:val="FootnoteReference"/>
        </w:rPr>
        <w:footnoteRef/>
      </w:r>
      <w:r w:rsidRPr="007B7547">
        <w:t xml:space="preserve"> </w:t>
      </w:r>
      <w:r w:rsidRPr="007B7547">
        <w:rPr>
          <w:i/>
        </w:rPr>
        <w:t>Steady State and Short Circuit Analysis for the System Impact Study of the Grand Avenue Project</w:t>
      </w:r>
      <w:r w:rsidRPr="007B7547">
        <w:t xml:space="preserve"> (November 21, 2008); http://www.iso-ne.com/committees/comm_wkgrps/relblty_comm/relblty/ceii/2008/dec/grand_avenue_project_steady_state_report.pdf.</w:t>
      </w:r>
    </w:p>
  </w:footnote>
  <w:footnote w:id="159">
    <w:p w:rsidR="003C78A4" w:rsidRDefault="003C78A4" w:rsidP="00EC0545">
      <w:pPr>
        <w:pStyle w:val="FootnoteText"/>
      </w:pPr>
      <w:r w:rsidRPr="007B7547">
        <w:rPr>
          <w:rStyle w:val="FootnoteReference"/>
        </w:rPr>
        <w:footnoteRef/>
      </w:r>
      <w:r w:rsidRPr="007B7547">
        <w:t xml:space="preserve"> ISO Planning Procedure No. 10 (PP 10), </w:t>
      </w:r>
      <w:r w:rsidRPr="007B7547">
        <w:rPr>
          <w:i/>
        </w:rPr>
        <w:t>System Planning Activities</w:t>
      </w:r>
      <w:r>
        <w:rPr>
          <w:i/>
        </w:rPr>
        <w:t xml:space="preserve"> </w:t>
      </w:r>
      <w:r w:rsidRPr="007B7547">
        <w:rPr>
          <w:i/>
        </w:rPr>
        <w:t xml:space="preserve">Conducted to Support the Forward Capacity Market </w:t>
      </w:r>
      <w:r w:rsidRPr="007B7547">
        <w:t>(July 2009); http://www.iso-ne.com/rules_proceds/isone_plan/pp10_r6.pdf.</w:t>
      </w:r>
    </w:p>
  </w:footnote>
  <w:footnote w:id="160">
    <w:p w:rsidR="003C78A4" w:rsidRDefault="003C78A4" w:rsidP="00EC0545">
      <w:pPr>
        <w:pStyle w:val="FootnoteText"/>
      </w:pPr>
      <w:r w:rsidRPr="007B7547">
        <w:rPr>
          <w:rStyle w:val="FootnoteReference"/>
        </w:rPr>
        <w:footnoteRef/>
      </w:r>
      <w:r w:rsidRPr="007B7547">
        <w:t xml:space="preserve"> </w:t>
      </w:r>
      <w:r w:rsidRPr="007B7547">
        <w:rPr>
          <w:i/>
        </w:rPr>
        <w:t>Order on Forward Capacity Auction Results Filing</w:t>
      </w:r>
      <w:r w:rsidRPr="007B7547">
        <w:t>, FERC Docket No, ER10-186-000 (February 26, 2010);</w:t>
      </w:r>
      <w:r>
        <w:br/>
      </w:r>
      <w:r w:rsidRPr="007B7547">
        <w:t xml:space="preserve">http://www.iso-ne.com/regulatory/ferc/orders/2010/feb/er10-186-000_2-26-10_order_accept_3rd_fca_results.pdf. </w:t>
      </w:r>
    </w:p>
  </w:footnote>
  <w:footnote w:id="161">
    <w:p w:rsidR="003C78A4" w:rsidRDefault="003C78A4" w:rsidP="00EC0545">
      <w:pPr>
        <w:pStyle w:val="FootnoteText"/>
      </w:pPr>
      <w:r w:rsidRPr="007B7547">
        <w:rPr>
          <w:rStyle w:val="FootnoteReference"/>
        </w:rPr>
        <w:footnoteRef/>
      </w:r>
      <w:r w:rsidRPr="007B7547">
        <w:t xml:space="preserve"> The results of the fourth FCA, which commenced on August 3, 2010, were not made public before publishing RSP10. </w:t>
      </w:r>
      <w:r w:rsidRPr="006D79B3">
        <w:rPr>
          <w:i/>
        </w:rPr>
        <w:t>ISO New England Inc.,</w:t>
      </w:r>
      <w:r w:rsidRPr="007B7547">
        <w:t xml:space="preserve"> </w:t>
      </w:r>
      <w:r w:rsidRPr="007B7547">
        <w:rPr>
          <w:i/>
        </w:rPr>
        <w:t>Informational Filing for Qualification in the Forward Capacity Market</w:t>
      </w:r>
      <w:r w:rsidRPr="007B7547">
        <w:t>, FERC Docket No. ER10-___-000 (May 4, 2010); http://www.iso-ne.com/regulatory/ferc/filings/2010/may/er10-___-000_05-04-10_4th_fca_info_filing.pdf.</w:t>
      </w:r>
    </w:p>
  </w:footnote>
  <w:footnote w:id="162">
    <w:p w:rsidR="003C78A4" w:rsidRDefault="003C78A4" w:rsidP="00EC0545">
      <w:pPr>
        <w:pStyle w:val="FootnoteText"/>
      </w:pPr>
      <w:r w:rsidRPr="007B7547">
        <w:rPr>
          <w:rStyle w:val="FootnoteReference"/>
        </w:rPr>
        <w:footnoteRef/>
      </w:r>
      <w:r w:rsidRPr="007B7547">
        <w:t xml:space="preserve"> See </w:t>
      </w:r>
      <w:r w:rsidRPr="007B7547">
        <w:rPr>
          <w:bCs/>
          <w:i/>
        </w:rPr>
        <w:t>RSP10 2009 Historical Market Data: Locational Marginal Prices, Interface MW Flows</w:t>
      </w:r>
      <w:r w:rsidRPr="007B7547">
        <w:t xml:space="preserve"> (January 21, 2010); http://www.iso-ne.com/committees/comm_wkgrps/prtcpnts_comm/pac/mtrls/2010/jan212010/lmp_and_interface.pdf.</w:t>
      </w:r>
    </w:p>
  </w:footnote>
  <w:footnote w:id="163">
    <w:p w:rsidR="003C78A4" w:rsidRDefault="003C78A4" w:rsidP="00EC0545">
      <w:pPr>
        <w:pStyle w:val="FootnoteText"/>
      </w:pPr>
      <w:r w:rsidRPr="007B7547">
        <w:rPr>
          <w:rStyle w:val="FootnoteReference"/>
        </w:rPr>
        <w:footnoteRef/>
      </w:r>
      <w:r w:rsidRPr="007B7547">
        <w:t xml:space="preserve"> </w:t>
      </w:r>
      <w:r w:rsidRPr="007B7547">
        <w:rPr>
          <w:i/>
        </w:rPr>
        <w:t>Net Commitment</w:t>
      </w:r>
      <w:r>
        <w:rPr>
          <w:i/>
        </w:rPr>
        <w:t>-</w:t>
      </w:r>
      <w:r w:rsidRPr="007B7547">
        <w:rPr>
          <w:i/>
        </w:rPr>
        <w:t>Period Compensation</w:t>
      </w:r>
      <w:r w:rsidRPr="007B7547">
        <w:t xml:space="preserve"> (NCPC) provides “make-whole” payments to market participants with resources whose operating costs exceed energy revenues over the 24-hour dispatch day. NCPC is paid to resources for providing first- and second-contingency voltage support and control and distribution system protection in either the Day-Ahead or Real-Time Energy Markets. The accounting for the provision of these services is performed daily and considers a resource’s total offer amount for generation, including start-up fees and no-load fees, compared with its total energy market value during the day. If the total value is less than the offer amount, the difference is credited to the market participant. For more information, see </w:t>
      </w:r>
      <w:r w:rsidRPr="0076743F">
        <w:rPr>
          <w:i/>
        </w:rPr>
        <w:t>Market Rule 1</w:t>
      </w:r>
      <w:r w:rsidRPr="007B7547">
        <w:t xml:space="preserve">, Section III, Appendix F: </w:t>
      </w:r>
      <w:r w:rsidRPr="007B7547">
        <w:rPr>
          <w:iCs/>
        </w:rPr>
        <w:t xml:space="preserve">Net Commitment-Period Compensation Accounting; </w:t>
      </w:r>
      <w:hyperlink r:id="rId56" w:history="1">
        <w:r w:rsidRPr="007B7547">
          <w:rPr>
            <w:rStyle w:val="Hyperlink"/>
            <w:color w:val="000000" w:themeColor="text1"/>
            <w:u w:val="none"/>
          </w:rPr>
          <w:t>http://www.iso-ne.com/regulatory/tariff/sect_3/</w:t>
        </w:r>
      </w:hyperlink>
      <w:r w:rsidRPr="007B7547">
        <w:t>.</w:t>
      </w:r>
    </w:p>
  </w:footnote>
  <w:footnote w:id="164">
    <w:p w:rsidR="003C78A4" w:rsidRDefault="003C78A4" w:rsidP="00EC0545">
      <w:pPr>
        <w:pStyle w:val="FootnoteText"/>
      </w:pPr>
      <w:r w:rsidRPr="007B7547">
        <w:rPr>
          <w:rStyle w:val="FootnoteReference"/>
        </w:rPr>
        <w:footnoteRef/>
      </w:r>
      <w:r w:rsidRPr="007B7547">
        <w:t xml:space="preserve"> The NCPC second-contingency payments to generators in SEMA were $143.5 million in 2008 and $13.9 million in 2009. The NCPC voltage payments to generators in SEMA were $6.9 million in 2008 and $3.9 million in 2009. See the </w:t>
      </w:r>
      <w:r>
        <w:t>“</w:t>
      </w:r>
      <w:r w:rsidRPr="007B7547">
        <w:t>NCPC Credits Summary 2010</w:t>
      </w:r>
      <w:r>
        <w:t>”</w:t>
      </w:r>
      <w:r w:rsidRPr="007B7547">
        <w:t xml:space="preserve"> </w:t>
      </w:r>
      <w:r>
        <w:t xml:space="preserve">Web page; </w:t>
      </w:r>
      <w:hyperlink r:id="rId57" w:history="1">
        <w:r w:rsidRPr="007B7547">
          <w:rPr>
            <w:rStyle w:val="Hyperlink"/>
            <w:color w:val="000000" w:themeColor="text1"/>
            <w:u w:val="none"/>
          </w:rPr>
          <w:t>http://www.iso-ne.com/markets/othrmkts_data/ncpc/ncpc_sum/index.html</w:t>
        </w:r>
      </w:hyperlink>
      <w:r w:rsidRPr="007B7547">
        <w:t>.</w:t>
      </w:r>
    </w:p>
  </w:footnote>
  <w:footnote w:id="165">
    <w:p w:rsidR="003C78A4" w:rsidRDefault="003C78A4" w:rsidP="00EC0545">
      <w:pPr>
        <w:pStyle w:val="FootnoteText"/>
      </w:pPr>
      <w:r w:rsidRPr="007B7547">
        <w:rPr>
          <w:rStyle w:val="FootnoteReference"/>
        </w:rPr>
        <w:footnoteRef/>
      </w:r>
      <w:r w:rsidRPr="007B7547">
        <w:t xml:space="preserve"> </w:t>
      </w:r>
      <w:r>
        <w:t>On the b</w:t>
      </w:r>
      <w:r w:rsidRPr="007B7547">
        <w:t>as</w:t>
      </w:r>
      <w:r>
        <w:t xml:space="preserve">is </w:t>
      </w:r>
      <w:r w:rsidRPr="007B7547">
        <w:t>o</w:t>
      </w:r>
      <w:r>
        <w:t>f</w:t>
      </w:r>
      <w:r w:rsidRPr="007B7547">
        <w:t xml:space="preserve"> the June 2010 </w:t>
      </w:r>
      <w:r w:rsidRPr="007B7547">
        <w:rPr>
          <w:i/>
        </w:rPr>
        <w:t>RSP Project List</w:t>
      </w:r>
      <w:r w:rsidRPr="007B7547">
        <w:t>, this total includes seven projects in 2002, 26 projects in 2003, 30 projects in 2004, 51 projects in 2005, 55 projects in 2006, 36 projects in 2007, and 64 projects in 2008. An additional 38 projects were placed in service in 2009, and an additional 34 projects are expected to be placed in service in 2010.</w:t>
      </w:r>
    </w:p>
  </w:footnote>
  <w:footnote w:id="166">
    <w:p w:rsidR="003C78A4" w:rsidRDefault="003C78A4" w:rsidP="00EC0545">
      <w:pPr>
        <w:pStyle w:val="FootnoteText"/>
      </w:pPr>
      <w:r w:rsidRPr="007B7547">
        <w:rPr>
          <w:rStyle w:val="FootnoteReference"/>
        </w:rPr>
        <w:footnoteRef/>
      </w:r>
      <w:r w:rsidRPr="007B7547">
        <w:t xml:space="preserve"> Cost estimates without transmission cost allocation approval are subject to wide ranges of accuracy and change as projects progress. Many projects, especially those in the early stages of development, do not have cost estimates.</w:t>
      </w:r>
    </w:p>
  </w:footnote>
  <w:footnote w:id="167">
    <w:p w:rsidR="003C78A4" w:rsidRDefault="003C78A4" w:rsidP="00EC0545">
      <w:pPr>
        <w:pStyle w:val="FootnoteText"/>
      </w:pPr>
      <w:r w:rsidRPr="007B7547">
        <w:rPr>
          <w:rStyle w:val="FootnoteReference"/>
        </w:rPr>
        <w:footnoteRef/>
      </w:r>
      <w:r w:rsidRPr="007B7547">
        <w:t xml:space="preserve"> </w:t>
      </w:r>
      <w:r>
        <w:t>A</w:t>
      </w:r>
      <w:r w:rsidRPr="007B7547">
        <w:t xml:space="preserve">ll the ISO’s CELT reports are available at </w:t>
      </w:r>
      <w:hyperlink r:id="rId58" w:history="1">
        <w:r w:rsidRPr="00F91715">
          <w:rPr>
            <w:rStyle w:val="Hyperlink"/>
            <w:color w:val="auto"/>
            <w:u w:val="none"/>
          </w:rPr>
          <w:t>http://www.iso-ne.com/trans/celt/index.html. The</w:t>
        </w:r>
      </w:hyperlink>
      <w:r w:rsidRPr="007B7547">
        <w:t xml:space="preserve"> summer installed capacity total includes existing generation and expected generation capacity additions but not Hydro-Québec Interconnection Capability Credits (HQICC), demand-response resources, or external purchases and sales. </w:t>
      </w:r>
      <w:r>
        <w:t>T</w:t>
      </w:r>
      <w:r w:rsidRPr="007B7547">
        <w:t>he 2010 CELT Report, Section 2.1</w:t>
      </w:r>
      <w:r>
        <w:t>,</w:t>
      </w:r>
      <w:r w:rsidRPr="007B7547">
        <w:t xml:space="preserve"> “Generator List with Existing and Expected Seasonal Claimed Capability (SCC),” contains details on 2010 summer installed capacity.</w:t>
      </w:r>
    </w:p>
  </w:footnote>
  <w:footnote w:id="168">
    <w:p w:rsidR="003C78A4" w:rsidRDefault="003C78A4" w:rsidP="00EC0545">
      <w:pPr>
        <w:pStyle w:val="FootnoteText"/>
      </w:pPr>
      <w:r w:rsidRPr="007B7547">
        <w:rPr>
          <w:rStyle w:val="FootnoteReference"/>
        </w:rPr>
        <w:footnoteRef/>
      </w:r>
      <w:r w:rsidRPr="007B7547">
        <w:t xml:space="preserve"> The renewable resource fuel sources include landfill gas, other biomass gas, refuse (municipal solid waste), wood and wood-waste solids, wind, solar, black liquor, and tire-derived fuels.</w:t>
      </w:r>
    </w:p>
  </w:footnote>
  <w:footnote w:id="169">
    <w:p w:rsidR="003C78A4" w:rsidRDefault="003C78A4" w:rsidP="00EC0545">
      <w:pPr>
        <w:pStyle w:val="FootnoteText"/>
      </w:pPr>
      <w:r w:rsidRPr="007B7547">
        <w:rPr>
          <w:rStyle w:val="FootnoteReference"/>
        </w:rPr>
        <w:footnoteRef/>
      </w:r>
      <w:r w:rsidRPr="007B7547">
        <w:t xml:space="preserve"> Operating Procedure No. 4, </w:t>
      </w:r>
      <w:r w:rsidRPr="003C0D7E">
        <w:rPr>
          <w:i/>
        </w:rPr>
        <w:t>Action during a Capacity Deficiency</w:t>
      </w:r>
      <w:r>
        <w:rPr>
          <w:i/>
        </w:rPr>
        <w:t xml:space="preserve"> </w:t>
      </w:r>
      <w:r>
        <w:t>(June 1, 2010)</w:t>
      </w:r>
      <w:r w:rsidRPr="007B7547">
        <w:t>;</w:t>
      </w:r>
      <w:r>
        <w:br/>
      </w:r>
      <w:hyperlink r:id="rId59" w:history="1">
        <w:r w:rsidRPr="007B7547">
          <w:rPr>
            <w:rStyle w:val="Hyperlink"/>
            <w:color w:val="000000" w:themeColor="text1"/>
            <w:u w:val="none"/>
          </w:rPr>
          <w:t>http://www.iso-ne.com/rules_proceds/operating/isone/op4/index.html</w:t>
        </w:r>
      </w:hyperlink>
      <w:r w:rsidRPr="007B7547">
        <w:t>.</w:t>
      </w:r>
    </w:p>
  </w:footnote>
  <w:footnote w:id="170">
    <w:p w:rsidR="003C78A4" w:rsidRDefault="003C78A4" w:rsidP="00EC0545">
      <w:pPr>
        <w:pStyle w:val="FootnoteText"/>
      </w:pPr>
      <w:r w:rsidRPr="007B7547">
        <w:rPr>
          <w:rStyle w:val="FootnoteReference"/>
        </w:rPr>
        <w:footnoteRef/>
      </w:r>
      <w:r w:rsidRPr="007B7547">
        <w:t xml:space="preserve"> </w:t>
      </w:r>
      <w:r>
        <w:t>Energy Information Administration (EIA), DOE, “</w:t>
      </w:r>
      <w:r w:rsidRPr="007B7547">
        <w:t xml:space="preserve">Intrastate </w:t>
      </w:r>
      <w:r>
        <w:t xml:space="preserve">Natural Gas </w:t>
      </w:r>
      <w:r w:rsidRPr="007B7547">
        <w:t>Pipeline</w:t>
      </w:r>
      <w:r>
        <w:t xml:space="preserve"> Segment” Web page (n.d.) and “Intrastate Natural Gas Pipeline Companies” spreadsheet </w:t>
      </w:r>
      <w:r w:rsidRPr="007B7547">
        <w:t>(</w:t>
      </w:r>
      <w:r>
        <w:t>2007)</w:t>
      </w:r>
      <w:r w:rsidRPr="007B7547">
        <w:t xml:space="preserve">); </w:t>
      </w:r>
      <w:r>
        <w:t>h</w:t>
      </w:r>
      <w:r w:rsidRPr="007B7547">
        <w:t>ttp://www.eia.doe.gov/pub/oil_gas/natural_gas/analysis_publications/ngpipeline/intrastate.html.</w:t>
      </w:r>
    </w:p>
  </w:footnote>
  <w:footnote w:id="171">
    <w:p w:rsidR="003C78A4" w:rsidRDefault="003C78A4" w:rsidP="00EC0545">
      <w:pPr>
        <w:pStyle w:val="FootnoteText"/>
      </w:pPr>
      <w:r w:rsidRPr="007B7547">
        <w:rPr>
          <w:rStyle w:val="FootnoteReference"/>
        </w:rPr>
        <w:footnoteRef/>
      </w:r>
      <w:r w:rsidRPr="007B7547">
        <w:t xml:space="preserve"> Marcellus Shale, a geographic formation in the Appalachian basin, extends from Virginia into Ohio, Pennsylvania, and New York.</w:t>
      </w:r>
    </w:p>
  </w:footnote>
  <w:footnote w:id="172">
    <w:p w:rsidR="003C78A4" w:rsidRDefault="003C78A4" w:rsidP="00EC0545">
      <w:pPr>
        <w:pStyle w:val="FootnoteText"/>
      </w:pPr>
      <w:r w:rsidRPr="007B7547">
        <w:rPr>
          <w:rStyle w:val="FootnoteReference"/>
        </w:rPr>
        <w:footnoteRef/>
      </w:r>
      <w:r w:rsidRPr="007B7547">
        <w:t xml:space="preserve"> EnCana</w:t>
      </w:r>
      <w:r>
        <w:t>, “</w:t>
      </w:r>
      <w:r w:rsidRPr="007B7547">
        <w:t>Offshore—Deep Panuke</w:t>
      </w:r>
      <w:r>
        <w:t xml:space="preserve">” Web page </w:t>
      </w:r>
      <w:r w:rsidRPr="007B7547">
        <w:t>(2009); http://www.encana.com/operations/canada/deeppanuke/; in-service date status obtained from the Northeast Gas Association</w:t>
      </w:r>
      <w:r>
        <w:t xml:space="preserve"> (NGA)</w:t>
      </w:r>
      <w:r w:rsidRPr="007B7547">
        <w:t xml:space="preserve"> (June 29, 2010).</w:t>
      </w:r>
    </w:p>
  </w:footnote>
  <w:footnote w:id="173">
    <w:p w:rsidR="003C78A4" w:rsidRDefault="003C78A4" w:rsidP="00EC0545">
      <w:pPr>
        <w:pStyle w:val="FootnoteText"/>
      </w:pPr>
      <w:r w:rsidRPr="007B7547">
        <w:rPr>
          <w:rStyle w:val="FootnoteReference"/>
        </w:rPr>
        <w:footnoteRef/>
      </w:r>
      <w:r w:rsidRPr="007B7547">
        <w:t xml:space="preserve"> The satisfaction of the 45% peak-day requirement is a combination of vaporization at Distrigas in Everett, MA, and vaporization from all New England gas local distribution compan</w:t>
      </w:r>
      <w:r>
        <w:t>ies’</w:t>
      </w:r>
      <w:r w:rsidRPr="007B7547">
        <w:t xml:space="preserve"> (LDC</w:t>
      </w:r>
      <w:r>
        <w:t>s’</w:t>
      </w:r>
      <w:r w:rsidRPr="007B7547">
        <w:t>) satellite LNG tanks serving their service territory peak-day requirements. Distrigas is the primary, sole-source supplier of LNG liquid trucking in the region.</w:t>
      </w:r>
    </w:p>
  </w:footnote>
  <w:footnote w:id="174">
    <w:p w:rsidR="003C78A4" w:rsidRDefault="003C78A4" w:rsidP="00EC0545">
      <w:pPr>
        <w:pStyle w:val="FootnoteText"/>
      </w:pPr>
      <w:r w:rsidRPr="007B7547">
        <w:rPr>
          <w:rStyle w:val="FootnoteReference"/>
        </w:rPr>
        <w:footnoteRef/>
      </w:r>
      <w:r w:rsidRPr="007B7547">
        <w:t xml:space="preserve">  “GDF” stands for Gaz de France. GDF SUEZ Energy North America</w:t>
      </w:r>
      <w:r>
        <w:t>, “</w:t>
      </w:r>
      <w:r w:rsidRPr="007B7547">
        <w:t>LNG Operations</w:t>
      </w:r>
      <w:r>
        <w:t xml:space="preserve">” Web site </w:t>
      </w:r>
      <w:r w:rsidRPr="007B7547">
        <w:t>(2009); http://www.suezenergyna.com/ourcompanies/lngna.shtml.</w:t>
      </w:r>
    </w:p>
  </w:footnote>
  <w:footnote w:id="175">
    <w:p w:rsidR="003C78A4" w:rsidRDefault="003C78A4" w:rsidP="00EC0545">
      <w:pPr>
        <w:pStyle w:val="FootnoteText"/>
      </w:pPr>
      <w:r w:rsidRPr="007B7547">
        <w:rPr>
          <w:rStyle w:val="FootnoteReference"/>
        </w:rPr>
        <w:footnoteRef/>
      </w:r>
      <w:r w:rsidRPr="007B7547">
        <w:t xml:space="preserve"> </w:t>
      </w:r>
      <w:r>
        <w:t xml:space="preserve">Distragas </w:t>
      </w:r>
      <w:r w:rsidRPr="007B7547">
        <w:t>transmittal to the ISO</w:t>
      </w:r>
      <w:r>
        <w:t xml:space="preserve">, </w:t>
      </w:r>
      <w:r w:rsidRPr="007B7547">
        <w:t>June 28, 2010.</w:t>
      </w:r>
    </w:p>
  </w:footnote>
  <w:footnote w:id="176">
    <w:p w:rsidR="003C78A4" w:rsidRDefault="003C78A4" w:rsidP="00EC0545">
      <w:pPr>
        <w:pStyle w:val="FootnoteText"/>
      </w:pPr>
      <w:r w:rsidRPr="007B7547">
        <w:rPr>
          <w:rStyle w:val="FootnoteReference"/>
        </w:rPr>
        <w:footnoteRef/>
      </w:r>
      <w:r w:rsidRPr="007B7547">
        <w:t xml:space="preserve"> Excelerate Energy, </w:t>
      </w:r>
      <w:r>
        <w:t>“</w:t>
      </w:r>
      <w:r w:rsidRPr="007B7547">
        <w:t>Northeast Gateway Deepwater Port</w:t>
      </w:r>
      <w:r>
        <w:t xml:space="preserve">” Web page </w:t>
      </w:r>
      <w:r w:rsidRPr="007B7547">
        <w:t>(</w:t>
      </w:r>
      <w:r>
        <w:t>n.d.</w:t>
      </w:r>
      <w:r w:rsidRPr="007B7547">
        <w:t>); http://www.excelerateenergy.com/northeast.html.</w:t>
      </w:r>
    </w:p>
  </w:footnote>
  <w:footnote w:id="177">
    <w:p w:rsidR="003C78A4" w:rsidRDefault="003C78A4" w:rsidP="00EC0545">
      <w:pPr>
        <w:pStyle w:val="FootnoteText"/>
      </w:pPr>
      <w:r w:rsidRPr="007B7547">
        <w:rPr>
          <w:rStyle w:val="FootnoteReference"/>
        </w:rPr>
        <w:footnoteRef/>
      </w:r>
      <w:r w:rsidRPr="007B7547">
        <w:t xml:space="preserve"> The Canaport LNG project is a Canadian Limited Partnership between subsidiaries of Irving Oil Limited (25% owner) and Respol (75% owner). See</w:t>
      </w:r>
      <w:r>
        <w:t xml:space="preserve"> </w:t>
      </w:r>
      <w:r w:rsidRPr="007B7547">
        <w:t>Canaport LNG</w:t>
      </w:r>
      <w:r>
        <w:t xml:space="preserve"> Web site</w:t>
      </w:r>
      <w:r w:rsidRPr="007B7547">
        <w:t xml:space="preserve"> (2008); http://www.canaportlng.com/index.php. </w:t>
      </w:r>
    </w:p>
  </w:footnote>
  <w:footnote w:id="178">
    <w:p w:rsidR="003C78A4" w:rsidRDefault="003C78A4" w:rsidP="00EC0545">
      <w:pPr>
        <w:pStyle w:val="FootnoteText"/>
      </w:pPr>
      <w:r w:rsidRPr="007B7547">
        <w:rPr>
          <w:rStyle w:val="FootnoteReference"/>
        </w:rPr>
        <w:footnoteRef/>
      </w:r>
      <w:r w:rsidRPr="007B7547">
        <w:t xml:space="preserve"> More information on the Brunswick Pipeline is available at http://www.brunswickpipeline.com/home/index.cfm.The M&amp;NE Pipeline (http://www.mnpp.com/us/) can receive approximately 0.85 Bcf/</w:t>
      </w:r>
      <w:r>
        <w:t xml:space="preserve">d </w:t>
      </w:r>
      <w:r w:rsidRPr="007B7547">
        <w:t>of natural gas from Canada for delivery into New England from various Canadian supply points, which include deepwater production from the Sable Offshore Energy Project and the upcoming (in 2011) Deep Panuke Project, along with land-based production from Corridor Resources’ McCully gas field and regasified LNG from the Canaport facility.</w:t>
      </w:r>
    </w:p>
  </w:footnote>
  <w:footnote w:id="179">
    <w:p w:rsidR="003C78A4" w:rsidRDefault="003C78A4" w:rsidP="00EC0545">
      <w:pPr>
        <w:pStyle w:val="FootnoteText"/>
      </w:pPr>
      <w:r w:rsidRPr="007B7547">
        <w:rPr>
          <w:rStyle w:val="FootnoteReference"/>
        </w:rPr>
        <w:footnoteRef/>
      </w:r>
      <w:r w:rsidRPr="007B7547">
        <w:t xml:space="preserve"> </w:t>
      </w:r>
      <w:r>
        <w:t xml:space="preserve">Distragas </w:t>
      </w:r>
      <w:r w:rsidRPr="007B7547">
        <w:t>transmittal to the ISO</w:t>
      </w:r>
      <w:r>
        <w:t>,</w:t>
      </w:r>
      <w:r w:rsidRPr="007B7547">
        <w:t xml:space="preserve"> June 28, 2010.</w:t>
      </w:r>
    </w:p>
  </w:footnote>
  <w:footnote w:id="180">
    <w:p w:rsidR="003C78A4" w:rsidRDefault="003C78A4" w:rsidP="00EC0545">
      <w:pPr>
        <w:pStyle w:val="FootnoteText"/>
      </w:pPr>
      <w:r w:rsidRPr="007B7547">
        <w:rPr>
          <w:rStyle w:val="FootnoteReference"/>
        </w:rPr>
        <w:footnoteRef/>
      </w:r>
      <w:r w:rsidRPr="007B7547">
        <w:t xml:space="preserve"> </w:t>
      </w:r>
      <w:r>
        <w:t xml:space="preserve">NGA, </w:t>
      </w:r>
      <w:r w:rsidRPr="00BC19B4">
        <w:rPr>
          <w:i/>
        </w:rPr>
        <w:t>2009 Statistical Guide</w:t>
      </w:r>
      <w:r w:rsidRPr="007B7547">
        <w:t xml:space="preserve"> (December 2009).</w:t>
      </w:r>
    </w:p>
  </w:footnote>
  <w:footnote w:id="181">
    <w:p w:rsidR="003C78A4" w:rsidRDefault="003C78A4" w:rsidP="00EC0545">
      <w:pPr>
        <w:pStyle w:val="FootnoteText"/>
      </w:pPr>
      <w:r w:rsidRPr="007B7547">
        <w:rPr>
          <w:rStyle w:val="FootnoteReference"/>
        </w:rPr>
        <w:footnoteRef/>
      </w:r>
      <w:r w:rsidRPr="007B7547">
        <w:t xml:space="preserve"> NG</w:t>
      </w:r>
      <w:r>
        <w:t xml:space="preserve">A Web site </w:t>
      </w:r>
      <w:r w:rsidRPr="007B7547">
        <w:t>(2010); http://www.northeastgas.org.</w:t>
      </w:r>
    </w:p>
  </w:footnote>
  <w:footnote w:id="182">
    <w:p w:rsidR="003C78A4" w:rsidRDefault="003C78A4" w:rsidP="00EC0545">
      <w:pPr>
        <w:pStyle w:val="FootnoteText"/>
      </w:pPr>
      <w:r w:rsidRPr="007B7547">
        <w:rPr>
          <w:rStyle w:val="FootnoteReference"/>
        </w:rPr>
        <w:footnoteRef/>
      </w:r>
      <w:r w:rsidRPr="007B7547">
        <w:t xml:space="preserve"> </w:t>
      </w:r>
      <w:r>
        <w:t xml:space="preserve">NGA, </w:t>
      </w:r>
      <w:r w:rsidRPr="00BC19B4">
        <w:rPr>
          <w:i/>
        </w:rPr>
        <w:t>Regional Market Update</w:t>
      </w:r>
      <w:r w:rsidRPr="007B7547">
        <w:t xml:space="preserve"> (December 2009).</w:t>
      </w:r>
    </w:p>
  </w:footnote>
  <w:footnote w:id="183">
    <w:p w:rsidR="003C78A4" w:rsidRDefault="003C78A4" w:rsidP="00EC0545">
      <w:pPr>
        <w:pStyle w:val="FootnoteText"/>
      </w:pPr>
      <w:r w:rsidRPr="007B7547">
        <w:rPr>
          <w:rStyle w:val="FootnoteReference"/>
        </w:rPr>
        <w:footnoteRef/>
      </w:r>
      <w:r w:rsidRPr="007B7547">
        <w:t xml:space="preserve"> While most of New England’s geology is unsuitable for underground gas storage, aboveground LNG tanks can store natural gas for the region.</w:t>
      </w:r>
    </w:p>
  </w:footnote>
  <w:footnote w:id="184">
    <w:p w:rsidR="003C78A4" w:rsidRDefault="003C78A4" w:rsidP="00EC0545">
      <w:pPr>
        <w:pStyle w:val="FootnoteText"/>
      </w:pPr>
      <w:r w:rsidRPr="007B7547">
        <w:rPr>
          <w:rStyle w:val="FootnoteReference"/>
        </w:rPr>
        <w:footnoteRef/>
      </w:r>
      <w:r w:rsidRPr="007B7547">
        <w:t xml:space="preserve"> Spectra Energy</w:t>
      </w:r>
      <w:r>
        <w:t>,</w:t>
      </w:r>
      <w:r w:rsidRPr="007B7547">
        <w:t xml:space="preserve"> “Steckman Ridge” </w:t>
      </w:r>
      <w:r>
        <w:t xml:space="preserve">Web page </w:t>
      </w:r>
      <w:r w:rsidRPr="007B7547">
        <w:t>(2009); http://www.spectraenergy.com/what_we_do/businesses/us/assets/steckman/.</w:t>
      </w:r>
    </w:p>
  </w:footnote>
  <w:footnote w:id="185">
    <w:p w:rsidR="003C78A4" w:rsidRDefault="003C78A4" w:rsidP="00EC0545">
      <w:pPr>
        <w:pStyle w:val="FootnoteText"/>
      </w:pPr>
      <w:r w:rsidRPr="007B7547">
        <w:rPr>
          <w:rStyle w:val="FootnoteReference"/>
        </w:rPr>
        <w:footnoteRef/>
      </w:r>
      <w:r w:rsidRPr="007B7547">
        <w:t xml:space="preserve"> </w:t>
      </w:r>
      <w:r>
        <w:t xml:space="preserve">NGA, </w:t>
      </w:r>
      <w:r w:rsidRPr="007B7547">
        <w:t xml:space="preserve">“FERC Approves Wyckoff Gas Storage Commencement of Partial Service,” </w:t>
      </w:r>
      <w:r w:rsidRPr="005C22B8">
        <w:rPr>
          <w:i/>
        </w:rPr>
        <w:t>NGA News</w:t>
      </w:r>
      <w:r w:rsidRPr="007B7547">
        <w:t xml:space="preserve"> (July 2009) Issue 7, Vol. 7.</w:t>
      </w:r>
    </w:p>
  </w:footnote>
  <w:footnote w:id="186">
    <w:p w:rsidR="003C78A4" w:rsidRDefault="003C78A4" w:rsidP="00EC0545">
      <w:pPr>
        <w:pStyle w:val="FootnoteText"/>
      </w:pPr>
      <w:r w:rsidRPr="007B7547">
        <w:rPr>
          <w:rStyle w:val="FootnoteReference"/>
        </w:rPr>
        <w:footnoteRef/>
      </w:r>
      <w:r w:rsidRPr="007B7547">
        <w:t xml:space="preserve"> Thomas Corners began accepting interruptible gas injections on November 3, 2009, and firm gas injections on April 1, 2010.</w:t>
      </w:r>
    </w:p>
  </w:footnote>
  <w:footnote w:id="187">
    <w:p w:rsidR="003C78A4" w:rsidRDefault="003C78A4" w:rsidP="00EC0545">
      <w:pPr>
        <w:pStyle w:val="FootnoteText"/>
      </w:pPr>
      <w:r w:rsidRPr="007B7547">
        <w:rPr>
          <w:rStyle w:val="FootnoteReference"/>
        </w:rPr>
        <w:footnoteRef/>
      </w:r>
      <w:r w:rsidRPr="007B7547">
        <w:t xml:space="preserve"> </w:t>
      </w:r>
      <w:r w:rsidRPr="00BC19B4">
        <w:rPr>
          <w:i/>
        </w:rPr>
        <w:t>American Recovery and Reinvestment Act of 2009</w:t>
      </w:r>
      <w:r>
        <w:t xml:space="preserve">, </w:t>
      </w:r>
      <w:r w:rsidRPr="007B7547">
        <w:t xml:space="preserve">Stimulus Bill, </w:t>
      </w:r>
      <w:r>
        <w:t xml:space="preserve">U.S. </w:t>
      </w:r>
      <w:r w:rsidRPr="007B7547">
        <w:t>Pub</w:t>
      </w:r>
      <w:r>
        <w:t>lic</w:t>
      </w:r>
      <w:r w:rsidRPr="007B7547">
        <w:t xml:space="preserve"> L</w:t>
      </w:r>
      <w:r>
        <w:t>aw</w:t>
      </w:r>
      <w:r w:rsidRPr="007B7547">
        <w:t xml:space="preserve"> 111-5, H.R. 1, S. 1 (February 17, 2009). </w:t>
      </w:r>
      <w:hyperlink r:id="rId60" w:history="1">
        <w:r w:rsidRPr="007B7547">
          <w:rPr>
            <w:rStyle w:val="Hyperlink"/>
            <w:color w:val="auto"/>
            <w:u w:val="none"/>
          </w:rPr>
          <w:t>http://www.wealthdaily.com/articles/renewable-energy-stimulus/1706</w:t>
        </w:r>
      </w:hyperlink>
      <w:r w:rsidRPr="007B7547">
        <w:t>.</w:t>
      </w:r>
    </w:p>
  </w:footnote>
  <w:footnote w:id="188">
    <w:p w:rsidR="003C78A4" w:rsidRDefault="003C78A4" w:rsidP="00EC0545">
      <w:pPr>
        <w:pStyle w:val="FootnoteText"/>
      </w:pPr>
      <w:r w:rsidRPr="007B7547">
        <w:rPr>
          <w:rStyle w:val="FootnoteReference"/>
        </w:rPr>
        <w:footnoteRef/>
      </w:r>
      <w:r w:rsidRPr="007B7547">
        <w:t xml:space="preserve"> See Section </w:t>
      </w:r>
      <w:fldSimple w:instr=" REF _Ref266120247 \r \h  \* MERGEFORMAT ">
        <w:r w:rsidR="00E5699E">
          <w:t>4.2.1.1</w:t>
        </w:r>
      </w:fldSimple>
      <w:r w:rsidRPr="007B7547">
        <w:t xml:space="preserve"> for demand-resource participation in the FCM; Section </w:t>
      </w:r>
      <w:fldSimple w:instr=" REF _Ref266120214 \r \h  \* MERGEFORMAT ">
        <w:r w:rsidR="00E5699E">
          <w:t>8.4</w:t>
        </w:r>
      </w:fldSimple>
      <w:r w:rsidRPr="007B7547">
        <w:t xml:space="preserve"> for summaries of the state goals for energy efficiency; </w:t>
      </w:r>
      <w:fldSimple w:instr=" REF _Ref266120299 \r \h  \* MERGEFORMAT ">
        <w:r w:rsidR="00E5699E">
          <w:t>Section 9</w:t>
        </w:r>
      </w:fldSimple>
      <w:r w:rsidRPr="007B7547">
        <w:t xml:space="preserve"> for information on the ISO’s plans for integrating renewable resources, demand resources, and smart grid technologies.</w:t>
      </w:r>
    </w:p>
  </w:footnote>
  <w:footnote w:id="189">
    <w:p w:rsidR="003C78A4" w:rsidRDefault="003C78A4" w:rsidP="00EC0545">
      <w:pPr>
        <w:pStyle w:val="FootnoteText"/>
      </w:pPr>
      <w:r w:rsidRPr="00502DB0">
        <w:rPr>
          <w:rStyle w:val="FootnoteReference"/>
        </w:rPr>
        <w:footnoteRef/>
      </w:r>
      <w:r w:rsidRPr="00502DB0">
        <w:t xml:space="preserve"> The price of input fuels has a large impact on the cost of providing electric energy. In 2009, natural-gas-fired generation set the LMP 60% of the time. Thus, when the average price of natural gas decreased considerably in 2009, the cost for providing electricity also decreased. For more information on electricity costs and</w:t>
      </w:r>
      <w:r w:rsidRPr="007A1E18">
        <w:t xml:space="preserve"> natural gas prices for 2007 to 2009, refer to the ISO’s </w:t>
      </w:r>
      <w:r w:rsidRPr="007A1E18">
        <w:rPr>
          <w:i/>
        </w:rPr>
        <w:t>2009 Annual Markets Report</w:t>
      </w:r>
      <w:r w:rsidRPr="007A1E18">
        <w:t xml:space="preserve"> (AMR09), Section 1.3.1.1</w:t>
      </w:r>
      <w:r>
        <w:t>,</w:t>
      </w:r>
      <w:r w:rsidRPr="007A1E18">
        <w:t xml:space="preserve">  3.1.2.2</w:t>
      </w:r>
      <w:r>
        <w:t>, and</w:t>
      </w:r>
      <w:r w:rsidRPr="007A1E18">
        <w:t xml:space="preserve"> </w:t>
      </w:r>
      <w:r>
        <w:t xml:space="preserve">3.3.6.6 </w:t>
      </w:r>
      <w:r w:rsidRPr="007A1E18">
        <w:t>(May 18, 2010); http://www.iso-ne.com/markets/mkt_anlys_rpts/annl_mkt_rpts/index.html.</w:t>
      </w:r>
    </w:p>
  </w:footnote>
  <w:footnote w:id="190">
    <w:p w:rsidR="003C78A4" w:rsidRDefault="003C78A4" w:rsidP="00EC0545">
      <w:pPr>
        <w:pStyle w:val="FootnoteText"/>
      </w:pPr>
      <w:r w:rsidRPr="007B7547">
        <w:rPr>
          <w:rStyle w:val="FootnoteReference"/>
        </w:rPr>
        <w:footnoteRef/>
      </w:r>
      <w:r w:rsidRPr="007B7547">
        <w:t xml:space="preserve"> During the week of July 4, 2008, the average price of imported crude oil was $142.52/barrel. This price declined to $32.98/barrel in the last week of 2008 (AMR08, Section 1.1.5);</w:t>
      </w:r>
      <w:r>
        <w:br/>
      </w:r>
      <w:r w:rsidRPr="007B7547">
        <w:t>http://www.iso-ne.com/markets/mktmonmit/rpts/other/amr08_final_061709.pdf.</w:t>
      </w:r>
    </w:p>
  </w:footnote>
  <w:footnote w:id="191">
    <w:p w:rsidR="003C78A4" w:rsidRDefault="003C78A4" w:rsidP="00EC0545">
      <w:pPr>
        <w:pStyle w:val="FootnoteText"/>
      </w:pPr>
      <w:r w:rsidRPr="007B7547">
        <w:rPr>
          <w:rStyle w:val="FootnoteReference"/>
        </w:rPr>
        <w:footnoteRef/>
      </w:r>
      <w:r w:rsidRPr="007B7547">
        <w:t xml:space="preserve"> </w:t>
      </w:r>
      <w:r>
        <w:t>“</w:t>
      </w:r>
      <w:r w:rsidRPr="007B7547">
        <w:t>ISO New England Interconnection Status</w:t>
      </w:r>
      <w:r>
        <w:t>”</w:t>
      </w:r>
      <w:r w:rsidRPr="007B7547">
        <w:t xml:space="preserve"> (April 1, 2010);</w:t>
      </w:r>
      <w:r>
        <w:br/>
      </w:r>
      <w:r w:rsidRPr="007B7547">
        <w:t>http://www.iso-ne.com/genrtion_resrcs/nwgen_inter/status/index.html.</w:t>
      </w:r>
    </w:p>
  </w:footnote>
  <w:footnote w:id="192">
    <w:p w:rsidR="003C78A4" w:rsidRDefault="003C78A4" w:rsidP="00EC0545">
      <w:pPr>
        <w:pStyle w:val="FootnoteText"/>
      </w:pPr>
      <w:r w:rsidRPr="007B7547">
        <w:rPr>
          <w:rStyle w:val="FootnoteReference"/>
        </w:rPr>
        <w:footnoteRef/>
      </w:r>
      <w:r w:rsidRPr="007B7547">
        <w:t xml:space="preserve"> This includes projects that are proposing direct interconnection to the ISO system. The renewables include wind, hydro, landfill gas, biomass, and fuel cells. </w:t>
      </w:r>
    </w:p>
  </w:footnote>
  <w:footnote w:id="193">
    <w:p w:rsidR="003C78A4" w:rsidRDefault="003C78A4" w:rsidP="00EC0545">
      <w:pPr>
        <w:pStyle w:val="FootnoteText"/>
      </w:pPr>
      <w:r w:rsidRPr="007B7547">
        <w:rPr>
          <w:rStyle w:val="FootnoteReference"/>
        </w:rPr>
        <w:footnoteRef/>
      </w:r>
      <w:r w:rsidRPr="007B7547">
        <w:t xml:space="preserve"> Since the occurrence of the January 2004 cold snap, over 2,600 MW of single-fuel, gas-only stations have added secondary (liquid) fuel capability. Cold Snap Report (October 2004);</w:t>
      </w:r>
      <w:r>
        <w:br/>
      </w:r>
      <w:r w:rsidRPr="007B7547">
        <w:t>http://www.iso-ne.com/pubs/spcl_rpts/2004/final_report_jan2004_cold_snap.pdf.</w:t>
      </w:r>
    </w:p>
  </w:footnote>
  <w:footnote w:id="194">
    <w:p w:rsidR="003C78A4" w:rsidRDefault="003C78A4" w:rsidP="00EC0545">
      <w:pPr>
        <w:pStyle w:val="FootnoteText"/>
      </w:pPr>
      <w:r w:rsidRPr="007B7547">
        <w:rPr>
          <w:rStyle w:val="FootnoteReference"/>
        </w:rPr>
        <w:footnoteRef/>
      </w:r>
      <w:r w:rsidRPr="007B7547">
        <w:t xml:space="preserve"> ISO New England’s </w:t>
      </w:r>
      <w:r w:rsidRPr="00BC19B4">
        <w:rPr>
          <w:i/>
        </w:rPr>
        <w:t>2010 Wholesale Markets Projects Plan</w:t>
      </w:r>
      <w:r w:rsidRPr="007B7547">
        <w:t xml:space="preserve"> (WMPP10) (March 19, 2010)</w:t>
      </w:r>
      <w:r>
        <w:t>, 9</w:t>
      </w:r>
      <w:r w:rsidRPr="007B7547">
        <w:t>;</w:t>
      </w:r>
      <w:r>
        <w:br/>
      </w:r>
      <w:r w:rsidRPr="007B7547">
        <w:t>http://www.iso-ne.com/pubs/whlsle_mkt_pln/isone_2010_wmp_031810.pdf.</w:t>
      </w:r>
    </w:p>
  </w:footnote>
  <w:footnote w:id="195">
    <w:p w:rsidR="003C78A4" w:rsidRDefault="003C78A4" w:rsidP="00EC0545">
      <w:pPr>
        <w:pStyle w:val="FootnoteText"/>
      </w:pPr>
      <w:r w:rsidRPr="007B7547">
        <w:rPr>
          <w:rStyle w:val="FootnoteReference"/>
        </w:rPr>
        <w:footnoteRef/>
      </w:r>
      <w:r w:rsidRPr="007B7547">
        <w:t xml:space="preserve"> </w:t>
      </w:r>
      <w:r>
        <w:t>Ibid.</w:t>
      </w:r>
    </w:p>
  </w:footnote>
  <w:footnote w:id="196">
    <w:p w:rsidR="003C78A4" w:rsidRDefault="003C78A4" w:rsidP="00EC0545">
      <w:pPr>
        <w:pStyle w:val="FootnoteText"/>
      </w:pPr>
      <w:r w:rsidRPr="007B7547">
        <w:rPr>
          <w:rStyle w:val="FootnoteReference"/>
        </w:rPr>
        <w:footnoteRef/>
      </w:r>
      <w:r w:rsidRPr="007B7547">
        <w:t xml:space="preserve"> Typically, the newer class of dry</w:t>
      </w:r>
      <w:r>
        <w:t>,</w:t>
      </w:r>
      <w:r w:rsidRPr="007B7547">
        <w:t xml:space="preserve"> low</w:t>
      </w:r>
      <w:r>
        <w:t>-</w:t>
      </w:r>
      <w:r w:rsidRPr="007B7547">
        <w:t>NO</w:t>
      </w:r>
      <w:r>
        <w:rPr>
          <w:vertAlign w:val="subscript"/>
        </w:rPr>
        <w:t>X</w:t>
      </w:r>
      <w:r w:rsidRPr="007B7547">
        <w:t xml:space="preserve"> (DLN) gas-fired combustion turbines is rated as “GE F-Class” and higher. This can also be considered a “rate-of-change” issue.</w:t>
      </w:r>
    </w:p>
  </w:footnote>
  <w:footnote w:id="197">
    <w:p w:rsidR="003C78A4" w:rsidRDefault="003C78A4" w:rsidP="00EC0545">
      <w:pPr>
        <w:pStyle w:val="FootnoteText"/>
      </w:pPr>
      <w:r w:rsidRPr="007B7547">
        <w:rPr>
          <w:rStyle w:val="FootnoteReference"/>
        </w:rPr>
        <w:footnoteRef/>
      </w:r>
      <w:r w:rsidRPr="007B7547">
        <w:t xml:space="preserve"> In response to the cold snap of January 2004, </w:t>
      </w:r>
      <w:r w:rsidRPr="00BC19B4">
        <w:rPr>
          <w:i/>
        </w:rPr>
        <w:t>Market Rule 1</w:t>
      </w:r>
      <w:r w:rsidRPr="007B7547">
        <w:t>, Appendix H</w:t>
      </w:r>
      <w:r>
        <w:t xml:space="preserve">: </w:t>
      </w:r>
      <w:r w:rsidRPr="007B7547">
        <w:t>Operations during Cold Weather Conditions</w:t>
      </w:r>
      <w:r>
        <w:t>,</w:t>
      </w:r>
      <w:r w:rsidRPr="007B7547">
        <w:t xml:space="preserve"> was developed. In response to the oil and gas infrastructure damage in the Gulf of Mexico from hurricanes Katrina and Rita in fall 2005, ISO Operating Procedure No. 21 (OP 21), </w:t>
      </w:r>
      <w:r w:rsidRPr="005B79E4">
        <w:rPr>
          <w:i/>
        </w:rPr>
        <w:t>Actions during an Energy Emergency</w:t>
      </w:r>
      <w:r w:rsidRPr="007B7547">
        <w:t>, was developed; http://www.iso-ne.com/rules_proceds/operating/isone/op21/index.html.</w:t>
      </w:r>
    </w:p>
  </w:footnote>
  <w:footnote w:id="198">
    <w:p w:rsidR="003C78A4" w:rsidRDefault="003C78A4" w:rsidP="00EC0545">
      <w:pPr>
        <w:pStyle w:val="FootnoteText"/>
      </w:pPr>
      <w:r w:rsidRPr="007B7547">
        <w:rPr>
          <w:rStyle w:val="FootnoteReference"/>
        </w:rPr>
        <w:footnoteRef/>
      </w:r>
      <w:r w:rsidRPr="007B7547">
        <w:t xml:space="preserve"> Regional natural gas prices </w:t>
      </w:r>
      <w:r>
        <w:t xml:space="preserve">are </w:t>
      </w:r>
      <w:r w:rsidRPr="007B7547">
        <w:t>from the Intercontinental Exchange (ICE) (June 24, 2010); https:/</w:t>
      </w:r>
      <w:r>
        <w:t>/www.theice.com/homepage.jhtml.</w:t>
      </w:r>
    </w:p>
  </w:footnote>
  <w:footnote w:id="199">
    <w:p w:rsidR="003C78A4" w:rsidRDefault="003C78A4" w:rsidP="00EC0545">
      <w:pPr>
        <w:pStyle w:val="FootnoteText"/>
      </w:pPr>
      <w:r w:rsidRPr="00BC19B4">
        <w:rPr>
          <w:rStyle w:val="FootnoteReference"/>
        </w:rPr>
        <w:footnoteRef/>
      </w:r>
      <w:r w:rsidRPr="00BC19B4">
        <w:t xml:space="preserve"> </w:t>
      </w:r>
      <w:r w:rsidRPr="008B7E2F">
        <w:t>Other oxides of nitrogen (NO</w:t>
      </w:r>
      <w:r w:rsidRPr="008B7E2F">
        <w:rPr>
          <w:vertAlign w:val="subscript"/>
        </w:rPr>
        <w:t>X</w:t>
      </w:r>
      <w:r w:rsidRPr="008B7E2F">
        <w:t xml:space="preserve">) also contribute to the formation of ozone. The status of these environmental regulatory activities and coverage of proposed changes to EPA’s NAAQS, mercury, and coal combustion products is discussed in more detail in the </w:t>
      </w:r>
      <w:r w:rsidRPr="00BC19B4">
        <w:rPr>
          <w:i/>
        </w:rPr>
        <w:t>2009 Northeast Coordinated System Plan</w:t>
      </w:r>
      <w:r w:rsidRPr="008B7E2F">
        <w:t xml:space="preserve">, developed by ISO New England, NYISO, and PJM </w:t>
      </w:r>
      <w:r>
        <w:t xml:space="preserve">Interconnection LLC (PJM) </w:t>
      </w:r>
      <w:r w:rsidRPr="008B7E2F">
        <w:t>(May 24, 2010)</w:t>
      </w:r>
      <w:r>
        <w:t xml:space="preserve">, </w:t>
      </w:r>
      <w:r w:rsidRPr="008B7E2F">
        <w:t xml:space="preserve">47–61; http://www.iso-ne.com/committees/comm_wkgrps/othr/ipsac/reports/index.html. </w:t>
      </w:r>
      <w:r>
        <w:t>(</w:t>
      </w:r>
      <w:r w:rsidRPr="0053202A">
        <w:t>PJM is the RTO for all or parts of Delaware, Illinois, Indiana, Kentucky, Maryland, Michigan, New Jersey, North Carolina, Ohio, Pennsylvania, Tennessee, Virginia, and the District of Columbia.</w:t>
      </w:r>
      <w:r>
        <w:t>)</w:t>
      </w:r>
    </w:p>
  </w:footnote>
  <w:footnote w:id="200">
    <w:p w:rsidR="003C78A4" w:rsidRPr="00BC19B4" w:rsidRDefault="003C78A4" w:rsidP="00EC0545">
      <w:pPr>
        <w:pStyle w:val="FootnoteText"/>
      </w:pPr>
      <w:r w:rsidRPr="00BC19B4">
        <w:rPr>
          <w:rStyle w:val="FootnoteReference"/>
        </w:rPr>
        <w:footnoteRef/>
      </w:r>
      <w:r w:rsidRPr="00BC19B4">
        <w:t xml:space="preserve"> Refer to the</w:t>
      </w:r>
      <w:r w:rsidRPr="00987991">
        <w:t xml:space="preserve"> </w:t>
      </w:r>
      <w:r>
        <w:t xml:space="preserve">Ozone Transport Commission’s </w:t>
      </w:r>
      <w:r w:rsidRPr="008126EF">
        <w:rPr>
          <w:i/>
        </w:rPr>
        <w:t>Memorandum of Understanding Among the States of the Ozone Transport Commission Concerning the Incorporation of High Electric Demand Day Emission Reduction Strategies into Ozone Attainment State Implementation Planning</w:t>
      </w:r>
      <w:r>
        <w:t xml:space="preserve">, </w:t>
      </w:r>
      <w:r w:rsidRPr="00BC19B4">
        <w:t>MOU-07-01 (March 2, 2007); http://www.otcair.org/document.asp?Fview=Formal%20Actions#.</w:t>
      </w:r>
    </w:p>
  </w:footnote>
  <w:footnote w:id="201">
    <w:p w:rsidR="003C78A4" w:rsidRDefault="003C78A4" w:rsidP="00EC0545">
      <w:pPr>
        <w:pStyle w:val="FootnoteText"/>
      </w:pPr>
      <w:r w:rsidRPr="00890D42">
        <w:rPr>
          <w:rStyle w:val="FootnoteReference"/>
        </w:rPr>
        <w:footnoteRef/>
      </w:r>
      <w:r w:rsidRPr="00890D42">
        <w:t xml:space="preserve"> </w:t>
      </w:r>
      <w:r>
        <w:t xml:space="preserve">EPA, </w:t>
      </w:r>
      <w:r w:rsidRPr="00BC19B4">
        <w:rPr>
          <w:i/>
        </w:rPr>
        <w:t>Cooling Water Intake Structures, CWA Section 316b; Phase I—New Facilities</w:t>
      </w:r>
      <w:r w:rsidRPr="0086274D">
        <w:t>. Fact Sheet.</w:t>
      </w:r>
      <w:r w:rsidRPr="008B7E2F">
        <w:t xml:space="preserve"> EPA-821-F-01-01 (November 2001); http://www.epa.gov/waterscience/316b/phase1/316bph1fs.html.</w:t>
      </w:r>
    </w:p>
  </w:footnote>
  <w:footnote w:id="202">
    <w:p w:rsidR="003C78A4" w:rsidRDefault="003C78A4" w:rsidP="00EC0545">
      <w:pPr>
        <w:pStyle w:val="FootnoteText"/>
      </w:pPr>
      <w:r w:rsidRPr="00F46CEB">
        <w:rPr>
          <w:rStyle w:val="FootnoteReference"/>
        </w:rPr>
        <w:footnoteRef/>
      </w:r>
      <w:r w:rsidRPr="008B7E2F">
        <w:t xml:space="preserve"> EPA’s regulatory actions related to visibility are summarized at http://www.epa.gov/air/visibility/actions.html. Additional information is available at “EPA’s Regional </w:t>
      </w:r>
      <w:r w:rsidRPr="00DC45B3">
        <w:t xml:space="preserve">Haze Program” Web </w:t>
      </w:r>
      <w:r>
        <w:t>page</w:t>
      </w:r>
      <w:r w:rsidRPr="00DC45B3">
        <w:t xml:space="preserve"> (2009);</w:t>
      </w:r>
      <w:r>
        <w:t xml:space="preserve"> </w:t>
      </w:r>
      <w:r w:rsidRPr="008B7E2F">
        <w:t>http://www.epa.gov/air/visibility/program.html.</w:t>
      </w:r>
    </w:p>
  </w:footnote>
  <w:footnote w:id="203">
    <w:p w:rsidR="003C78A4" w:rsidRDefault="003C78A4" w:rsidP="00EC0545">
      <w:pPr>
        <w:pStyle w:val="FootnoteText"/>
      </w:pPr>
      <w:r w:rsidRPr="00890D42">
        <w:rPr>
          <w:rStyle w:val="FootnoteReference"/>
        </w:rPr>
        <w:footnoteRef/>
      </w:r>
      <w:r w:rsidRPr="00890D42">
        <w:t xml:space="preserve"> </w:t>
      </w:r>
      <w:r w:rsidRPr="008B7E2F">
        <w:t xml:space="preserve">NESHAPs are emission standards set in EPA’s </w:t>
      </w:r>
      <w:r w:rsidRPr="00CE16C8">
        <w:rPr>
          <w:i/>
        </w:rPr>
        <w:t>Clean Air Act</w:t>
      </w:r>
      <w:r>
        <w:rPr>
          <w:i/>
        </w:rPr>
        <w:t xml:space="preserve">, </w:t>
      </w:r>
      <w:r w:rsidRPr="000C47E3">
        <w:t>§</w:t>
      </w:r>
      <w:r>
        <w:t xml:space="preserve"> </w:t>
      </w:r>
      <w:r w:rsidRPr="008B7E2F">
        <w:t>112</w:t>
      </w:r>
      <w:r>
        <w:t>,</w:t>
      </w:r>
      <w:r w:rsidRPr="008B7E2F">
        <w:t xml:space="preserve"> for air pollutants not covered by NAAQS that may cause an increase in fatalities or a serious illness. The standards require the maximum degree of emission reduction that EPA determines to be achievable (i.e., the maximum achievable </w:t>
      </w:r>
      <w:r w:rsidRPr="005761A3">
        <w:t xml:space="preserve">control technology; MACT). For additional information, see “National Emission Standard for Hazardous Air Pollutants” Web </w:t>
      </w:r>
      <w:r>
        <w:t>page</w:t>
      </w:r>
      <w:r w:rsidRPr="005761A3">
        <w:t xml:space="preserve"> (</w:t>
      </w:r>
      <w:r w:rsidRPr="00630E80">
        <w:t>2010); http://www.epa.gov/apti/course422/apc4e.html.</w:t>
      </w:r>
    </w:p>
  </w:footnote>
  <w:footnote w:id="204">
    <w:p w:rsidR="003C78A4" w:rsidRDefault="003C78A4" w:rsidP="00EC0545">
      <w:pPr>
        <w:pStyle w:val="FootnoteText"/>
      </w:pPr>
      <w:r w:rsidRPr="00890D42">
        <w:rPr>
          <w:rStyle w:val="FootnoteReference"/>
        </w:rPr>
        <w:footnoteRef/>
      </w:r>
      <w:r w:rsidRPr="00630E80">
        <w:t xml:space="preserve"> </w:t>
      </w:r>
      <w:r w:rsidRPr="00890D42">
        <w:t xml:space="preserve">Hazardous and Solid Waste Management System; Identification and Listing of Special Wastes; Disposal of Coal Combustion Residuals from Electric Utilities, </w:t>
      </w:r>
      <w:r>
        <w:t>P</w:t>
      </w:r>
      <w:r w:rsidRPr="00890D42">
        <w:t xml:space="preserve">roposed </w:t>
      </w:r>
      <w:r>
        <w:t>R</w:t>
      </w:r>
      <w:r w:rsidRPr="00890D42">
        <w:t>ule</w:t>
      </w:r>
      <w:r>
        <w:t>,</w:t>
      </w:r>
      <w:r w:rsidRPr="00890D42">
        <w:t xml:space="preserve"> EPA-HQ-RCRA-2009-0640; FRL</w:t>
      </w:r>
      <w:r>
        <w:t xml:space="preserve">, </w:t>
      </w:r>
      <w:r w:rsidRPr="00890D42">
        <w:t>Federal Register</w:t>
      </w:r>
      <w:r>
        <w:t>,</w:t>
      </w:r>
      <w:r w:rsidRPr="00630E80">
        <w:t xml:space="preserve"> </w:t>
      </w:r>
      <w:r w:rsidRPr="00890D42">
        <w:t xml:space="preserve">vol. 75, No. 118 (June 21, 2010); </w:t>
      </w:r>
      <w:hyperlink r:id="rId61" w:history="1">
        <w:r w:rsidRPr="00890D42">
          <w:rPr>
            <w:rStyle w:val="Hyperlink"/>
            <w:color w:val="000000" w:themeColor="text1"/>
            <w:u w:val="none"/>
          </w:rPr>
          <w:t>http://www.epa.gov/epawaste/nonhaz/industrial/special/fossil/ccr-rule/ccr-rule-prop.pdf</w:t>
        </w:r>
      </w:hyperlink>
      <w:r>
        <w:t>. A</w:t>
      </w:r>
      <w:r w:rsidRPr="00890D42">
        <w:rPr>
          <w:color w:val="000000" w:themeColor="text1"/>
        </w:rPr>
        <w:t xml:space="preserve">lso see </w:t>
      </w:r>
      <w:hyperlink r:id="rId62" w:history="1">
        <w:r w:rsidRPr="00890D42">
          <w:rPr>
            <w:rStyle w:val="Hyperlink"/>
            <w:color w:val="000000" w:themeColor="text1"/>
            <w:u w:val="none"/>
          </w:rPr>
          <w:t>http://www.epa.gov/waste/nonhaz/industrial/special/fossil/ccr-rule/index.htm</w:t>
        </w:r>
      </w:hyperlink>
      <w:r w:rsidRPr="00890D42">
        <w:rPr>
          <w:color w:val="000000" w:themeColor="text1"/>
        </w:rPr>
        <w:t>.</w:t>
      </w:r>
    </w:p>
  </w:footnote>
  <w:footnote w:id="205">
    <w:p w:rsidR="003C78A4" w:rsidRPr="00FE652B" w:rsidRDefault="003C78A4">
      <w:pPr>
        <w:pStyle w:val="NormalWeb"/>
        <w:spacing w:before="0" w:beforeAutospacing="0" w:after="80" w:afterAutospacing="0"/>
        <w:rPr>
          <w:sz w:val="18"/>
          <w:szCs w:val="18"/>
        </w:rPr>
      </w:pPr>
      <w:r w:rsidRPr="00FE652B">
        <w:rPr>
          <w:rStyle w:val="FootnoteReference"/>
          <w:szCs w:val="18"/>
        </w:rPr>
        <w:footnoteRef/>
      </w:r>
      <w:r w:rsidRPr="00FE652B">
        <w:rPr>
          <w:i/>
          <w:sz w:val="18"/>
          <w:szCs w:val="18"/>
        </w:rPr>
        <w:t xml:space="preserve"> </w:t>
      </w:r>
      <w:r>
        <w:rPr>
          <w:sz w:val="18"/>
          <w:szCs w:val="18"/>
        </w:rPr>
        <w:t xml:space="preserve">Ozone Transport Commission, </w:t>
      </w:r>
      <w:r w:rsidRPr="00FE652B">
        <w:rPr>
          <w:i/>
          <w:sz w:val="18"/>
          <w:szCs w:val="18"/>
        </w:rPr>
        <w:t xml:space="preserve">MOU Among the States of the Ozone Transport Commission </w:t>
      </w:r>
      <w:hyperlink r:id="rId63" w:history="1">
        <w:r w:rsidRPr="00FE652B">
          <w:rPr>
            <w:rStyle w:val="Hyperlink"/>
            <w:i/>
            <w:color w:val="000000" w:themeColor="text1"/>
            <w:sz w:val="18"/>
            <w:szCs w:val="18"/>
            <w:u w:val="none"/>
          </w:rPr>
          <w:t xml:space="preserve">Concerning the Incorporation of High Electric Demand Days Emission Reduction Strategies into Ozone Attainment State Implementation Planning, </w:t>
        </w:r>
        <w:r w:rsidRPr="00FE652B">
          <w:rPr>
            <w:rStyle w:val="Hyperlink"/>
            <w:color w:val="000000" w:themeColor="text1"/>
            <w:sz w:val="18"/>
            <w:szCs w:val="18"/>
            <w:u w:val="none"/>
          </w:rPr>
          <w:t>MOU 07-01</w:t>
        </w:r>
        <w:r w:rsidRPr="00FE652B">
          <w:rPr>
            <w:rStyle w:val="Hyperlink"/>
            <w:i/>
            <w:color w:val="000000" w:themeColor="text1"/>
            <w:sz w:val="18"/>
            <w:szCs w:val="18"/>
            <w:u w:val="none"/>
          </w:rPr>
          <w:t xml:space="preserve"> </w:t>
        </w:r>
        <w:r w:rsidRPr="00FE652B">
          <w:rPr>
            <w:rStyle w:val="Hyperlink"/>
            <w:color w:val="000000" w:themeColor="text1"/>
            <w:sz w:val="18"/>
            <w:szCs w:val="18"/>
            <w:u w:val="none"/>
          </w:rPr>
          <w:t>(</w:t>
        </w:r>
      </w:hyperlink>
      <w:r w:rsidRPr="00FE652B">
        <w:rPr>
          <w:sz w:val="18"/>
          <w:szCs w:val="18"/>
        </w:rPr>
        <w:t>March 2, 2007). New York, New Jersey, Pennsylvania, Maryland, and Delaware also have commitments totaling 123.2 tons of NO</w:t>
      </w:r>
      <w:r w:rsidRPr="00FE652B">
        <w:rPr>
          <w:sz w:val="18"/>
          <w:szCs w:val="18"/>
          <w:vertAlign w:val="subscript"/>
        </w:rPr>
        <w:t>X</w:t>
      </w:r>
      <w:r w:rsidRPr="00FE652B">
        <w:rPr>
          <w:sz w:val="18"/>
          <w:szCs w:val="18"/>
        </w:rPr>
        <w:t xml:space="preserve"> reductions; </w:t>
      </w:r>
      <w:hyperlink r:id="rId64" w:history="1">
        <w:r w:rsidRPr="00FE652B">
          <w:rPr>
            <w:rStyle w:val="Hyperlink"/>
            <w:color w:val="000000" w:themeColor="text1"/>
            <w:sz w:val="18"/>
            <w:szCs w:val="18"/>
            <w:u w:val="none"/>
          </w:rPr>
          <w:t>http://www.otcair.org/document.asp?Fview=Formal%20Actions#</w:t>
        </w:r>
      </w:hyperlink>
      <w:r w:rsidRPr="00FE652B">
        <w:rPr>
          <w:sz w:val="18"/>
          <w:szCs w:val="18"/>
        </w:rPr>
        <w:t>.</w:t>
      </w:r>
    </w:p>
  </w:footnote>
  <w:footnote w:id="206">
    <w:p w:rsidR="003C78A4" w:rsidRPr="00CD5D97" w:rsidRDefault="003C78A4" w:rsidP="00EC0545">
      <w:pPr>
        <w:pStyle w:val="FootnoteText"/>
      </w:pPr>
      <w:r w:rsidRPr="00CD5D97">
        <w:rPr>
          <w:rStyle w:val="FootnoteReference"/>
        </w:rPr>
        <w:footnoteRef/>
      </w:r>
      <w:r w:rsidRPr="00CD5D97">
        <w:t xml:space="preserve"> </w:t>
      </w:r>
      <w:r w:rsidRPr="008A1ABE">
        <w:t>North Carolina v. EPA, No. 05-1244, Slip Op.</w:t>
      </w:r>
      <w:r w:rsidRPr="00987991">
        <w:t xml:space="preserve"> </w:t>
      </w:r>
      <w:r w:rsidRPr="00CD5D97">
        <w:t xml:space="preserve">(D.C. Cir., July 11, 2008); </w:t>
      </w:r>
      <w:hyperlink r:id="rId65" w:history="1">
        <w:r w:rsidRPr="00CD5D97">
          <w:t>http://pacer.cadc.uscourts.gov/docs/common/opinions/200807/05-1244-1127017.pdf</w:t>
        </w:r>
      </w:hyperlink>
      <w:r w:rsidRPr="00CD5D97">
        <w:t>.</w:t>
      </w:r>
    </w:p>
  </w:footnote>
  <w:footnote w:id="207">
    <w:p w:rsidR="003C78A4" w:rsidRPr="00CD5D97" w:rsidRDefault="003C78A4" w:rsidP="00EC0545">
      <w:pPr>
        <w:pStyle w:val="FootnoteText"/>
        <w:rPr>
          <w:i/>
        </w:rPr>
      </w:pPr>
      <w:r w:rsidRPr="00CD5D97">
        <w:rPr>
          <w:rStyle w:val="FootnoteReference"/>
        </w:rPr>
        <w:footnoteRef/>
      </w:r>
      <w:r w:rsidRPr="00CD5D97">
        <w:t xml:space="preserve"> </w:t>
      </w:r>
      <w:r>
        <w:t xml:space="preserve">Office of Air and Radiation, EPA, </w:t>
      </w:r>
      <w:r w:rsidRPr="008A1ABE">
        <w:t>“EPA Clean Air Markets—Data and Maps, Emissions, Preliminary Quick Reports”</w:t>
      </w:r>
      <w:r>
        <w:t xml:space="preserve"> Web pages; </w:t>
      </w:r>
      <w:hyperlink r:id="rId66" w:history="1">
        <w:r w:rsidRPr="00C45563">
          <w:rPr>
            <w:rStyle w:val="Hyperlink"/>
            <w:color w:val="000000" w:themeColor="text1"/>
            <w:u w:val="none"/>
          </w:rPr>
          <w:t>http://camddataandmaps.epa.gov/gdm/index.cfm?fuseaction=emissions.wizard</w:t>
        </w:r>
      </w:hyperlink>
      <w:r w:rsidRPr="00C45563">
        <w:t>.</w:t>
      </w:r>
    </w:p>
  </w:footnote>
  <w:footnote w:id="208">
    <w:p w:rsidR="003C78A4" w:rsidRDefault="003C78A4" w:rsidP="00EC0545">
      <w:pPr>
        <w:pStyle w:val="FootnoteText"/>
      </w:pPr>
      <w:r w:rsidRPr="00CD5D97">
        <w:rPr>
          <w:rStyle w:val="FootnoteReference"/>
          <w:i/>
        </w:rPr>
        <w:footnoteRef/>
      </w:r>
      <w:r w:rsidRPr="0053202A">
        <w:t xml:space="preserve"> “Uncertainty clouds KGL release</w:t>
      </w:r>
      <w:r>
        <w:t>,</w:t>
      </w:r>
      <w:r w:rsidRPr="0053202A">
        <w:t>”</w:t>
      </w:r>
      <w:r w:rsidRPr="00987991">
        <w:t xml:space="preserve"> </w:t>
      </w:r>
      <w:r w:rsidRPr="00CD5D97">
        <w:rPr>
          <w:i/>
        </w:rPr>
        <w:t>Carbon Market North America</w:t>
      </w:r>
      <w:r>
        <w:t>,</w:t>
      </w:r>
      <w:r>
        <w:rPr>
          <w:i/>
        </w:rPr>
        <w:t xml:space="preserve"> </w:t>
      </w:r>
      <w:r w:rsidRPr="00643A96">
        <w:t>Vol. 5, Issue 16 (April 23, 2010)</w:t>
      </w:r>
      <w:r>
        <w:t xml:space="preserve">; </w:t>
      </w:r>
      <w:hyperlink r:id="rId67" w:history="1">
        <w:r w:rsidRPr="00CD5D97">
          <w:rPr>
            <w:rStyle w:val="Hyperlink"/>
            <w:color w:val="000000" w:themeColor="text1"/>
            <w:u w:val="none"/>
          </w:rPr>
          <w:t>http://www.pointcarbon.com/news/cmna/1.1439092</w:t>
        </w:r>
      </w:hyperlink>
      <w:r w:rsidRPr="00CD5D97">
        <w:t>.</w:t>
      </w:r>
    </w:p>
  </w:footnote>
  <w:footnote w:id="209">
    <w:p w:rsidR="003C78A4" w:rsidRDefault="003C78A4" w:rsidP="00EC0545">
      <w:pPr>
        <w:pStyle w:val="FootnoteText"/>
      </w:pPr>
      <w:r>
        <w:rPr>
          <w:rStyle w:val="FootnoteReference"/>
        </w:rPr>
        <w:footnoteRef/>
      </w:r>
      <w:r>
        <w:t xml:space="preserve"> </w:t>
      </w:r>
      <w:r w:rsidRPr="002D7947">
        <w:t xml:space="preserve">Under RGGI, </w:t>
      </w:r>
      <w:r>
        <w:t xml:space="preserve">one </w:t>
      </w:r>
      <w:r w:rsidRPr="002D7947">
        <w:t xml:space="preserve">allowance </w:t>
      </w:r>
      <w:r>
        <w:t xml:space="preserve">equals </w:t>
      </w:r>
      <w:r w:rsidRPr="002D7947">
        <w:t>the limited right to emit one ton of CO</w:t>
      </w:r>
      <w:r w:rsidRPr="002D7947">
        <w:rPr>
          <w:vertAlign w:val="subscript"/>
        </w:rPr>
        <w:t>2</w:t>
      </w:r>
      <w:r w:rsidRPr="002D7947">
        <w:t>.</w:t>
      </w:r>
    </w:p>
  </w:footnote>
  <w:footnote w:id="210">
    <w:p w:rsidR="003C78A4" w:rsidRDefault="003C78A4" w:rsidP="00EC0545">
      <w:pPr>
        <w:pStyle w:val="FootnoteText"/>
      </w:pPr>
      <w:r w:rsidRPr="00643A96">
        <w:rPr>
          <w:vertAlign w:val="superscript"/>
        </w:rPr>
        <w:footnoteRef/>
      </w:r>
      <w:r w:rsidRPr="00643A96">
        <w:rPr>
          <w:vertAlign w:val="superscript"/>
        </w:rPr>
        <w:t xml:space="preserve"> </w:t>
      </w:r>
      <w:r>
        <w:t xml:space="preserve">Environment Northeast, </w:t>
      </w:r>
      <w:r w:rsidRPr="003A3A35">
        <w:t>RGGI Auction Tracker</w:t>
      </w:r>
      <w:r>
        <w:t xml:space="preserve"> Web site (2010)</w:t>
      </w:r>
      <w:r w:rsidRPr="00594EDD">
        <w:t>;</w:t>
      </w:r>
      <w:r w:rsidRPr="00987991">
        <w:t xml:space="preserve"> </w:t>
      </w:r>
      <w:r w:rsidRPr="0053202A">
        <w:t xml:space="preserve">http://www.env-ne.org/resources/open/p/id/715. </w:t>
      </w:r>
    </w:p>
  </w:footnote>
  <w:footnote w:id="211">
    <w:p w:rsidR="003C78A4" w:rsidRPr="00CD5D97" w:rsidRDefault="003C78A4" w:rsidP="00EC0545">
      <w:pPr>
        <w:pStyle w:val="FootnoteText"/>
      </w:pPr>
      <w:r w:rsidRPr="00CD5D97">
        <w:rPr>
          <w:rStyle w:val="FootnoteReference"/>
        </w:rPr>
        <w:footnoteRef/>
      </w:r>
      <w:r w:rsidRPr="00CD5D97">
        <w:t xml:space="preserve"> </w:t>
      </w:r>
      <w:r w:rsidRPr="00987991">
        <w:t>RGGI Memorandum of Understanding</w:t>
      </w:r>
      <w:r>
        <w:rPr>
          <w:i/>
        </w:rPr>
        <w:t xml:space="preserve">, </w:t>
      </w:r>
      <w:r w:rsidRPr="00CD5D97">
        <w:t xml:space="preserve">Section 6D (December 20, 2005); </w:t>
      </w:r>
      <w:hyperlink r:id="rId68" w:history="1">
        <w:r w:rsidRPr="00CD5D97">
          <w:rPr>
            <w:rStyle w:val="Hyperlink"/>
            <w:color w:val="000000" w:themeColor="text1"/>
            <w:u w:val="none"/>
          </w:rPr>
          <w:t>http://rggi.org/docs/mou_12_20_05.pdf</w:t>
        </w:r>
      </w:hyperlink>
      <w:r w:rsidRPr="00CD5D97">
        <w:t>.</w:t>
      </w:r>
    </w:p>
  </w:footnote>
  <w:footnote w:id="212">
    <w:p w:rsidR="003C78A4" w:rsidRDefault="003C78A4">
      <w:pPr>
        <w:spacing w:after="80" w:line="240" w:lineRule="auto"/>
        <w:rPr>
          <w:rFonts w:cs="Times New Roman"/>
          <w:sz w:val="18"/>
          <w:szCs w:val="18"/>
        </w:rPr>
      </w:pPr>
      <w:r w:rsidRPr="00CD5D97">
        <w:rPr>
          <w:rStyle w:val="FootnoteReference"/>
          <w:color w:val="000000" w:themeColor="text1"/>
          <w:szCs w:val="18"/>
        </w:rPr>
        <w:footnoteRef/>
      </w:r>
      <w:r w:rsidRPr="003A3A35">
        <w:rPr>
          <w:rFonts w:cs="Times New Roman"/>
          <w:sz w:val="18"/>
          <w:szCs w:val="18"/>
        </w:rPr>
        <w:t>U.S. Congress,</w:t>
      </w:r>
      <w:r>
        <w:rPr>
          <w:rFonts w:cs="Times New Roman"/>
          <w:i/>
          <w:sz w:val="18"/>
          <w:szCs w:val="18"/>
        </w:rPr>
        <w:t xml:space="preserve"> </w:t>
      </w:r>
      <w:r w:rsidRPr="00987991">
        <w:rPr>
          <w:rFonts w:cs="Times New Roman"/>
          <w:i/>
          <w:sz w:val="18"/>
          <w:szCs w:val="18"/>
        </w:rPr>
        <w:t>American Clean Energy and Security Act of 2009</w:t>
      </w:r>
      <w:r w:rsidRPr="00987991">
        <w:rPr>
          <w:rFonts w:cs="Times New Roman"/>
          <w:sz w:val="18"/>
          <w:szCs w:val="18"/>
        </w:rPr>
        <w:t xml:space="preserve">, H.R. 2454, 111th Cong., 1st Sess. (2009). </w:t>
      </w:r>
    </w:p>
  </w:footnote>
  <w:footnote w:id="213">
    <w:p w:rsidR="003C78A4" w:rsidRDefault="003C78A4">
      <w:pPr>
        <w:spacing w:after="80" w:line="240" w:lineRule="auto"/>
        <w:rPr>
          <w:rFonts w:cs="Times New Roman"/>
          <w:sz w:val="18"/>
          <w:szCs w:val="18"/>
        </w:rPr>
      </w:pPr>
      <w:r>
        <w:rPr>
          <w:rStyle w:val="FootnoteReference"/>
          <w:color w:val="000000" w:themeColor="text1"/>
          <w:szCs w:val="18"/>
        </w:rPr>
        <w:footnoteRef/>
      </w:r>
      <w:r w:rsidRPr="00987991">
        <w:rPr>
          <w:rFonts w:cs="Times New Roman"/>
          <w:sz w:val="18"/>
          <w:szCs w:val="18"/>
        </w:rPr>
        <w:t xml:space="preserve"> </w:t>
      </w:r>
      <w:r>
        <w:rPr>
          <w:rFonts w:cs="Times New Roman"/>
          <w:sz w:val="18"/>
          <w:szCs w:val="18"/>
        </w:rPr>
        <w:t>EPA, “</w:t>
      </w:r>
      <w:r w:rsidRPr="00987991">
        <w:rPr>
          <w:rFonts w:cs="Times New Roman"/>
          <w:sz w:val="18"/>
          <w:szCs w:val="18"/>
        </w:rPr>
        <w:t>Climate Change Regulatory Initiatives</w:t>
      </w:r>
      <w:r>
        <w:rPr>
          <w:rFonts w:cs="Times New Roman"/>
          <w:sz w:val="18"/>
          <w:szCs w:val="18"/>
        </w:rPr>
        <w:t xml:space="preserve">” Web page, </w:t>
      </w:r>
      <w:r w:rsidRPr="00987991">
        <w:rPr>
          <w:rFonts w:cs="Times New Roman"/>
          <w:sz w:val="18"/>
          <w:szCs w:val="18"/>
        </w:rPr>
        <w:t xml:space="preserve">“Greenhouse Gases </w:t>
      </w:r>
      <w:r>
        <w:rPr>
          <w:rFonts w:cs="Times New Roman"/>
          <w:sz w:val="18"/>
          <w:szCs w:val="18"/>
        </w:rPr>
        <w:t>Reporting Program</w:t>
      </w:r>
      <w:r w:rsidRPr="00987991">
        <w:rPr>
          <w:rFonts w:cs="Times New Roman"/>
          <w:sz w:val="18"/>
          <w:szCs w:val="18"/>
        </w:rPr>
        <w:t xml:space="preserve">” </w:t>
      </w:r>
      <w:r>
        <w:rPr>
          <w:rFonts w:cs="Times New Roman"/>
          <w:sz w:val="18"/>
          <w:szCs w:val="18"/>
        </w:rPr>
        <w:t xml:space="preserve">(2010); </w:t>
      </w:r>
      <w:r w:rsidRPr="006B2711">
        <w:rPr>
          <w:sz w:val="18"/>
          <w:szCs w:val="18"/>
        </w:rPr>
        <w:t>http://www.epa.gov/climatechange/emissions/ghgrulemaking.html.</w:t>
      </w:r>
    </w:p>
  </w:footnote>
  <w:footnote w:id="214">
    <w:p w:rsidR="003C78A4" w:rsidRDefault="003C78A4" w:rsidP="00EC0545">
      <w:pPr>
        <w:pStyle w:val="FootnoteText"/>
      </w:pPr>
      <w:r w:rsidRPr="00CD5D97">
        <w:rPr>
          <w:rStyle w:val="FootnoteReference"/>
        </w:rPr>
        <w:footnoteRef/>
      </w:r>
      <w:r w:rsidRPr="00987991">
        <w:t xml:space="preserve"> </w:t>
      </w:r>
      <w:r>
        <w:t>Office of Air and Radiation, EPA, “</w:t>
      </w:r>
      <w:r w:rsidRPr="00D04564">
        <w:t>Fact Sheet</w:t>
      </w:r>
      <w:r>
        <w:t>—</w:t>
      </w:r>
      <w:r w:rsidRPr="00D04564">
        <w:t>Proposed Rule: Prevention of Significant Deterioration and Title V Greenhouse Gas Tailoring Rule</w:t>
      </w:r>
      <w:r>
        <w:t>” (</w:t>
      </w:r>
      <w:r w:rsidRPr="0053202A">
        <w:t>2009</w:t>
      </w:r>
      <w:r>
        <w:t xml:space="preserve">); </w:t>
      </w:r>
      <w:hyperlink r:id="rId69" w:history="1">
        <w:r w:rsidRPr="0053202A">
          <w:t>http://www.epa.gov/NSR/fs20090930action.html</w:t>
        </w:r>
      </w:hyperlink>
      <w:r w:rsidRPr="0053202A">
        <w:t>.</w:t>
      </w:r>
    </w:p>
  </w:footnote>
  <w:footnote w:id="215">
    <w:p w:rsidR="003C78A4" w:rsidRDefault="003C78A4" w:rsidP="00EC0545">
      <w:pPr>
        <w:pStyle w:val="FootnoteText"/>
      </w:pPr>
      <w:r w:rsidRPr="00CD5D97">
        <w:rPr>
          <w:rStyle w:val="FootnoteReference"/>
        </w:rPr>
        <w:footnoteRef/>
      </w:r>
      <w:r w:rsidRPr="00CD5D97">
        <w:t xml:space="preserve"> </w:t>
      </w:r>
      <w:r w:rsidRPr="0053202A">
        <w:t>Michael J. Bradley, Susan F. Tierney, et al.,</w:t>
      </w:r>
      <w:r w:rsidRPr="00987991">
        <w:t xml:space="preserve"> </w:t>
      </w:r>
      <w:r w:rsidRPr="00CD5D97">
        <w:rPr>
          <w:i/>
        </w:rPr>
        <w:t>Ensuring a Clean, Modern Electric Generating Fleet while Maintaining Electric System Reliability</w:t>
      </w:r>
      <w:r w:rsidRPr="00987991">
        <w:t xml:space="preserve"> </w:t>
      </w:r>
      <w:r w:rsidRPr="0053202A">
        <w:t>(M.J. Bradley and Associates and Analysis Group</w:t>
      </w:r>
      <w:r>
        <w:t>,</w:t>
      </w:r>
      <w:r w:rsidRPr="0053202A">
        <w:t xml:space="preserve"> August 2010); http://www.mjbradley.com/documents/MJBAandAnalysisGroupReliabilityReportAugust2010.pdf.</w:t>
      </w:r>
    </w:p>
  </w:footnote>
  <w:footnote w:id="216">
    <w:p w:rsidR="003C78A4" w:rsidRDefault="003C78A4" w:rsidP="00EC0545">
      <w:pPr>
        <w:pStyle w:val="FootnoteText"/>
      </w:pPr>
      <w:r w:rsidRPr="00CD5D97">
        <w:rPr>
          <w:rStyle w:val="FootnoteReference"/>
        </w:rPr>
        <w:footnoteRef/>
      </w:r>
      <w:r w:rsidRPr="00CD5D97">
        <w:t xml:space="preserve"> </w:t>
      </w:r>
      <w:r w:rsidRPr="0053202A">
        <w:t>Whitman and Requardt Associates, LLP</w:t>
      </w:r>
      <w:r>
        <w:t>,</w:t>
      </w:r>
      <w:r w:rsidRPr="00CD5D97">
        <w:rPr>
          <w:i/>
        </w:rPr>
        <w:t xml:space="preserve"> The Handy-Whitman Index of Public Construction Costs</w:t>
      </w:r>
      <w:r>
        <w:t>,</w:t>
      </w:r>
      <w:r w:rsidRPr="00987991">
        <w:t xml:space="preserve"> Bulletin No. 168: 1912 to July1, 2008</w:t>
      </w:r>
      <w:r>
        <w:t xml:space="preserve"> (2008)</w:t>
      </w:r>
      <w:r w:rsidRPr="0053202A">
        <w:t>; http://www.scribd.com/doc/9501599/Handy-Whitman-Index-Electrical.</w:t>
      </w:r>
    </w:p>
  </w:footnote>
  <w:footnote w:id="217">
    <w:p w:rsidR="003C78A4" w:rsidRDefault="003C78A4" w:rsidP="00EC0545">
      <w:pPr>
        <w:pStyle w:val="FootnoteText"/>
      </w:pPr>
      <w:r w:rsidRPr="00CD5D97">
        <w:rPr>
          <w:rStyle w:val="FootnoteReference"/>
        </w:rPr>
        <w:footnoteRef/>
      </w:r>
      <w:r w:rsidRPr="00CD5D97">
        <w:t xml:space="preserve"> </w:t>
      </w:r>
      <w:r w:rsidRPr="00CD5D97">
        <w:rPr>
          <w:i/>
        </w:rPr>
        <w:t>2008 New England Electric Generator Air Emissions Report</w:t>
      </w:r>
      <w:r w:rsidRPr="00987991">
        <w:t xml:space="preserve"> </w:t>
      </w:r>
      <w:r w:rsidRPr="002E0C6C">
        <w:t>(August 18, 2010);</w:t>
      </w:r>
      <w:r>
        <w:br/>
      </w:r>
      <w:r w:rsidRPr="002E0C6C">
        <w:t>http://www.iso-ne.com/genrtion_resrcs/reports/emission/index.html.</w:t>
      </w:r>
    </w:p>
  </w:footnote>
  <w:footnote w:id="218">
    <w:p w:rsidR="003C78A4" w:rsidRDefault="003C78A4" w:rsidP="00EC0545">
      <w:pPr>
        <w:pStyle w:val="FootnoteText"/>
      </w:pPr>
      <w:r w:rsidRPr="00CD5D97">
        <w:rPr>
          <w:rStyle w:val="FootnoteReference"/>
        </w:rPr>
        <w:footnoteRef/>
      </w:r>
      <w:r w:rsidRPr="00CD5D97">
        <w:t xml:space="preserve"> </w:t>
      </w:r>
      <w:r>
        <w:t xml:space="preserve">Office of Air and Radiation, EPA, </w:t>
      </w:r>
      <w:r w:rsidRPr="00B55D4E">
        <w:t xml:space="preserve">“Clean Air Markets Data and Maps, Emissions” </w:t>
      </w:r>
      <w:r>
        <w:t xml:space="preserve">Web pages </w:t>
      </w:r>
      <w:r w:rsidRPr="0053202A">
        <w:t>(2010); http://camddataandmaps.epa.gov/gdm/index.cfm?fuseaction=emissions.wizard.</w:t>
      </w:r>
    </w:p>
  </w:footnote>
  <w:footnote w:id="219">
    <w:p w:rsidR="003C78A4" w:rsidRDefault="003C78A4" w:rsidP="00EC0545">
      <w:pPr>
        <w:pStyle w:val="FootnoteText"/>
      </w:pPr>
      <w:r w:rsidRPr="00CD5D97">
        <w:rPr>
          <w:rStyle w:val="FootnoteReference"/>
        </w:rPr>
        <w:footnoteRef/>
      </w:r>
      <w:r w:rsidRPr="0053202A">
        <w:t xml:space="preserve"> Hydro and pumped hydro were not considered to be incremental and were excluded from the 500 MW.</w:t>
      </w:r>
    </w:p>
  </w:footnote>
  <w:footnote w:id="220">
    <w:p w:rsidR="003C78A4" w:rsidRDefault="003C78A4" w:rsidP="00EC0545">
      <w:pPr>
        <w:pStyle w:val="FootnoteText"/>
      </w:pPr>
      <w:r w:rsidRPr="00CD5D97">
        <w:rPr>
          <w:rStyle w:val="FootnoteReference"/>
        </w:rPr>
        <w:footnoteRef/>
      </w:r>
      <w:r w:rsidRPr="0053202A">
        <w:t xml:space="preserve"> On the peak day, August 8, 2007, a higher peak hourly NO</w:t>
      </w:r>
      <w:r w:rsidRPr="0053202A">
        <w:rPr>
          <w:vertAlign w:val="subscript"/>
        </w:rPr>
        <w:t>X</w:t>
      </w:r>
      <w:r w:rsidRPr="0053202A">
        <w:t xml:space="preserve"> rate was calculated: 2.75 tons/hour, or 11 lbs/MWh. The lowest peak emissions occurred on July 18, 2008, at 0.6 tons/hour (2 lbs/MWh).</w:t>
      </w:r>
    </w:p>
  </w:footnote>
  <w:footnote w:id="221">
    <w:p w:rsidR="003C78A4" w:rsidRDefault="003C78A4" w:rsidP="00EC0545">
      <w:pPr>
        <w:pStyle w:val="FootnoteText"/>
      </w:pPr>
      <w:r w:rsidRPr="007B7547">
        <w:rPr>
          <w:rStyle w:val="FootnoteReference"/>
        </w:rPr>
        <w:footnoteRef/>
      </w:r>
      <w:r w:rsidRPr="007B7547">
        <w:t xml:space="preserve"> American Council for an Energy-Efficient Economy </w:t>
      </w:r>
      <w:r>
        <w:t>(</w:t>
      </w:r>
      <w:r w:rsidRPr="007B7547">
        <w:t>ACEEE</w:t>
      </w:r>
      <w:r>
        <w:t xml:space="preserve">), </w:t>
      </w:r>
      <w:r w:rsidRPr="00CD5D97">
        <w:rPr>
          <w:i/>
        </w:rPr>
        <w:t>2009 State Energy Efficiency Scorecard</w:t>
      </w:r>
      <w:r w:rsidRPr="007B7547">
        <w:t xml:space="preserve"> (October 2009); </w:t>
      </w:r>
      <w:hyperlink r:id="rId70" w:history="1">
        <w:r w:rsidRPr="007B7547">
          <w:rPr>
            <w:rStyle w:val="Hyperlink"/>
            <w:color w:val="auto"/>
            <w:u w:val="none"/>
          </w:rPr>
          <w:t>http://www.aceee.org/pubs/e097.htm</w:t>
        </w:r>
      </w:hyperlink>
      <w:r w:rsidRPr="007B7547">
        <w:t>.</w:t>
      </w:r>
    </w:p>
  </w:footnote>
  <w:footnote w:id="222">
    <w:p w:rsidR="003C78A4" w:rsidRDefault="003C78A4" w:rsidP="00EC0545">
      <w:pPr>
        <w:pStyle w:val="FootnoteText"/>
      </w:pPr>
      <w:r w:rsidRPr="007B7547">
        <w:rPr>
          <w:rStyle w:val="FootnoteReference"/>
        </w:rPr>
        <w:footnoteRef/>
      </w:r>
      <w:r w:rsidRPr="007B7547">
        <w:t xml:space="preserve"> See the ISO’s </w:t>
      </w:r>
      <w:r w:rsidRPr="00CD5D97">
        <w:rPr>
          <w:i/>
        </w:rPr>
        <w:t>Forward Capacity Auction Results Filing</w:t>
      </w:r>
      <w:r w:rsidRPr="007B7547">
        <w:t xml:space="preserve">, FERC Docket No, ER10-___-000 (October 30, 2009); </w:t>
      </w:r>
      <w:hyperlink r:id="rId71" w:history="1">
        <w:r w:rsidRPr="007B7547">
          <w:rPr>
            <w:rStyle w:val="Hyperlink"/>
            <w:color w:val="auto"/>
            <w:u w:val="none"/>
          </w:rPr>
          <w:t>http://www.iso-ne.com/regulatory/ferc/filings/2009/oct/er10-___-000_10-29-09_fca_3_results_filing.pdf</w:t>
        </w:r>
      </w:hyperlink>
      <w:r w:rsidRPr="007B7547">
        <w:t xml:space="preserve">. </w:t>
      </w:r>
    </w:p>
  </w:footnote>
  <w:footnote w:id="223">
    <w:p w:rsidR="003C78A4" w:rsidRDefault="003C78A4" w:rsidP="00EC0545">
      <w:pPr>
        <w:pStyle w:val="FootnoteText"/>
      </w:pPr>
      <w:r w:rsidRPr="007B7547">
        <w:rPr>
          <w:rStyle w:val="FootnoteReference"/>
        </w:rPr>
        <w:footnoteRef/>
      </w:r>
      <w:r w:rsidRPr="007B7547">
        <w:t xml:space="preserve"> </w:t>
      </w:r>
      <w:r w:rsidRPr="00CD5D97">
        <w:t>CT Energy</w:t>
      </w:r>
      <w:r w:rsidRPr="007B7547">
        <w:t xml:space="preserve"> Conservation Management Board</w:t>
      </w:r>
      <w:r>
        <w:t>,</w:t>
      </w:r>
      <w:r w:rsidRPr="00CD5D97">
        <w:rPr>
          <w:i/>
        </w:rPr>
        <w:t xml:space="preserve"> An Investment in Connecticut Energy Efficiency</w:t>
      </w:r>
      <w:r w:rsidRPr="00CD5D97">
        <w:t xml:space="preserve"> (</w:t>
      </w:r>
      <w:r w:rsidRPr="007B7547">
        <w:t xml:space="preserve">March 1, 2010); http://www.ctsavesenergy.org/files/Final%202009%20Legislative%20Report%202.19.10.pdf. </w:t>
      </w:r>
    </w:p>
  </w:footnote>
  <w:footnote w:id="224">
    <w:p w:rsidR="003C78A4" w:rsidRDefault="003C78A4" w:rsidP="00EC0545">
      <w:pPr>
        <w:pStyle w:val="FootnoteText"/>
        <w:rPr>
          <w:i/>
        </w:rPr>
      </w:pPr>
      <w:r w:rsidRPr="007B7547">
        <w:rPr>
          <w:rStyle w:val="FootnoteReference"/>
        </w:rPr>
        <w:footnoteRef/>
      </w:r>
      <w:r w:rsidRPr="007B7547">
        <w:t xml:space="preserve"> </w:t>
      </w:r>
      <w:r w:rsidRPr="0099425C">
        <w:t>Commonwealth of Massachusetts</w:t>
      </w:r>
      <w:r>
        <w:t xml:space="preserve">, </w:t>
      </w:r>
      <w:r w:rsidRPr="00CD5D97">
        <w:rPr>
          <w:i/>
        </w:rPr>
        <w:t>An Act Relative to Green Communities</w:t>
      </w:r>
      <w:r w:rsidRPr="007B7547">
        <w:t xml:space="preserve">, Chapter 169 of the Acts of 2008 </w:t>
      </w:r>
      <w:r w:rsidRPr="0099425C">
        <w:t>(</w:t>
      </w:r>
      <w:r w:rsidRPr="007B7547">
        <w:t xml:space="preserve">July 2, 2008); </w:t>
      </w:r>
      <w:hyperlink r:id="rId72" w:history="1">
        <w:r w:rsidRPr="000C47E3">
          <w:rPr>
            <w:rStyle w:val="Hyperlink"/>
            <w:color w:val="000000" w:themeColor="text1"/>
            <w:u w:val="none"/>
          </w:rPr>
          <w:t>http://www.mass.gov/legis/laws/seslaw08/sl080169.htm</w:t>
        </w:r>
      </w:hyperlink>
      <w:r w:rsidRPr="000C47E3">
        <w:t>.</w:t>
      </w:r>
    </w:p>
  </w:footnote>
  <w:footnote w:id="225">
    <w:p w:rsidR="003C78A4" w:rsidRDefault="003C78A4" w:rsidP="00EC0545">
      <w:pPr>
        <w:pStyle w:val="FootnoteText"/>
      </w:pPr>
      <w:r w:rsidRPr="006A3B21">
        <w:rPr>
          <w:rStyle w:val="FootnoteReference"/>
        </w:rPr>
        <w:footnoteRef/>
      </w:r>
      <w:r>
        <w:t xml:space="preserve">National Grid, NSTAR, Unitil, and Western Massachusetts Electric, </w:t>
      </w:r>
      <w:r w:rsidRPr="0099425C">
        <w:rPr>
          <w:i/>
        </w:rPr>
        <w:t>2010–2012 Massachusetts Joint Statewide Three-Year Electric Energy Efficiency Plan</w:t>
      </w:r>
      <w:r w:rsidRPr="00987991">
        <w:t xml:space="preserve"> </w:t>
      </w:r>
      <w:r w:rsidRPr="0053202A">
        <w:t>(October 2</w:t>
      </w:r>
      <w:r>
        <w:t>9</w:t>
      </w:r>
      <w:r w:rsidRPr="0053202A">
        <w:t>, 20</w:t>
      </w:r>
      <w:r>
        <w:t>09</w:t>
      </w:r>
      <w:r w:rsidRPr="0053202A">
        <w:t xml:space="preserve">); http://www.ma-eeac.org/docs/DPU-filing/ElectricPlanFinalOct09.pdf. </w:t>
      </w:r>
    </w:p>
  </w:footnote>
  <w:footnote w:id="226">
    <w:p w:rsidR="003C78A4" w:rsidRPr="006A3B21" w:rsidRDefault="003C78A4" w:rsidP="00EC0545">
      <w:pPr>
        <w:pStyle w:val="FootnoteText"/>
      </w:pPr>
      <w:r w:rsidRPr="006A3B21">
        <w:rPr>
          <w:rStyle w:val="FootnoteReference"/>
        </w:rPr>
        <w:footnoteRef/>
      </w:r>
      <w:r w:rsidRPr="0053202A">
        <w:rPr>
          <w:i/>
        </w:rPr>
        <w:t xml:space="preserve"> </w:t>
      </w:r>
      <w:r w:rsidRPr="006A3B21">
        <w:rPr>
          <w:i/>
        </w:rPr>
        <w:t>Massachusetts Department of Public Utilities Order 09-116 through 09-120</w:t>
      </w:r>
      <w:r w:rsidRPr="00987991">
        <w:t xml:space="preserve"> </w:t>
      </w:r>
      <w:r w:rsidRPr="006A3B21">
        <w:t xml:space="preserve">(January 28, 2010); </w:t>
      </w:r>
      <w:hyperlink r:id="rId73" w:history="1">
        <w:r w:rsidRPr="006A3B21">
          <w:rPr>
            <w:rStyle w:val="Hyperlink"/>
            <w:color w:val="000000" w:themeColor="text1"/>
            <w:u w:val="none"/>
          </w:rPr>
          <w:t>http://www.env.state.ma.us/dpu/docs/electric/09-116/12810dpuord.pdf</w:t>
        </w:r>
      </w:hyperlink>
      <w:r w:rsidRPr="006A3B21">
        <w:t xml:space="preserve">. </w:t>
      </w:r>
    </w:p>
  </w:footnote>
  <w:footnote w:id="227">
    <w:p w:rsidR="003C78A4" w:rsidRPr="000C47E3" w:rsidRDefault="003C78A4" w:rsidP="00EC0545">
      <w:pPr>
        <w:pStyle w:val="FootnoteText"/>
      </w:pPr>
      <w:r w:rsidRPr="006A3B21">
        <w:rPr>
          <w:rStyle w:val="FootnoteReference"/>
        </w:rPr>
        <w:footnoteRef/>
      </w:r>
      <w:r w:rsidRPr="006A3B21">
        <w:t xml:space="preserve"> </w:t>
      </w:r>
      <w:r>
        <w:rPr>
          <w:color w:val="000000" w:themeColor="text1"/>
        </w:rPr>
        <w:t xml:space="preserve">Commonwealth of </w:t>
      </w:r>
      <w:r w:rsidRPr="00CC782C">
        <w:rPr>
          <w:color w:val="000000" w:themeColor="text1"/>
        </w:rPr>
        <w:t>M</w:t>
      </w:r>
      <w:r>
        <w:rPr>
          <w:color w:val="000000" w:themeColor="text1"/>
        </w:rPr>
        <w:t>assachusetts,</w:t>
      </w:r>
      <w:r w:rsidRPr="006A3B21">
        <w:rPr>
          <w:i/>
        </w:rPr>
        <w:t xml:space="preserve"> An Act Relative to Green Communities</w:t>
      </w:r>
      <w:r w:rsidRPr="006A3B21">
        <w:rPr>
          <w:i/>
          <w:color w:val="1F497D"/>
        </w:rPr>
        <w:t xml:space="preserve">, </w:t>
      </w:r>
      <w:r>
        <w:rPr>
          <w:color w:val="1F497D"/>
        </w:rPr>
        <w:t xml:space="preserve">§ </w:t>
      </w:r>
      <w:r w:rsidRPr="00B938EB">
        <w:rPr>
          <w:color w:val="000000" w:themeColor="text1"/>
        </w:rPr>
        <w:t>116(a)(1)</w:t>
      </w:r>
      <w:r w:rsidRPr="006A3B21">
        <w:rPr>
          <w:i/>
          <w:color w:val="000000" w:themeColor="text1"/>
        </w:rPr>
        <w:t xml:space="preserve"> </w:t>
      </w:r>
      <w:r w:rsidRPr="00CC782C">
        <w:rPr>
          <w:color w:val="000000" w:themeColor="text1"/>
        </w:rPr>
        <w:t xml:space="preserve">(2008); </w:t>
      </w:r>
      <w:hyperlink r:id="rId74" w:history="1">
        <w:r w:rsidRPr="00A5708C">
          <w:rPr>
            <w:rStyle w:val="Hyperlink"/>
            <w:color w:val="000000" w:themeColor="text1"/>
            <w:u w:val="none"/>
          </w:rPr>
          <w:t>http://www.mass.gov/legis/laws/seslaw08/sl080169.htm</w:t>
        </w:r>
      </w:hyperlink>
      <w:r w:rsidRPr="00A5708C">
        <w:rPr>
          <w:color w:val="000000" w:themeColor="text1"/>
        </w:rPr>
        <w:t>.</w:t>
      </w:r>
      <w:r w:rsidRPr="006A3B21">
        <w:rPr>
          <w:i/>
          <w:color w:val="1F497D"/>
        </w:rPr>
        <w:t xml:space="preserve"> </w:t>
      </w:r>
    </w:p>
  </w:footnote>
  <w:footnote w:id="228">
    <w:p w:rsidR="003C78A4" w:rsidRPr="006A3B21" w:rsidRDefault="003C78A4" w:rsidP="00EC0545">
      <w:pPr>
        <w:pStyle w:val="FootnoteText"/>
      </w:pPr>
      <w:r w:rsidRPr="006A3B21">
        <w:rPr>
          <w:rStyle w:val="FootnoteReference"/>
        </w:rPr>
        <w:footnoteRef/>
      </w:r>
      <w:r w:rsidRPr="0053202A">
        <w:t xml:space="preserve"> </w:t>
      </w:r>
      <w:r w:rsidRPr="006A3B21">
        <w:t>The Narragansett Electric Company d/b/a National Grid Gas and Electric Energy Efficiency Program Plans for 2009, RI and Providence Plantations</w:t>
      </w:r>
      <w:r>
        <w:t xml:space="preserve">, RI </w:t>
      </w:r>
      <w:r w:rsidRPr="006A3B21">
        <w:t>PUC Docket No. 4000 (n.d</w:t>
      </w:r>
      <w:r w:rsidRPr="006A3B21">
        <w:rPr>
          <w:color w:val="000000" w:themeColor="text1"/>
        </w:rPr>
        <w:t xml:space="preserve">); </w:t>
      </w:r>
      <w:hyperlink r:id="rId75" w:history="1">
        <w:r w:rsidRPr="008F11B8">
          <w:rPr>
            <w:rStyle w:val="Hyperlink"/>
            <w:color w:val="000000" w:themeColor="text1"/>
            <w:u w:val="none"/>
          </w:rPr>
          <w:t>http://www.ripuc.org/eventsactions/docket/4000-NGrid-Ord19608(4-6-09).pdf</w:t>
        </w:r>
      </w:hyperlink>
      <w:r>
        <w:t xml:space="preserve"> or </w:t>
      </w:r>
      <w:r w:rsidRPr="008F11B8">
        <w:t>http://www.ripuc.org/eventsactions/docket/4000page.html</w:t>
      </w:r>
      <w:r w:rsidRPr="006A3B21">
        <w:t>.</w:t>
      </w:r>
    </w:p>
  </w:footnote>
  <w:footnote w:id="229">
    <w:p w:rsidR="003C78A4" w:rsidRDefault="003C78A4" w:rsidP="00EC0545">
      <w:pPr>
        <w:pStyle w:val="FootnoteText"/>
      </w:pPr>
      <w:r w:rsidRPr="007B7547">
        <w:rPr>
          <w:rStyle w:val="FootnoteReference"/>
        </w:rPr>
        <w:footnoteRef/>
      </w:r>
      <w:r w:rsidRPr="007B7547">
        <w:t xml:space="preserve"> “Efficiency Vermont</w:t>
      </w:r>
      <w:r>
        <w:t>,</w:t>
      </w:r>
      <w:r w:rsidRPr="007B7547">
        <w:t xml:space="preserve">” Slide 4, </w:t>
      </w:r>
      <w:r>
        <w:t xml:space="preserve">presentation at the ISO’s </w:t>
      </w:r>
      <w:r w:rsidRPr="007B7547">
        <w:t xml:space="preserve">Regional Energy-Efficiency Initiative </w:t>
      </w:r>
      <w:r>
        <w:t>(REEI) (</w:t>
      </w:r>
      <w:r w:rsidRPr="007B7547">
        <w:t xml:space="preserve">March 5, 2009). </w:t>
      </w:r>
    </w:p>
  </w:footnote>
  <w:footnote w:id="230">
    <w:p w:rsidR="003C78A4" w:rsidRDefault="003C78A4" w:rsidP="00EC0545">
      <w:pPr>
        <w:pStyle w:val="FootnoteText"/>
      </w:pPr>
      <w:r w:rsidRPr="007B7547">
        <w:rPr>
          <w:rStyle w:val="FootnoteReference"/>
        </w:rPr>
        <w:footnoteRef/>
      </w:r>
      <w:r w:rsidRPr="007B7547">
        <w:t xml:space="preserve"> ACEEE</w:t>
      </w:r>
      <w:r>
        <w:t>,</w:t>
      </w:r>
      <w:r w:rsidRPr="00890D42">
        <w:rPr>
          <w:i/>
        </w:rPr>
        <w:t xml:space="preserve"> Vermont Utility Sector Policies</w:t>
      </w:r>
      <w:r w:rsidRPr="007B7547">
        <w:t xml:space="preserve"> (2010); http://www.aceee.org/energy/state/vermont/vt_utility.htm.</w:t>
      </w:r>
    </w:p>
  </w:footnote>
  <w:footnote w:id="231">
    <w:p w:rsidR="003C78A4" w:rsidRDefault="003C78A4" w:rsidP="00EC0545">
      <w:pPr>
        <w:pStyle w:val="FootnoteText"/>
      </w:pPr>
      <w:r w:rsidRPr="007B7547">
        <w:rPr>
          <w:rStyle w:val="FootnoteReference"/>
        </w:rPr>
        <w:footnoteRef/>
      </w:r>
      <w:r w:rsidRPr="007B7547">
        <w:t xml:space="preserve"> </w:t>
      </w:r>
      <w:r>
        <w:t>Efficiency Vermont,</w:t>
      </w:r>
      <w:r w:rsidRPr="00890D42">
        <w:rPr>
          <w:i/>
        </w:rPr>
        <w:t xml:space="preserve"> Year 2009 Savings Claim</w:t>
      </w:r>
      <w:r w:rsidRPr="007B7547">
        <w:t xml:space="preserve"> (April 1, 2010); http://www.efficiencyvermont.com/stella/filelib/EfficiencyVermont2009_SavingsClaim_Final.pdf. </w:t>
      </w:r>
    </w:p>
  </w:footnote>
  <w:footnote w:id="232">
    <w:p w:rsidR="003C78A4" w:rsidRDefault="003C78A4">
      <w:pPr>
        <w:spacing w:after="80" w:line="240" w:lineRule="auto"/>
        <w:rPr>
          <w:sz w:val="18"/>
        </w:rPr>
      </w:pPr>
      <w:r w:rsidRPr="00987991">
        <w:rPr>
          <w:rStyle w:val="FootnoteReference"/>
          <w:szCs w:val="18"/>
        </w:rPr>
        <w:footnoteRef/>
      </w:r>
      <w:r w:rsidRPr="00987991">
        <w:rPr>
          <w:rFonts w:eastAsia="Times New Roman" w:cs="Times New Roman"/>
          <w:sz w:val="18"/>
          <w:szCs w:val="18"/>
        </w:rPr>
        <w:t xml:space="preserve"> GDS Associates</w:t>
      </w:r>
      <w:r>
        <w:rPr>
          <w:rFonts w:eastAsia="Times New Roman" w:cs="Times New Roman"/>
          <w:sz w:val="18"/>
          <w:szCs w:val="18"/>
        </w:rPr>
        <w:t>,</w:t>
      </w:r>
      <w:r w:rsidRPr="00987991">
        <w:rPr>
          <w:rFonts w:eastAsia="Times New Roman" w:cs="Times New Roman"/>
          <w:i/>
          <w:sz w:val="18"/>
          <w:szCs w:val="18"/>
        </w:rPr>
        <w:t xml:space="preserve"> Additional Opportunities for Energy Efficiency in New Hampshire Final Report</w:t>
      </w:r>
      <w:r w:rsidRPr="00987991">
        <w:rPr>
          <w:rFonts w:eastAsia="Times New Roman" w:cs="Times New Roman"/>
          <w:sz w:val="18"/>
          <w:szCs w:val="18"/>
        </w:rPr>
        <w:t xml:space="preserve"> (January 2009); </w:t>
      </w:r>
      <w:hyperlink r:id="rId76" w:history="1">
        <w:r w:rsidRPr="00166886">
          <w:rPr>
            <w:rStyle w:val="Hyperlink"/>
            <w:color w:val="000000" w:themeColor="text1"/>
            <w:sz w:val="18"/>
            <w:szCs w:val="18"/>
            <w:u w:val="none"/>
          </w:rPr>
          <w:t>http://www.puc.nh.gov/Electric/GDS%20Report/NH%20Additional%20EE%20Opportunities%20Study%202-19-09%20-%20Final.pdf</w:t>
        </w:r>
      </w:hyperlink>
      <w:r w:rsidRPr="00166886">
        <w:rPr>
          <w:rFonts w:eastAsia="Times New Roman" w:cs="Times New Roman"/>
          <w:color w:val="000000" w:themeColor="text1"/>
          <w:sz w:val="18"/>
          <w:szCs w:val="18"/>
        </w:rPr>
        <w:t>.</w:t>
      </w:r>
      <w:r w:rsidRPr="00987991">
        <w:rPr>
          <w:rFonts w:cs="Times New Roman"/>
          <w:sz w:val="18"/>
          <w:szCs w:val="18"/>
        </w:rPr>
        <w:t xml:space="preserve"> </w:t>
      </w:r>
    </w:p>
  </w:footnote>
  <w:footnote w:id="233">
    <w:p w:rsidR="003C78A4" w:rsidRDefault="003C78A4" w:rsidP="00EC0545">
      <w:pPr>
        <w:pStyle w:val="FootnoteText"/>
      </w:pPr>
      <w:r w:rsidRPr="00CD3AEC">
        <w:rPr>
          <w:rStyle w:val="FootnoteReference"/>
        </w:rPr>
        <w:footnoteRef/>
      </w:r>
      <w:r w:rsidRPr="00CD3AEC">
        <w:t xml:space="preserve"> </w:t>
      </w:r>
      <w:r w:rsidRPr="006A3B21">
        <w:rPr>
          <w:i/>
        </w:rPr>
        <w:t>2010 Core Energy Efficiency Programs, DE 09-170, Order Approving Revised 2010 Core Budgets</w:t>
      </w:r>
      <w:r w:rsidRPr="00987991">
        <w:t xml:space="preserve">, </w:t>
      </w:r>
      <w:r>
        <w:t xml:space="preserve">NH PUC </w:t>
      </w:r>
      <w:r w:rsidRPr="00166886">
        <w:t xml:space="preserve">Order No. 25,099 (April 30, 2010); http://www.puc.state.nh.us/Regulatory/Orders/2010orders/25099e.pdf. Also, </w:t>
      </w:r>
      <w:r>
        <w:t xml:space="preserve">Maureen Reno (Utility Analyst, NH PUC), in </w:t>
      </w:r>
      <w:r w:rsidRPr="00166886">
        <w:t xml:space="preserve">telephone conversation </w:t>
      </w:r>
      <w:r>
        <w:t xml:space="preserve">with </w:t>
      </w:r>
      <w:r w:rsidRPr="00166886">
        <w:t>Eric Wilkinson</w:t>
      </w:r>
      <w:r>
        <w:t xml:space="preserve"> (</w:t>
      </w:r>
      <w:r w:rsidRPr="00166886">
        <w:t>ISO New England</w:t>
      </w:r>
      <w:r>
        <w:t xml:space="preserve">), </w:t>
      </w:r>
      <w:r w:rsidRPr="00166886">
        <w:t>August 26, 2010.</w:t>
      </w:r>
    </w:p>
  </w:footnote>
  <w:footnote w:id="234">
    <w:p w:rsidR="003C78A4" w:rsidRDefault="003C78A4" w:rsidP="00EC0545">
      <w:pPr>
        <w:pStyle w:val="FootnoteText"/>
      </w:pPr>
      <w:r w:rsidRPr="00CD3AEC">
        <w:rPr>
          <w:rStyle w:val="FootnoteReference"/>
        </w:rPr>
        <w:footnoteRef/>
      </w:r>
      <w:r w:rsidRPr="00CD3AEC">
        <w:t xml:space="preserve"> </w:t>
      </w:r>
      <w:r w:rsidRPr="00166886">
        <w:t xml:space="preserve">Efficiency Maine </w:t>
      </w:r>
      <w:r>
        <w:t>Web site (n.d.)</w:t>
      </w:r>
      <w:r w:rsidRPr="00166886">
        <w:t>; http://www.efficiencymaine.com/.</w:t>
      </w:r>
    </w:p>
  </w:footnote>
  <w:footnote w:id="235">
    <w:p w:rsidR="003C78A4" w:rsidRDefault="003C78A4" w:rsidP="00EC0545">
      <w:pPr>
        <w:pStyle w:val="FootnoteText"/>
      </w:pPr>
      <w:r w:rsidRPr="00CD3AEC">
        <w:rPr>
          <w:rStyle w:val="FootnoteReference"/>
        </w:rPr>
        <w:footnoteRef/>
      </w:r>
      <w:r w:rsidRPr="00CD3AEC">
        <w:t xml:space="preserve"> </w:t>
      </w:r>
      <w:r w:rsidRPr="00166886">
        <w:t>Efficiency Maine Trust</w:t>
      </w:r>
      <w:r>
        <w:t xml:space="preserve"> Web site (2010)</w:t>
      </w:r>
      <w:r w:rsidRPr="00166886">
        <w:t>; http://www.efficiencymainetrust.org/triennial.html.</w:t>
      </w:r>
    </w:p>
  </w:footnote>
  <w:footnote w:id="236">
    <w:p w:rsidR="003C78A4" w:rsidRDefault="003C78A4" w:rsidP="00EC0545">
      <w:pPr>
        <w:pStyle w:val="FootnoteText"/>
      </w:pPr>
      <w:r w:rsidRPr="00CD3AEC">
        <w:rPr>
          <w:rStyle w:val="FootnoteReference"/>
        </w:rPr>
        <w:footnoteRef/>
      </w:r>
      <w:r w:rsidRPr="00987991">
        <w:t xml:space="preserve"> </w:t>
      </w:r>
      <w:r>
        <w:t xml:space="preserve">EMT, </w:t>
      </w:r>
      <w:r w:rsidRPr="00CD3AEC">
        <w:rPr>
          <w:i/>
        </w:rPr>
        <w:t>Draft Triennial Plan of the Efficiency Maine Trust 2011–2013</w:t>
      </w:r>
      <w:r w:rsidRPr="00987991">
        <w:t xml:space="preserve"> </w:t>
      </w:r>
      <w:r w:rsidRPr="00166886">
        <w:t>(April 5, 2010); http://www.efficiencymainetrust.org/docs/TriPlan_Final_Draft_100405.pdf</w:t>
      </w:r>
      <w:r>
        <w:t xml:space="preserve">. </w:t>
      </w:r>
    </w:p>
  </w:footnote>
  <w:footnote w:id="237">
    <w:p w:rsidR="003C78A4" w:rsidRDefault="003C78A4" w:rsidP="00EC0545">
      <w:pPr>
        <w:pStyle w:val="FootnoteText"/>
      </w:pPr>
      <w:r w:rsidRPr="00CD3AEC">
        <w:rPr>
          <w:rStyle w:val="FootnoteReference"/>
        </w:rPr>
        <w:footnoteRef/>
      </w:r>
      <w:r w:rsidRPr="00CD3AEC">
        <w:t xml:space="preserve"> </w:t>
      </w:r>
      <w:r w:rsidRPr="00166886">
        <w:t xml:space="preserve">Efficiency Maine Trust </w:t>
      </w:r>
      <w:r>
        <w:t xml:space="preserve">Web site (2010); </w:t>
      </w:r>
      <w:r w:rsidRPr="00166886">
        <w:t>http://www.efficiencymainetrust.org/.</w:t>
      </w:r>
    </w:p>
  </w:footnote>
  <w:footnote w:id="238">
    <w:p w:rsidR="003C78A4" w:rsidRDefault="003C78A4" w:rsidP="00EC0545">
      <w:pPr>
        <w:pStyle w:val="FootnoteText"/>
      </w:pPr>
      <w:r w:rsidRPr="00166886">
        <w:rPr>
          <w:rStyle w:val="FootnoteReference"/>
          <w:i/>
        </w:rPr>
        <w:footnoteRef/>
      </w:r>
      <w:r w:rsidRPr="00CD3AEC">
        <w:rPr>
          <w:i/>
        </w:rPr>
        <w:t>Retail competitive suppliers</w:t>
      </w:r>
      <w:r w:rsidRPr="00987991">
        <w:t xml:space="preserve"> </w:t>
      </w:r>
      <w:r w:rsidRPr="00166886">
        <w:t>are load-serving entities (LSEs), such as electric utility distribution companies that sell basic electrical energy service to end-use customers</w:t>
      </w:r>
      <w:r>
        <w:t>,</w:t>
      </w:r>
      <w:r w:rsidRPr="00166886">
        <w:t xml:space="preserve"> except for municipally owned utilities</w:t>
      </w:r>
      <w:r>
        <w:t xml:space="preserve">. </w:t>
      </w:r>
    </w:p>
  </w:footnote>
  <w:footnote w:id="239">
    <w:p w:rsidR="003C78A4" w:rsidRPr="00843ACE" w:rsidRDefault="003C78A4" w:rsidP="00EC0545">
      <w:pPr>
        <w:pStyle w:val="FootnoteText"/>
        <w:rPr>
          <w:color w:val="000000" w:themeColor="text1"/>
        </w:rPr>
      </w:pPr>
      <w:r w:rsidRPr="006A3B21">
        <w:rPr>
          <w:rStyle w:val="FootnoteReference"/>
          <w:color w:val="000000" w:themeColor="text1"/>
        </w:rPr>
        <w:footnoteRef/>
      </w:r>
      <w:r w:rsidRPr="0013507D">
        <w:rPr>
          <w:i/>
          <w:color w:val="000000" w:themeColor="text1"/>
        </w:rPr>
        <w:t xml:space="preserve"> </w:t>
      </w:r>
      <w:r>
        <w:rPr>
          <w:color w:val="000000" w:themeColor="text1"/>
        </w:rPr>
        <w:t xml:space="preserve">MA DOER, </w:t>
      </w:r>
      <w:r w:rsidRPr="006A3B21">
        <w:rPr>
          <w:i/>
          <w:color w:val="000000" w:themeColor="text1"/>
        </w:rPr>
        <w:t>Biomass Sustainability and Carbon Policy Study</w:t>
      </w:r>
      <w:r w:rsidRPr="0013507D">
        <w:rPr>
          <w:color w:val="000000" w:themeColor="text1"/>
        </w:rPr>
        <w:t xml:space="preserve"> </w:t>
      </w:r>
      <w:r w:rsidRPr="006A3B21">
        <w:rPr>
          <w:color w:val="000000" w:themeColor="text1"/>
        </w:rPr>
        <w:t>(June 2010);</w:t>
      </w:r>
      <w:r>
        <w:rPr>
          <w:color w:val="000000" w:themeColor="text1"/>
        </w:rPr>
        <w:t xml:space="preserve"> </w:t>
      </w:r>
      <w:hyperlink r:id="rId77" w:history="1">
        <w:r w:rsidRPr="006A3B21">
          <w:rPr>
            <w:rStyle w:val="Hyperlink"/>
            <w:color w:val="000000" w:themeColor="text1"/>
            <w:u w:val="none"/>
          </w:rPr>
          <w:t>http://www.mass.gov/?pageID=eoeeaterminal&amp;L=4&amp;L0=Home&amp;L1=Energy%2c+Utilities+%26+Clean+Technologies&amp;L2=Renewable+Energy&amp;L3=Biomass&amp;sid=Eoeea&amp;b=terminalcontent&amp;f=doer_arra_bscps&amp;csid=Eoeea</w:t>
        </w:r>
      </w:hyperlink>
      <w:r>
        <w:t xml:space="preserve"> and </w:t>
      </w:r>
      <w:r w:rsidRPr="006A3B21">
        <w:rPr>
          <w:i/>
          <w:color w:val="000000" w:themeColor="text1"/>
        </w:rPr>
        <w:t>Clarification of Suspension of Biomass Energy from Qualification in the Renewable Energy Portfolio Standard Program</w:t>
      </w:r>
      <w:r w:rsidRPr="006A3B21">
        <w:rPr>
          <w:color w:val="000000" w:themeColor="text1"/>
        </w:rPr>
        <w:t xml:space="preserve"> (</w:t>
      </w:r>
      <w:r>
        <w:rPr>
          <w:color w:val="000000" w:themeColor="text1"/>
        </w:rPr>
        <w:t>D</w:t>
      </w:r>
      <w:r w:rsidRPr="006A3B21">
        <w:rPr>
          <w:color w:val="000000" w:themeColor="text1"/>
        </w:rPr>
        <w:t xml:space="preserve">ecember 22, 2009); </w:t>
      </w:r>
      <w:hyperlink r:id="rId78" w:history="1">
        <w:r w:rsidRPr="006A3B21">
          <w:rPr>
            <w:rStyle w:val="Hyperlink"/>
            <w:color w:val="000000" w:themeColor="text1"/>
            <w:u w:val="none"/>
          </w:rPr>
          <w:t>http://www.mass.gov/Eoeea/docs/doer/renewables/biomass/biomass-suspend-clarify-2009dec22.pdf</w:t>
        </w:r>
      </w:hyperlink>
      <w:r w:rsidRPr="006A3B21">
        <w:rPr>
          <w:color w:val="000000" w:themeColor="text1"/>
        </w:rPr>
        <w:t xml:space="preserve">. </w:t>
      </w:r>
      <w:r>
        <w:rPr>
          <w:color w:val="000000" w:themeColor="text1"/>
        </w:rPr>
        <w:t>Ian Bowles (Secretary, Massachusetts Executive Office of Energy and Environmental Affairs) in letter on biomass s</w:t>
      </w:r>
      <w:r w:rsidRPr="000A284D">
        <w:rPr>
          <w:color w:val="000000" w:themeColor="text1"/>
        </w:rPr>
        <w:t xml:space="preserve">ustainability and </w:t>
      </w:r>
      <w:r>
        <w:rPr>
          <w:color w:val="000000" w:themeColor="text1"/>
        </w:rPr>
        <w:t>c</w:t>
      </w:r>
      <w:r w:rsidRPr="000A284D">
        <w:rPr>
          <w:color w:val="000000" w:themeColor="text1"/>
        </w:rPr>
        <w:t xml:space="preserve">arbon </w:t>
      </w:r>
      <w:r>
        <w:rPr>
          <w:color w:val="000000" w:themeColor="text1"/>
        </w:rPr>
        <w:t>r</w:t>
      </w:r>
      <w:r w:rsidRPr="000A284D">
        <w:rPr>
          <w:color w:val="000000" w:themeColor="text1"/>
        </w:rPr>
        <w:t>egulations to the MA DOER</w:t>
      </w:r>
      <w:r>
        <w:rPr>
          <w:color w:val="000000" w:themeColor="text1"/>
        </w:rPr>
        <w:t>,</w:t>
      </w:r>
      <w:r w:rsidRPr="006A3B21">
        <w:rPr>
          <w:i/>
          <w:color w:val="000000" w:themeColor="text1"/>
        </w:rPr>
        <w:t xml:space="preserve"> </w:t>
      </w:r>
      <w:r w:rsidRPr="006A3B21">
        <w:rPr>
          <w:color w:val="000000" w:themeColor="text1"/>
        </w:rPr>
        <w:t>July 7, 2010;</w:t>
      </w:r>
      <w:r>
        <w:rPr>
          <w:color w:val="000000" w:themeColor="text1"/>
        </w:rPr>
        <w:t xml:space="preserve"> </w:t>
      </w:r>
      <w:r w:rsidRPr="00843ACE">
        <w:rPr>
          <w:color w:val="000000" w:themeColor="text1"/>
        </w:rPr>
        <w:t>http://www.mass.gov/Eoeea/docs/eea/biomass/070710_biomass_sustainablity_carbon_regs_letter.pdf.</w:t>
      </w:r>
    </w:p>
  </w:footnote>
  <w:footnote w:id="240">
    <w:p w:rsidR="003C78A4" w:rsidRPr="006A3B21" w:rsidRDefault="003C78A4" w:rsidP="00EC0545">
      <w:pPr>
        <w:pStyle w:val="FootnoteText"/>
      </w:pPr>
      <w:r w:rsidRPr="006A3B21">
        <w:rPr>
          <w:rStyle w:val="FootnoteReference"/>
        </w:rPr>
        <w:footnoteRef/>
      </w:r>
      <w:r w:rsidRPr="006A3B21">
        <w:t xml:space="preserve"> Maine Public Utilities Commission Revised Rules 65.407 Chapter 311 Portfolio Requirement (Effective November 6, 2007).</w:t>
      </w:r>
    </w:p>
  </w:footnote>
  <w:footnote w:id="241">
    <w:p w:rsidR="003C78A4" w:rsidRPr="006A3B21" w:rsidRDefault="003C78A4" w:rsidP="00EC0545">
      <w:pPr>
        <w:pStyle w:val="FootnoteText"/>
      </w:pPr>
      <w:r w:rsidRPr="006A3B21">
        <w:rPr>
          <w:rStyle w:val="FootnoteReference"/>
        </w:rPr>
        <w:footnoteRef/>
      </w:r>
      <w:r w:rsidRPr="006A3B21">
        <w:t xml:space="preserve"> Maine’s RPS allows FERC-qualifying facilities (i.e., efficient cogeneration plants) to count toward meeting its goal of having renewable resources provide 30% of its electricity use. Maine’s many paper mills typically meet this goal. </w:t>
      </w:r>
    </w:p>
  </w:footnote>
  <w:footnote w:id="242">
    <w:p w:rsidR="003C78A4" w:rsidRPr="006A3B21" w:rsidRDefault="003C78A4" w:rsidP="00EC0545">
      <w:pPr>
        <w:pStyle w:val="FootnoteText"/>
      </w:pPr>
      <w:r w:rsidRPr="006A3B21">
        <w:rPr>
          <w:rStyle w:val="FootnoteReference"/>
        </w:rPr>
        <w:footnoteRef/>
      </w:r>
      <w:r w:rsidRPr="006A3B21">
        <w:t xml:space="preserve"> </w:t>
      </w:r>
      <w:r w:rsidRPr="006A3B21">
        <w:rPr>
          <w:i/>
        </w:rPr>
        <w:t>Renewable Energy Portfolio Standard</w:t>
      </w:r>
      <w:r>
        <w:rPr>
          <w:i/>
        </w:rPr>
        <w:t>—</w:t>
      </w:r>
      <w:r w:rsidRPr="006A3B21">
        <w:rPr>
          <w:i/>
        </w:rPr>
        <w:t>Class I 225</w:t>
      </w:r>
      <w:r w:rsidRPr="006A3B21">
        <w:t xml:space="preserve"> [CMR 14.05 (1)(4)(a)];  http://www.mass.gov/Eoeea/docs/doer/renewables/solar/225CMR1400Jan8-2010.pdf.</w:t>
      </w:r>
    </w:p>
  </w:footnote>
  <w:footnote w:id="243">
    <w:p w:rsidR="003C78A4" w:rsidRDefault="003C78A4" w:rsidP="00EC0545">
      <w:pPr>
        <w:pStyle w:val="FootnoteText"/>
      </w:pPr>
      <w:r w:rsidRPr="00F46CEB">
        <w:rPr>
          <w:rStyle w:val="FootnoteReference"/>
        </w:rPr>
        <w:footnoteRef/>
      </w:r>
      <w:r w:rsidRPr="00F46CEB">
        <w:t xml:space="preserve"> The electric</w:t>
      </w:r>
      <w:r>
        <w:t xml:space="preserve"> energy consumption target for CHP technology is based on the megawatt-hours of fuel energy savings a CHP facility can experience compared with the amount of fuel separate energy facilities would use (e.g., an electric  purchase from the ISO grid and a boiler each requiring its own fuel). To meet the target, the CHP would need to be more fuel efficient providing electricity and heat than the separate electric energy purchase from the ISO grid and boiler providing the same energy applications as the CHP facility. Flywheels are </w:t>
      </w:r>
      <w:r w:rsidRPr="00787694">
        <w:t>large rotating mass</w:t>
      </w:r>
      <w:r>
        <w:t>es</w:t>
      </w:r>
      <w:r w:rsidRPr="00787694">
        <w:t xml:space="preserve"> that can store electric energy</w:t>
      </w:r>
      <w:r>
        <w:t xml:space="preserve">, which </w:t>
      </w:r>
      <w:r w:rsidRPr="00787694">
        <w:t>can be called on to provide power for relatively brief periods.</w:t>
      </w:r>
    </w:p>
  </w:footnote>
  <w:footnote w:id="244">
    <w:p w:rsidR="003C78A4" w:rsidRDefault="003C78A4" w:rsidP="00EC0545">
      <w:pPr>
        <w:pStyle w:val="FootnoteText"/>
      </w:pPr>
      <w:r w:rsidRPr="000425D7">
        <w:rPr>
          <w:rStyle w:val="FootnoteReference"/>
        </w:rPr>
        <w:footnoteRef/>
      </w:r>
      <w:r w:rsidRPr="000425D7">
        <w:t xml:space="preserve"> </w:t>
      </w:r>
      <w:r w:rsidRPr="000425D7">
        <w:rPr>
          <w:i/>
        </w:rPr>
        <w:t>Stretch Energy Code</w:t>
      </w:r>
      <w:r w:rsidRPr="000425D7">
        <w:t>, 780 CMR Appendix 120 AA (Commonwealth of Massachusetts, 2009); http://www.mass.gov/Eeops/docs/dps/inf/appendix_120_aa_jul09_09_final.pdf.</w:t>
      </w:r>
    </w:p>
  </w:footnote>
  <w:footnote w:id="245">
    <w:p w:rsidR="003C78A4" w:rsidRDefault="003C78A4" w:rsidP="00EC0545">
      <w:pPr>
        <w:pStyle w:val="FootnoteText"/>
      </w:pPr>
      <w:r>
        <w:rPr>
          <w:rStyle w:val="FootnoteReference"/>
        </w:rPr>
        <w:footnoteRef/>
      </w:r>
      <w:r w:rsidRPr="00890D42">
        <w:t xml:space="preserve"> The ISO projections did not account for customers still on “standard offer” contracts for the next several years because these offers are not subject to the RPS until the contracts expire. </w:t>
      </w:r>
    </w:p>
  </w:footnote>
  <w:footnote w:id="246">
    <w:p w:rsidR="003C78A4" w:rsidRDefault="003C78A4" w:rsidP="00EC0545">
      <w:pPr>
        <w:pStyle w:val="FootnoteText"/>
      </w:pPr>
      <w:r>
        <w:rPr>
          <w:rStyle w:val="FootnoteReference"/>
        </w:rPr>
        <w:footnoteRef/>
      </w:r>
      <w:r w:rsidRPr="00890D42">
        <w:t xml:space="preserve"> The calculation is based on </w:t>
      </w:r>
      <w:r>
        <w:t xml:space="preserve">the exemption of </w:t>
      </w:r>
      <w:r w:rsidRPr="00890D42">
        <w:t>municipal loads through 2020.</w:t>
      </w:r>
    </w:p>
  </w:footnote>
  <w:footnote w:id="247">
    <w:p w:rsidR="003C78A4" w:rsidRDefault="003C78A4" w:rsidP="00EC0545">
      <w:pPr>
        <w:pStyle w:val="FootnoteText"/>
      </w:pPr>
      <w:r w:rsidRPr="0086235B">
        <w:rPr>
          <w:rStyle w:val="FootnoteReference"/>
        </w:rPr>
        <w:footnoteRef/>
      </w:r>
      <w:r w:rsidRPr="00987991">
        <w:t xml:space="preserve"> </w:t>
      </w:r>
      <w:r w:rsidRPr="00166886">
        <w:t>The ISO’s Renewable Portfolio Standard projection calculator provides regional goals and electric energy production by renewable resource type. Users can insert their own input assumptions in these spreadsheets, which are available at http://www.iso-ne.com/committees/comm_wkgrps/prtcpnts_comm/eag/usr_sprdshts/index.html.</w:t>
      </w:r>
    </w:p>
  </w:footnote>
  <w:footnote w:id="248">
    <w:p w:rsidR="003C78A4" w:rsidRDefault="003C78A4" w:rsidP="00EC0545">
      <w:pPr>
        <w:pStyle w:val="FootnoteText"/>
      </w:pPr>
      <w:r w:rsidRPr="00166886">
        <w:rPr>
          <w:rStyle w:val="FootnoteReference"/>
        </w:rPr>
        <w:footnoteRef/>
      </w:r>
      <w:r w:rsidRPr="00166886">
        <w:t xml:space="preserve"> The ISO recognizes that each state must certify the resources to meet the RPS requirements. These state-certified RPS projects include generators connected to the grid, behind the meter, and in adjacent balancing areas (where allowed). </w:t>
      </w:r>
    </w:p>
  </w:footnote>
  <w:footnote w:id="249">
    <w:p w:rsidR="003C78A4" w:rsidRDefault="003C78A4" w:rsidP="00EC0545">
      <w:pPr>
        <w:pStyle w:val="FootnoteText"/>
        <w:rPr>
          <w:u w:val="single"/>
        </w:rPr>
      </w:pPr>
      <w:r w:rsidRPr="00166886">
        <w:rPr>
          <w:rStyle w:val="FootnoteReference"/>
          <w:i/>
        </w:rPr>
        <w:footnoteRef/>
      </w:r>
      <w:r w:rsidRPr="00AE2B4B">
        <w:t xml:space="preserve"> </w:t>
      </w:r>
      <w:r w:rsidRPr="00166886">
        <w:t>New renewable energy projects generally do not enter the queue until they are within two to five years of their intended commercial operation date.</w:t>
      </w:r>
    </w:p>
  </w:footnote>
  <w:footnote w:id="250">
    <w:p w:rsidR="003C78A4" w:rsidRDefault="003C78A4" w:rsidP="00EC0545">
      <w:pPr>
        <w:pStyle w:val="FootnoteText"/>
      </w:pPr>
      <w:r w:rsidRPr="003811C4">
        <w:rPr>
          <w:rStyle w:val="FootnoteReference"/>
        </w:rPr>
        <w:footnoteRef/>
      </w:r>
      <w:r w:rsidRPr="003811C4">
        <w:t xml:space="preserve"> </w:t>
      </w:r>
      <w:r w:rsidRPr="00AE2B4B">
        <w:t>The ISO’s Renewable Portfolio Standard projection calculator provides regional goals and electric energy production by renewable resource type. Users can insert their own input assumptions in these spreadsheets, which are available at http://www.iso-ne.com/committees/comm_wkgrps/prtcpnts_comm/eag/usr_sprdshts/index.html.</w:t>
      </w:r>
    </w:p>
  </w:footnote>
  <w:footnote w:id="251">
    <w:p w:rsidR="003C78A4" w:rsidRDefault="003C78A4" w:rsidP="00EC0545">
      <w:pPr>
        <w:pStyle w:val="FootnoteText"/>
      </w:pPr>
      <w:r>
        <w:rPr>
          <w:rStyle w:val="FootnoteReference"/>
        </w:rPr>
        <w:footnoteRef/>
      </w:r>
      <w:r w:rsidRPr="00890D42">
        <w:t xml:space="preserve"> Robert Grace, “Renewable Energy Resources in New England . . . Will They Be There When We Need Them,” </w:t>
      </w:r>
      <w:r>
        <w:t>p</w:t>
      </w:r>
      <w:r w:rsidRPr="00890D42">
        <w:t xml:space="preserve">resentation at the Northeast Energy and Commerce Association </w:t>
      </w:r>
      <w:r>
        <w:t>15th</w:t>
      </w:r>
      <w:r w:rsidRPr="00890D42">
        <w:t xml:space="preserve"> Annual New England Energy Conference, Newport, RI (May 12, 2008). </w:t>
      </w:r>
    </w:p>
  </w:footnote>
  <w:footnote w:id="252">
    <w:p w:rsidR="003C78A4" w:rsidRDefault="003C78A4" w:rsidP="00EC0545">
      <w:pPr>
        <w:pStyle w:val="FootnoteText"/>
      </w:pPr>
      <w:r>
        <w:rPr>
          <w:rStyle w:val="FootnoteReference"/>
        </w:rPr>
        <w:footnoteRef/>
      </w:r>
      <w:r w:rsidRPr="00890D42">
        <w:t xml:space="preserve"> </w:t>
      </w:r>
      <w:r>
        <w:t xml:space="preserve">MA DOER, </w:t>
      </w:r>
      <w:r w:rsidRPr="00890D42">
        <w:rPr>
          <w:i/>
        </w:rPr>
        <w:t>Annual RPS Compliance Report for 200</w:t>
      </w:r>
      <w:r>
        <w:rPr>
          <w:i/>
        </w:rPr>
        <w:t>8</w:t>
      </w:r>
      <w:r w:rsidRPr="00890D42">
        <w:t xml:space="preserve"> (</w:t>
      </w:r>
      <w:r>
        <w:t>July 29,</w:t>
      </w:r>
      <w:r w:rsidRPr="00890D42">
        <w:t xml:space="preserve"> 200</w:t>
      </w:r>
      <w:r>
        <w:t>9</w:t>
      </w:r>
      <w:r w:rsidRPr="00890D42">
        <w:t>)</w:t>
      </w:r>
      <w:r>
        <w:t>;</w:t>
      </w:r>
      <w:r w:rsidRPr="008A6C23">
        <w:t xml:space="preserve"> http://www.mass.gov/Eoeea/docs/doer/rps/rps-2008annual-rpt.pdf</w:t>
      </w:r>
      <w:r>
        <w:t>.</w:t>
      </w:r>
    </w:p>
  </w:footnote>
  <w:footnote w:id="253">
    <w:p w:rsidR="003C78A4" w:rsidRDefault="003C78A4" w:rsidP="00EC0545">
      <w:pPr>
        <w:pStyle w:val="FootnoteText"/>
      </w:pPr>
      <w:r>
        <w:rPr>
          <w:rStyle w:val="FootnoteReference"/>
        </w:rPr>
        <w:footnoteRef/>
      </w:r>
      <w:r w:rsidRPr="00890D42">
        <w:t xml:space="preserve"> The ISO’s Renewable Portfolio Standard projection calculator provides regional goals and electric energy production by renewable resource type. Users can insert their own input assumptions in these spreadsheets, which are available at http://www.iso-ne.com/committees/comm_wkgrps/prtcpnts_comm/eag/usr_sprdshts/index.html.</w:t>
      </w:r>
    </w:p>
  </w:footnote>
  <w:footnote w:id="254">
    <w:p w:rsidR="003C78A4" w:rsidRDefault="003C78A4" w:rsidP="00EC0545">
      <w:pPr>
        <w:pStyle w:val="FootnoteText"/>
      </w:pPr>
      <w:r w:rsidRPr="007B7547">
        <w:rPr>
          <w:rStyle w:val="FootnoteReference"/>
        </w:rPr>
        <w:footnoteRef/>
      </w:r>
      <w:r w:rsidRPr="007B7547">
        <w:t xml:space="preserve"> New England h</w:t>
      </w:r>
      <w:r w:rsidRPr="009C15A9">
        <w:t>as</w:t>
      </w:r>
      <w:r w:rsidRPr="007B7547">
        <w:t xml:space="preserve"> the potential for developing over 215 GW of wind generation (see Section </w:t>
      </w:r>
      <w:fldSimple w:instr=" REF _Ref266559772 \r \h  \* MERGEFORMAT ">
        <w:r w:rsidR="00E5699E">
          <w:t>9.3</w:t>
        </w:r>
      </w:fldSimple>
      <w:r w:rsidRPr="007B7547">
        <w:t xml:space="preserve">). New England </w:t>
      </w:r>
      <w:r w:rsidRPr="009C15A9">
        <w:t>also</w:t>
      </w:r>
      <w:r>
        <w:rPr>
          <w:i/>
        </w:rPr>
        <w:t xml:space="preserve"> </w:t>
      </w:r>
      <w:r w:rsidRPr="007B7547">
        <w:t xml:space="preserve">has cooperated regionally to promote the development of renewables and import them from the neighboring Canadian provinces (see Section </w:t>
      </w:r>
      <w:fldSimple w:instr=" REF _Ref266560251 \r \h  \* MERGEFORMAT ">
        <w:r w:rsidR="00E5699E">
          <w:t>12.2.2</w:t>
        </w:r>
      </w:fldSimple>
      <w:r w:rsidRPr="007B7547">
        <w:t>)</w:t>
      </w:r>
      <w:r>
        <w:t xml:space="preserve">. </w:t>
      </w:r>
    </w:p>
  </w:footnote>
  <w:footnote w:id="255">
    <w:p w:rsidR="003C78A4" w:rsidRDefault="003C78A4" w:rsidP="00EC0545">
      <w:pPr>
        <w:pStyle w:val="FootnoteText"/>
      </w:pPr>
      <w:r>
        <w:rPr>
          <w:rStyle w:val="FootnoteReference"/>
        </w:rPr>
        <w:footnoteRef/>
      </w:r>
      <w:r w:rsidRPr="00890D42">
        <w:t xml:space="preserve"> A more detailed discussion of smart grid technology is available at the IEEE Smart Grid Web site</w:t>
      </w:r>
      <w:r>
        <w:t xml:space="preserve"> (2010)</w:t>
      </w:r>
      <w:r w:rsidRPr="00890D42">
        <w:t>; http://smartgrid.ieee.org/.</w:t>
      </w:r>
    </w:p>
  </w:footnote>
  <w:footnote w:id="256">
    <w:p w:rsidR="003C78A4" w:rsidRDefault="003C78A4" w:rsidP="00EC0545">
      <w:pPr>
        <w:pStyle w:val="FootnoteText"/>
      </w:pPr>
      <w:r w:rsidRPr="00AE2B4B">
        <w:rPr>
          <w:rStyle w:val="FootnoteReference"/>
        </w:rPr>
        <w:footnoteRef/>
      </w:r>
      <w:r w:rsidRPr="00987991">
        <w:t xml:space="preserve"> </w:t>
      </w:r>
      <w:r>
        <w:t xml:space="preserve">U.S. Congress, </w:t>
      </w:r>
      <w:r w:rsidRPr="009C15A9">
        <w:rPr>
          <w:i/>
        </w:rPr>
        <w:t>Energy Independence and Security Act of 2007</w:t>
      </w:r>
      <w:r>
        <w:rPr>
          <w:i/>
        </w:rPr>
        <w:t xml:space="preserve"> </w:t>
      </w:r>
      <w:r>
        <w:t>(</w:t>
      </w:r>
      <w:r w:rsidRPr="00AE2B4B">
        <w:t>January 4, 2007</w:t>
      </w:r>
      <w:r>
        <w:t>)</w:t>
      </w:r>
      <w:r w:rsidRPr="00AE2B4B">
        <w:t>; http://frwebgate.access.gpo.gov/cgi-bin/getdoc.cgi?dbname=110_cong_bills&amp;docid=f:h6enr.txt.pdf.</w:t>
      </w:r>
    </w:p>
  </w:footnote>
  <w:footnote w:id="257">
    <w:p w:rsidR="003C78A4" w:rsidRDefault="003C78A4" w:rsidP="00EC0545">
      <w:pPr>
        <w:pStyle w:val="FootnoteText"/>
      </w:pPr>
      <w:r w:rsidRPr="00AE2B4B">
        <w:rPr>
          <w:rStyle w:val="FootnoteReference"/>
        </w:rPr>
        <w:footnoteRef/>
      </w:r>
      <w:r w:rsidRPr="00AE2B4B">
        <w:t xml:space="preserve"> </w:t>
      </w:r>
      <w:r w:rsidRPr="00AE2B4B">
        <w:rPr>
          <w:rStyle w:val="FoonoteTextChar"/>
          <w:i/>
        </w:rPr>
        <w:t xml:space="preserve">Preventing Undue Discrimination and Preference in Transmission Service, </w:t>
      </w:r>
      <w:r w:rsidRPr="0053057C">
        <w:rPr>
          <w:rStyle w:val="FoonoteTextChar"/>
        </w:rPr>
        <w:t>Final Rule,</w:t>
      </w:r>
      <w:r w:rsidRPr="00987991">
        <w:rPr>
          <w:rStyle w:val="FoonoteTextChar"/>
        </w:rPr>
        <w:t xml:space="preserve"> </w:t>
      </w:r>
      <w:r>
        <w:rPr>
          <w:rStyle w:val="FoonoteTextChar"/>
        </w:rPr>
        <w:t xml:space="preserve">FERC </w:t>
      </w:r>
      <w:r w:rsidRPr="00987991">
        <w:rPr>
          <w:rStyle w:val="FoonoteTextChar"/>
        </w:rPr>
        <w:t>Order No. 890</w:t>
      </w:r>
      <w:r>
        <w:rPr>
          <w:rStyle w:val="FoonoteTextChar"/>
        </w:rPr>
        <w:t>,</w:t>
      </w:r>
      <w:r w:rsidRPr="00987991">
        <w:rPr>
          <w:rStyle w:val="FoonoteTextChar"/>
        </w:rPr>
        <w:t xml:space="preserve"> Docket Nos. RM05-17-000 and RM05-25-000 (February 16, 2007)</w:t>
      </w:r>
      <w:r>
        <w:rPr>
          <w:rStyle w:val="FoonoteTextChar"/>
        </w:rPr>
        <w:t>;</w:t>
      </w:r>
      <w:r w:rsidRPr="00987991">
        <w:rPr>
          <w:rStyle w:val="FoonoteTextChar"/>
        </w:rPr>
        <w:t xml:space="preserve"> </w:t>
      </w:r>
      <w:hyperlink r:id="rId79" w:history="1">
        <w:r w:rsidRPr="00987991">
          <w:rPr>
            <w:rStyle w:val="FoonoteTextChar"/>
          </w:rPr>
          <w:t>http://www.ferc.gov/whats-new/comm-meet/2007/021507/E-1.pdf</w:t>
        </w:r>
      </w:hyperlink>
      <w:r w:rsidRPr="00987991">
        <w:rPr>
          <w:i/>
        </w:rPr>
        <w:t xml:space="preserve">. </w:t>
      </w:r>
      <w:r w:rsidRPr="006117FB">
        <w:t>“Alternative Technology Regulation Pilot Program Frequently Asked Questions” Web page</w:t>
      </w:r>
      <w:r w:rsidRPr="00987991">
        <w:rPr>
          <w:i/>
        </w:rPr>
        <w:t xml:space="preserve"> </w:t>
      </w:r>
      <w:r w:rsidRPr="0053057C">
        <w:t>(2009);</w:t>
      </w:r>
      <w:r w:rsidRPr="00987991">
        <w:rPr>
          <w:i/>
        </w:rPr>
        <w:t xml:space="preserve"> </w:t>
      </w:r>
      <w:r w:rsidRPr="00D9061A">
        <w:t>http://www.iso-ne.com/support/faq/atr/index.html</w:t>
      </w:r>
      <w:r w:rsidRPr="00987991">
        <w:t>.</w:t>
      </w:r>
    </w:p>
  </w:footnote>
  <w:footnote w:id="258">
    <w:p w:rsidR="003C78A4" w:rsidRDefault="003C78A4" w:rsidP="00EC0545">
      <w:pPr>
        <w:pStyle w:val="FootnoteText"/>
      </w:pPr>
      <w:r w:rsidRPr="00AE2B4B">
        <w:rPr>
          <w:rStyle w:val="FootnoteReference"/>
        </w:rPr>
        <w:footnoteRef/>
      </w:r>
      <w:r w:rsidRPr="00AE2B4B">
        <w:t xml:space="preserve"> Beacon Power has installed 2 MW of flywheels, which have provided regulation services from a location in Tyngsboro, Massachusetts. </w:t>
      </w:r>
      <w:r w:rsidRPr="0053057C">
        <w:t>“Beacon Power Connects Second Megawatt of Regulation Service</w:t>
      </w:r>
      <w:r>
        <w:t>,</w:t>
      </w:r>
      <w:r w:rsidRPr="0053057C">
        <w:t>”</w:t>
      </w:r>
      <w:r w:rsidRPr="00AE2B4B">
        <w:t xml:space="preserve"> </w:t>
      </w:r>
      <w:r w:rsidRPr="0053057C">
        <w:rPr>
          <w:i/>
        </w:rPr>
        <w:t>Business Wire</w:t>
      </w:r>
      <w:r>
        <w:t xml:space="preserve"> (</w:t>
      </w:r>
      <w:r w:rsidRPr="00AE2B4B">
        <w:t xml:space="preserve">July 20, 2009); </w:t>
      </w:r>
      <w:hyperlink r:id="rId80" w:history="1">
        <w:r w:rsidRPr="008B6614">
          <w:rPr>
            <w:rStyle w:val="Hyperlink"/>
            <w:color w:val="000000" w:themeColor="text1"/>
            <w:u w:val="none"/>
          </w:rPr>
          <w:t>http://www.businesswire.com/portal/site/home/permalink/?ndmViewId=news_view&amp;newsId=20090720005598&amp;newsLang=en</w:t>
        </w:r>
      </w:hyperlink>
      <w:r w:rsidRPr="008B6614">
        <w:rPr>
          <w:color w:val="000000" w:themeColor="text1"/>
        </w:rPr>
        <w:t>.</w:t>
      </w:r>
      <w:r w:rsidRPr="00AE2B4B">
        <w:t xml:space="preserve"> V2G technology involves electric vehicles that can store electric energy and supply it for electric energy or ancillary services (e.g., regulation services and spinning reserves).</w:t>
      </w:r>
    </w:p>
  </w:footnote>
  <w:footnote w:id="259">
    <w:p w:rsidR="003C78A4" w:rsidRDefault="003C78A4" w:rsidP="00EC0545">
      <w:pPr>
        <w:pStyle w:val="FootnoteText"/>
      </w:pPr>
      <w:r w:rsidRPr="00AE2B4B">
        <w:rPr>
          <w:rStyle w:val="FootnoteReference"/>
        </w:rPr>
        <w:footnoteRef/>
      </w:r>
      <w:r w:rsidRPr="00AE2B4B">
        <w:t xml:space="preserve"> As of May 3, 2010, the five PMUs were located at Orrington, ME; Scobie Pond, NH</w:t>
      </w:r>
      <w:r>
        <w:t>; and</w:t>
      </w:r>
      <w:r w:rsidRPr="00AE2B4B">
        <w:t xml:space="preserve"> Pequonnock, Manchester, </w:t>
      </w:r>
      <w:r>
        <w:t xml:space="preserve">and </w:t>
      </w:r>
      <w:r w:rsidRPr="00AE2B4B">
        <w:t>Long Mountain, CT.</w:t>
      </w:r>
    </w:p>
  </w:footnote>
  <w:footnote w:id="260">
    <w:p w:rsidR="003C78A4" w:rsidRDefault="003C78A4">
      <w:pPr>
        <w:pStyle w:val="NormalWeb"/>
        <w:spacing w:before="0" w:beforeAutospacing="0" w:after="80" w:afterAutospacing="0"/>
        <w:rPr>
          <w:sz w:val="18"/>
          <w:szCs w:val="18"/>
        </w:rPr>
      </w:pPr>
      <w:r>
        <w:rPr>
          <w:rStyle w:val="FootnoteReference"/>
          <w:szCs w:val="18"/>
        </w:rPr>
        <w:footnoteRef/>
      </w:r>
      <w:r w:rsidRPr="00987991">
        <w:rPr>
          <w:sz w:val="18"/>
          <w:szCs w:val="18"/>
        </w:rPr>
        <w:t xml:space="preserve"> The IEEE defines FACTS as </w:t>
      </w:r>
      <w:r>
        <w:rPr>
          <w:sz w:val="18"/>
          <w:szCs w:val="18"/>
        </w:rPr>
        <w:t xml:space="preserve">flexible </w:t>
      </w:r>
      <w:r w:rsidRPr="007B7547">
        <w:rPr>
          <w:sz w:val="18"/>
          <w:szCs w:val="18"/>
        </w:rPr>
        <w:t xml:space="preserve">alternating-current transmission systems that incorporate power electronics-based controllers and other static controllers to enhance controllability and power-transfer capability. See </w:t>
      </w:r>
      <w:hyperlink r:id="rId81" w:history="1">
        <w:r w:rsidRPr="007B7547">
          <w:rPr>
            <w:rStyle w:val="Hyperlink"/>
            <w:color w:val="auto"/>
            <w:sz w:val="18"/>
            <w:szCs w:val="18"/>
            <w:u w:val="none"/>
          </w:rPr>
          <w:t>http://www.ieee-pes.org/nari-hingorani-facts-award</w:t>
        </w:r>
      </w:hyperlink>
      <w:r w:rsidRPr="007B7547">
        <w:rPr>
          <w:sz w:val="18"/>
          <w:szCs w:val="18"/>
        </w:rPr>
        <w:t>.</w:t>
      </w:r>
      <w:r w:rsidRPr="00987991">
        <w:rPr>
          <w:sz w:val="18"/>
          <w:szCs w:val="18"/>
        </w:rPr>
        <w:t xml:space="preserve"> </w:t>
      </w:r>
    </w:p>
  </w:footnote>
  <w:footnote w:id="261">
    <w:p w:rsidR="003C78A4" w:rsidRDefault="003C78A4" w:rsidP="00EC0545">
      <w:pPr>
        <w:pStyle w:val="FootnoteText"/>
      </w:pPr>
      <w:r w:rsidRPr="00AE2B4B">
        <w:rPr>
          <w:rStyle w:val="FootnoteReference"/>
        </w:rPr>
        <w:footnoteRef/>
      </w:r>
      <w:r w:rsidRPr="00AE2B4B">
        <w:t xml:space="preserve"> Michael Henderson and Donald Ramey, “Planning Issues for FACTS,” presentation at the IEEE Power Engineering Society General Meeting</w:t>
      </w:r>
      <w:r>
        <w:t>,</w:t>
      </w:r>
      <w:r w:rsidRPr="00AE2B4B">
        <w:t xml:space="preserve"> Tampa</w:t>
      </w:r>
      <w:r>
        <w:t xml:space="preserve"> (</w:t>
      </w:r>
      <w:r w:rsidRPr="00AE2B4B">
        <w:t>June 2007). Also see “Transmission System Application Requirements for FACTS Controllers Special Publication 06TP178,” produced by the IEEE Power Engineering Society Working Group 15.05.13.</w:t>
      </w:r>
    </w:p>
  </w:footnote>
  <w:footnote w:id="262">
    <w:p w:rsidR="003C78A4" w:rsidRDefault="003C78A4" w:rsidP="00EC0545">
      <w:pPr>
        <w:pStyle w:val="FootnoteText"/>
      </w:pPr>
      <w:r w:rsidRPr="007B7547">
        <w:rPr>
          <w:rStyle w:val="FootnoteReference"/>
        </w:rPr>
        <w:footnoteRef/>
      </w:r>
      <w:r w:rsidRPr="007B7547">
        <w:t xml:space="preserve"> Customers may become fatigued with frequent operation as a demand-response resource</w:t>
      </w:r>
      <w:r w:rsidRPr="007B7547">
        <w:rPr>
          <w:i/>
        </w:rPr>
        <w:t xml:space="preserve"> </w:t>
      </w:r>
      <w:r w:rsidRPr="007B7547">
        <w:t>and not want</w:t>
      </w:r>
      <w:r w:rsidRPr="007B7547">
        <w:rPr>
          <w:i/>
        </w:rPr>
        <w:t xml:space="preserve"> </w:t>
      </w:r>
      <w:r w:rsidRPr="007B7547">
        <w:t>to respond when required. For example, a customer in the business of making a product may prefer fulfill</w:t>
      </w:r>
      <w:r>
        <w:t>ing</w:t>
      </w:r>
      <w:r w:rsidRPr="007B7547">
        <w:t xml:space="preserve"> an order rather than repeatedly reducing energy consumption and delaying production.</w:t>
      </w:r>
    </w:p>
  </w:footnote>
  <w:footnote w:id="263">
    <w:p w:rsidR="003C78A4" w:rsidRDefault="003C78A4" w:rsidP="00EC0545">
      <w:pPr>
        <w:pStyle w:val="FootnoteText"/>
      </w:pPr>
      <w:r>
        <w:rPr>
          <w:rStyle w:val="FootnoteReference"/>
        </w:rPr>
        <w:footnoteRef/>
      </w:r>
      <w:r w:rsidRPr="00890D42">
        <w:t xml:space="preserve"> </w:t>
      </w:r>
      <w:r w:rsidRPr="003E1466">
        <w:rPr>
          <w:i/>
          <w:lang w:val="en-GB"/>
        </w:rPr>
        <w:t>Gross-up rules</w:t>
      </w:r>
      <w:r w:rsidRPr="00890D42">
        <w:rPr>
          <w:lang w:val="en-GB"/>
        </w:rPr>
        <w:t xml:space="preserve"> give credit for customer actions that both reduce load at the customer’s meter and reduce power system losses.</w:t>
      </w:r>
    </w:p>
  </w:footnote>
  <w:footnote w:id="264">
    <w:p w:rsidR="003C78A4" w:rsidRDefault="003C78A4" w:rsidP="00EC0545">
      <w:pPr>
        <w:pStyle w:val="FootnoteText"/>
      </w:pPr>
      <w:r>
        <w:rPr>
          <w:rStyle w:val="FootnoteReference"/>
        </w:rPr>
        <w:footnoteRef/>
      </w:r>
      <w:r w:rsidRPr="00890D42">
        <w:t xml:space="preserve"> ISO New England Inc. and New England Power </w:t>
      </w:r>
      <w:r w:rsidRPr="006117FB">
        <w:t xml:space="preserve">Pool </w:t>
      </w:r>
      <w:r w:rsidRPr="00DA6A1E">
        <w:t xml:space="preserve">FERC </w:t>
      </w:r>
      <w:r>
        <w:t>F</w:t>
      </w:r>
      <w:r w:rsidRPr="00DA6A1E">
        <w:t>iling</w:t>
      </w:r>
      <w:r w:rsidRPr="00890D42">
        <w:t>, Tariff Revisions Regarding Elimination of the Reserve Margin Gross-Up for Demand Resources, FERC Docket No. ER09-___-000 (October 31, 2008);</w:t>
      </w:r>
      <w:r>
        <w:br/>
      </w:r>
      <w:r w:rsidRPr="00890D42">
        <w:t>http://www.iso-ne.com/regulatory/ferc/filings/2008/oct/er09-209-000_10-31-08_dr_gross-up_filing.pdf.</w:t>
      </w:r>
    </w:p>
  </w:footnote>
  <w:footnote w:id="265">
    <w:p w:rsidR="003C78A4" w:rsidRDefault="003C78A4">
      <w:pPr>
        <w:spacing w:after="80" w:line="240" w:lineRule="auto"/>
        <w:rPr>
          <w:rFonts w:cs="Times New Roman"/>
          <w:sz w:val="18"/>
          <w:szCs w:val="18"/>
        </w:rPr>
      </w:pPr>
      <w:r>
        <w:rPr>
          <w:rStyle w:val="FootnoteReference"/>
          <w:szCs w:val="18"/>
        </w:rPr>
        <w:footnoteRef/>
      </w:r>
      <w:r>
        <w:rPr>
          <w:rFonts w:cs="Times New Roman"/>
          <w:sz w:val="18"/>
          <w:szCs w:val="18"/>
        </w:rPr>
        <w:t xml:space="preserve"> </w:t>
      </w:r>
      <w:r w:rsidRPr="00987991">
        <w:rPr>
          <w:rFonts w:cs="Times New Roman"/>
          <w:sz w:val="18"/>
          <w:szCs w:val="18"/>
        </w:rPr>
        <w:t xml:space="preserve">For more information, see </w:t>
      </w:r>
      <w:r>
        <w:rPr>
          <w:rStyle w:val="Hyperlink"/>
          <w:rFonts w:eastAsia="Times New Roman" w:cs="Times New Roman"/>
          <w:color w:val="auto"/>
          <w:sz w:val="18"/>
          <w:szCs w:val="18"/>
          <w:u w:val="none"/>
        </w:rPr>
        <w:t xml:space="preserve">ISO New England Operating Procedure No. 4, </w:t>
      </w:r>
      <w:r>
        <w:rPr>
          <w:rStyle w:val="Hyperlink"/>
          <w:rFonts w:cs="Times New Roman"/>
          <w:i/>
          <w:color w:val="auto"/>
          <w:sz w:val="18"/>
          <w:szCs w:val="18"/>
          <w:u w:val="none"/>
        </w:rPr>
        <w:t>Action during a Capacity Deficiency</w:t>
      </w:r>
      <w:r>
        <w:rPr>
          <w:rStyle w:val="Hyperlink"/>
          <w:rFonts w:cs="Times New Roman"/>
          <w:color w:val="auto"/>
          <w:sz w:val="18"/>
          <w:szCs w:val="18"/>
          <w:u w:val="none"/>
        </w:rPr>
        <w:t xml:space="preserve"> (April 29, 2010)</w:t>
      </w:r>
      <w:r w:rsidRPr="00987991">
        <w:rPr>
          <w:rFonts w:cs="Times New Roman"/>
          <w:sz w:val="18"/>
          <w:szCs w:val="18"/>
        </w:rPr>
        <w:t xml:space="preserve">; </w:t>
      </w:r>
      <w:hyperlink r:id="rId82" w:history="1">
        <w:r>
          <w:rPr>
            <w:rStyle w:val="Hyperlink"/>
            <w:rFonts w:cs="Times New Roman"/>
            <w:color w:val="auto"/>
            <w:sz w:val="18"/>
            <w:szCs w:val="18"/>
            <w:u w:val="none"/>
          </w:rPr>
          <w:t>http://www.iso-ne.com/rules_proceds/operating/future_fcm/op4_fcm_draft.pdf</w:t>
        </w:r>
      </w:hyperlink>
      <w:r w:rsidRPr="00987991">
        <w:rPr>
          <w:rFonts w:cs="Times New Roman"/>
          <w:sz w:val="18"/>
          <w:szCs w:val="18"/>
        </w:rPr>
        <w:t>.</w:t>
      </w:r>
    </w:p>
  </w:footnote>
  <w:footnote w:id="266">
    <w:p w:rsidR="003C78A4" w:rsidRDefault="003C78A4" w:rsidP="00EC0545">
      <w:pPr>
        <w:pStyle w:val="FootnoteText"/>
      </w:pPr>
      <w:r>
        <w:rPr>
          <w:rStyle w:val="FootnoteReference"/>
        </w:rPr>
        <w:footnoteRef/>
      </w:r>
      <w:r w:rsidRPr="00890D42">
        <w:t xml:space="preserve"> See the </w:t>
      </w:r>
      <w:r w:rsidRPr="00890D42">
        <w:rPr>
          <w:i/>
        </w:rPr>
        <w:t>2009 Northeast Coordinated System Plan</w:t>
      </w:r>
      <w:r>
        <w:t>,</w:t>
      </w:r>
      <w:r w:rsidRPr="00890D42">
        <w:t xml:space="preserve"> </w:t>
      </w:r>
      <w:r>
        <w:t xml:space="preserve">Chapter 8 </w:t>
      </w:r>
      <w:r w:rsidRPr="00890D42">
        <w:t>(May 24, 2010) for a summary of wind integration studies and issues; http://www.iso-ne.com/committees/comm_wkgrps/othr/ipsac/ncsp/2010/ncsp09final.pdf.</w:t>
      </w:r>
    </w:p>
  </w:footnote>
  <w:footnote w:id="267">
    <w:p w:rsidR="003C78A4" w:rsidRDefault="003C78A4" w:rsidP="00EC0545">
      <w:pPr>
        <w:pStyle w:val="FootnoteText"/>
      </w:pPr>
      <w:r w:rsidRPr="00AE2B4B">
        <w:rPr>
          <w:rStyle w:val="FootnoteReference"/>
        </w:rPr>
        <w:footnoteRef/>
      </w:r>
      <w:r w:rsidRPr="00AE2B4B">
        <w:t xml:space="preserve"> </w:t>
      </w:r>
      <w:r>
        <w:t xml:space="preserve">NERC, </w:t>
      </w:r>
      <w:r w:rsidRPr="007B7547">
        <w:rPr>
          <w:i/>
        </w:rPr>
        <w:t>Special Report: Accommodating High Levels of Variable Generation</w:t>
      </w:r>
      <w:r w:rsidRPr="00987991">
        <w:t xml:space="preserve"> </w:t>
      </w:r>
      <w:r w:rsidRPr="00AE2B4B">
        <w:t>(April 2009)</w:t>
      </w:r>
      <w:r>
        <w:t xml:space="preserve">; </w:t>
      </w:r>
      <w:r w:rsidRPr="007433DD">
        <w:t>http://www.nerc.com/files/IVGTF_Report_041609.pdf</w:t>
      </w:r>
      <w:r>
        <w:t>.</w:t>
      </w:r>
    </w:p>
  </w:footnote>
  <w:footnote w:id="268">
    <w:p w:rsidR="003C78A4" w:rsidRDefault="003C78A4" w:rsidP="00EC0545">
      <w:pPr>
        <w:pStyle w:val="FootnoteText"/>
      </w:pPr>
      <w:r w:rsidRPr="00AE2B4B">
        <w:rPr>
          <w:rStyle w:val="FootnoteReference"/>
        </w:rPr>
        <w:footnoteRef/>
      </w:r>
      <w:r w:rsidRPr="00AE2B4B">
        <w:t xml:space="preserve"> IVGTF materials are posted at </w:t>
      </w:r>
      <w:hyperlink r:id="rId83" w:history="1">
        <w:r w:rsidRPr="00AE2B4B">
          <w:rPr>
            <w:rStyle w:val="Hyperlink"/>
            <w:color w:val="auto"/>
            <w:u w:val="none"/>
          </w:rPr>
          <w:t>http://www.nerc.com/filez/ivgtf.html</w:t>
        </w:r>
      </w:hyperlink>
      <w:r w:rsidRPr="00AE2B4B">
        <w:t xml:space="preserve">. </w:t>
      </w:r>
    </w:p>
  </w:footnote>
  <w:footnote w:id="269">
    <w:p w:rsidR="003C78A4" w:rsidRDefault="003C78A4" w:rsidP="00EC0545">
      <w:pPr>
        <w:pStyle w:val="FootnoteText"/>
      </w:pPr>
      <w:r w:rsidRPr="00AE2B4B">
        <w:rPr>
          <w:rStyle w:val="FootnoteReference"/>
        </w:rPr>
        <w:footnoteRef/>
      </w:r>
      <w:r w:rsidRPr="00987991">
        <w:t xml:space="preserve"> </w:t>
      </w:r>
      <w:r>
        <w:t xml:space="preserve">ISO/RTO Council, </w:t>
      </w:r>
      <w:r w:rsidRPr="000A5734">
        <w:rPr>
          <w:i/>
        </w:rPr>
        <w:t>Variable Energy Resources, System Operation and Wholesale Markets</w:t>
      </w:r>
      <w:r>
        <w:rPr>
          <w:i/>
        </w:rPr>
        <w:t xml:space="preserve">, </w:t>
      </w:r>
      <w:r w:rsidRPr="00AE2B4B">
        <w:t xml:space="preserve">white paper (April 12, 2010); </w:t>
      </w:r>
      <w:hyperlink r:id="rId84" w:history="1">
        <w:r w:rsidRPr="00AE2B4B">
          <w:t>http://www.iso-ne.com/regulatory/ferc/filings/2010/apr/rm10-11-000_4-12-10_irc_ver_comments.pdf</w:t>
        </w:r>
      </w:hyperlink>
      <w:r w:rsidRPr="00AE2B4B">
        <w:t>.</w:t>
      </w:r>
    </w:p>
  </w:footnote>
  <w:footnote w:id="270">
    <w:p w:rsidR="003C78A4" w:rsidRDefault="003C78A4" w:rsidP="00EC0545">
      <w:pPr>
        <w:pStyle w:val="FootnoteText"/>
      </w:pPr>
      <w:r w:rsidRPr="00AE2B4B">
        <w:rPr>
          <w:rStyle w:val="FootnoteReference"/>
        </w:rPr>
        <w:footnoteRef/>
      </w:r>
      <w:r w:rsidRPr="00AE2B4B">
        <w:t xml:space="preserve"> </w:t>
      </w:r>
      <w:r w:rsidRPr="000A5734">
        <w:rPr>
          <w:i/>
        </w:rPr>
        <w:t>Load-following regulation</w:t>
      </w:r>
      <w:r w:rsidRPr="00AE2B4B">
        <w:t xml:space="preserve"> adjusts generators minute by minute to meet continuous changes in load demand. Reserve requirements account for the loss of any generating facility, including variable generation, and sudden reductions in production by variable generation (see </w:t>
      </w:r>
      <w:fldSimple w:instr=" REF _Ref266557523 \r \h  \* MERGEFORMAT ">
        <w:r w:rsidR="00E5699E">
          <w:t>Section 5</w:t>
        </w:r>
      </w:fldSimple>
      <w:r w:rsidRPr="00AE2B4B">
        <w:t>).</w:t>
      </w:r>
    </w:p>
  </w:footnote>
  <w:footnote w:id="271">
    <w:p w:rsidR="003C78A4" w:rsidRDefault="003C78A4" w:rsidP="00EC0545">
      <w:pPr>
        <w:pStyle w:val="FootnoteText"/>
      </w:pPr>
      <w:r w:rsidRPr="007B7547">
        <w:rPr>
          <w:rStyle w:val="FootnoteReference"/>
        </w:rPr>
        <w:footnoteRef/>
      </w:r>
      <w:r w:rsidRPr="007B7547">
        <w:t xml:space="preserve"> The 3,100 MW of wind includes wind projects in the queue, including affected non-FERC queue projects, as of April 1, 2010</w:t>
      </w:r>
      <w:r>
        <w:t xml:space="preserve">. </w:t>
      </w:r>
    </w:p>
  </w:footnote>
  <w:footnote w:id="272">
    <w:p w:rsidR="003C78A4" w:rsidRDefault="003C78A4" w:rsidP="00EC0545">
      <w:pPr>
        <w:pStyle w:val="FootnoteText"/>
      </w:pPr>
      <w:r w:rsidRPr="007B7547">
        <w:rPr>
          <w:rStyle w:val="FootnoteReference"/>
        </w:rPr>
        <w:footnoteRef/>
      </w:r>
      <w:r w:rsidRPr="007B7547">
        <w:t xml:space="preserve"> </w:t>
      </w:r>
      <w:r w:rsidRPr="000A5734">
        <w:rPr>
          <w:i/>
        </w:rPr>
        <w:t>2009 Northeast Coordinated System Plan</w:t>
      </w:r>
      <w:r w:rsidRPr="007B7547">
        <w:t xml:space="preserve"> (May 24, 2010);</w:t>
      </w:r>
      <w:r>
        <w:br/>
      </w:r>
      <w:r w:rsidRPr="007B7547">
        <w:t>http://iso-ne.com/committees/comm_wkgrps/othr/ipsac/ncsp/index.html.</w:t>
      </w:r>
      <w:r w:rsidRPr="00C323B0">
        <w:t xml:space="preserve"> </w:t>
      </w:r>
    </w:p>
  </w:footnote>
  <w:footnote w:id="273">
    <w:p w:rsidR="003C78A4" w:rsidRDefault="003C78A4" w:rsidP="00EC0545">
      <w:pPr>
        <w:pStyle w:val="FootnoteText"/>
      </w:pPr>
      <w:r>
        <w:rPr>
          <w:rStyle w:val="FootnoteReference"/>
        </w:rPr>
        <w:footnoteRef/>
      </w:r>
      <w:r w:rsidRPr="00890D42">
        <w:t xml:space="preserve"> The RFP is available at </w:t>
      </w:r>
      <w:hyperlink r:id="rId85" w:history="1">
        <w:r w:rsidRPr="00890D42">
          <w:rPr>
            <w:rStyle w:val="Hyperlink"/>
            <w:color w:val="auto"/>
            <w:u w:val="none"/>
          </w:rPr>
          <w:t>http://www.iso-ne.com/aboutiso/vendor/exhibits/index.html</w:t>
        </w:r>
      </w:hyperlink>
      <w:r w:rsidRPr="00890D42">
        <w:t xml:space="preserve">. </w:t>
      </w:r>
    </w:p>
  </w:footnote>
  <w:footnote w:id="274">
    <w:p w:rsidR="003C78A4" w:rsidRDefault="003C78A4" w:rsidP="00EC0545">
      <w:pPr>
        <w:pStyle w:val="FootnoteText"/>
      </w:pPr>
      <w:r>
        <w:rPr>
          <w:rStyle w:val="FootnoteReference"/>
        </w:rPr>
        <w:footnoteRef/>
      </w:r>
      <w:r w:rsidRPr="00890D42">
        <w:t xml:space="preserve"> The NEWIS methodology is discussed in more detail in RSP09; http://www.iso-ne.com/trans/rsp/2009/rsp09_final.pdf.</w:t>
      </w:r>
    </w:p>
  </w:footnote>
  <w:footnote w:id="275">
    <w:p w:rsidR="003C78A4" w:rsidRDefault="003C78A4" w:rsidP="00EC0545">
      <w:pPr>
        <w:pStyle w:val="FootnoteText"/>
      </w:pPr>
      <w:r>
        <w:rPr>
          <w:rStyle w:val="FootnoteReference"/>
        </w:rPr>
        <w:footnoteRef/>
      </w:r>
      <w:r w:rsidRPr="00890D42">
        <w:t xml:space="preserve"> See NEWIS materials at the PAC materials Web sites for December 17, 2008; June 17, August 18, and November 18, 2009; and January 21 and May 25</w:t>
      </w:r>
      <w:r>
        <w:t>,</w:t>
      </w:r>
      <w:r w:rsidRPr="00890D42">
        <w:t xml:space="preserve"> 2010; </w:t>
      </w:r>
      <w:hyperlink r:id="rId86" w:history="1">
        <w:r w:rsidRPr="00890D42">
          <w:rPr>
            <w:rStyle w:val="Hyperlink"/>
            <w:color w:val="000000" w:themeColor="text1"/>
            <w:u w:val="none"/>
          </w:rPr>
          <w:t>http://www.iso-ne.com/committees/comm_wkgrps/prtcpnts_comm/pac/mtrls/index.html</w:t>
        </w:r>
      </w:hyperlink>
      <w:r w:rsidRPr="00890D42">
        <w:t>.</w:t>
      </w:r>
    </w:p>
  </w:footnote>
  <w:footnote w:id="276">
    <w:p w:rsidR="003C78A4" w:rsidRDefault="003C78A4" w:rsidP="00EC0545">
      <w:pPr>
        <w:pStyle w:val="FootnoteText"/>
      </w:pPr>
      <w:r w:rsidRPr="007B7547">
        <w:rPr>
          <w:rStyle w:val="FootnoteReference"/>
          <w:color w:val="000000" w:themeColor="text1"/>
        </w:rPr>
        <w:footnoteRef/>
      </w:r>
      <w:r w:rsidRPr="007B7547">
        <w:t xml:space="preserve"> GE Energy Application and Systems Engineering, et al</w:t>
      </w:r>
      <w:r>
        <w:t xml:space="preserve">, </w:t>
      </w:r>
      <w:hyperlink r:id="rId87" w:history="1">
        <w:r w:rsidRPr="007B7547">
          <w:rPr>
            <w:rStyle w:val="Hyperlink"/>
            <w:i/>
            <w:color w:val="000000" w:themeColor="text1"/>
            <w:u w:val="none"/>
          </w:rPr>
          <w:t>Technical Requirements for Wind Generation Interconnection and Integration</w:t>
        </w:r>
      </w:hyperlink>
      <w:r w:rsidRPr="007B7547">
        <w:t xml:space="preserve"> (November 3, 2009);</w:t>
      </w:r>
      <w:r>
        <w:br/>
      </w:r>
      <w:r w:rsidRPr="007B7547">
        <w:t>http://iso-ne.com/committees/comm_wkgrps/prtcpnts_comm/pac/reports/2009/newis_report.pdf.</w:t>
      </w:r>
    </w:p>
  </w:footnote>
  <w:footnote w:id="277">
    <w:p w:rsidR="003C78A4" w:rsidRDefault="003C78A4" w:rsidP="00EC0545">
      <w:pPr>
        <w:pStyle w:val="FootnoteText"/>
      </w:pPr>
      <w:r w:rsidRPr="007B7547">
        <w:rPr>
          <w:rStyle w:val="FootnoteReference"/>
        </w:rPr>
        <w:footnoteRef/>
      </w:r>
      <w:r w:rsidRPr="007B7547">
        <w:t xml:space="preserve"> </w:t>
      </w:r>
      <w:r w:rsidRPr="000A5734">
        <w:rPr>
          <w:i/>
        </w:rPr>
        <w:t>Insolation</w:t>
      </w:r>
      <w:r w:rsidRPr="007B7547">
        <w:t xml:space="preserve"> is the measure of solar radiation energy received on a given surface area in a given time, expressed in common usage in either watts/sq. meter (power) or kWh/m</w:t>
      </w:r>
      <w:r>
        <w:rPr>
          <w:vertAlign w:val="superscript"/>
        </w:rPr>
        <w:t>2</w:t>
      </w:r>
      <w:r w:rsidRPr="007B7547">
        <w:t>/day (energy).</w:t>
      </w:r>
    </w:p>
  </w:footnote>
  <w:footnote w:id="278">
    <w:p w:rsidR="003C78A4" w:rsidRDefault="003C78A4" w:rsidP="00EC0545">
      <w:pPr>
        <w:pStyle w:val="FootnoteText"/>
      </w:pPr>
      <w:r>
        <w:rPr>
          <w:rStyle w:val="FootnoteReference"/>
        </w:rPr>
        <w:footnoteRef/>
      </w:r>
      <w:r>
        <w:t xml:space="preserve"> </w:t>
      </w:r>
      <w:r w:rsidRPr="00890D42">
        <w:t xml:space="preserve">Richard Chelboski, </w:t>
      </w:r>
      <w:r>
        <w:t xml:space="preserve">presentation at the </w:t>
      </w:r>
      <w:r w:rsidRPr="00890D42">
        <w:t>NECA Annual Renewable Energy Conference, Boston, MA</w:t>
      </w:r>
      <w:r>
        <w:t xml:space="preserve"> (</w:t>
      </w:r>
      <w:r w:rsidRPr="00890D42">
        <w:t>March 3, 2010</w:t>
      </w:r>
      <w:r>
        <w:t>)</w:t>
      </w:r>
      <w:r w:rsidRPr="00890D42">
        <w:t>;</w:t>
      </w:r>
      <w:r w:rsidRPr="00890D42">
        <w:rPr>
          <w:vertAlign w:val="superscript"/>
        </w:rPr>
        <w:t xml:space="preserve"> </w:t>
      </w:r>
      <w:hyperlink r:id="rId88" w:history="1">
        <w:r w:rsidRPr="00890D42">
          <w:rPr>
            <w:rStyle w:val="Hyperlink"/>
            <w:color w:val="auto"/>
            <w:u w:val="none"/>
          </w:rPr>
          <w:t>http://www.necanews.org/dev/documents/100303_chleboski_richard_4.pdf</w:t>
        </w:r>
      </w:hyperlink>
      <w:r>
        <w:t>.</w:t>
      </w:r>
    </w:p>
  </w:footnote>
  <w:footnote w:id="279">
    <w:p w:rsidR="003C78A4" w:rsidRDefault="003C78A4" w:rsidP="00EC0545">
      <w:pPr>
        <w:pStyle w:val="FootnoteText"/>
      </w:pPr>
      <w:r w:rsidRPr="00890D42">
        <w:rPr>
          <w:rStyle w:val="FootnoteReference"/>
        </w:rPr>
        <w:footnoteRef/>
      </w:r>
      <w:r w:rsidRPr="00987991">
        <w:t xml:space="preserve"> </w:t>
      </w:r>
      <w:r w:rsidRPr="00890D42">
        <w:rPr>
          <w:i/>
        </w:rPr>
        <w:t>New England Electricity Scenario Analysis Report</w:t>
      </w:r>
      <w:r w:rsidRPr="00987991">
        <w:t xml:space="preserve"> </w:t>
      </w:r>
      <w:r w:rsidRPr="00890D42">
        <w:t>(August 2, 2007);</w:t>
      </w:r>
      <w:r>
        <w:br/>
      </w:r>
      <w:r w:rsidRPr="00890D42">
        <w:t>http://www.iso-ne.com/committees/comm_wkgrps/othr/sas/mtrls/elec_report/scenario_analysis_final.pdf.</w:t>
      </w:r>
    </w:p>
  </w:footnote>
  <w:footnote w:id="280">
    <w:p w:rsidR="003C78A4" w:rsidRDefault="003C78A4" w:rsidP="00EC0545">
      <w:pPr>
        <w:pStyle w:val="FootnoteText"/>
      </w:pPr>
      <w:r>
        <w:rPr>
          <w:rStyle w:val="FootnoteReference"/>
        </w:rPr>
        <w:footnoteRef/>
      </w:r>
      <w:r w:rsidRPr="00890D42">
        <w:t xml:space="preserve"> </w:t>
      </w:r>
      <w:r>
        <w:t xml:space="preserve">NERC, </w:t>
      </w:r>
      <w:r w:rsidRPr="00890D42">
        <w:rPr>
          <w:i/>
        </w:rPr>
        <w:t>Special Report: Accommodating High Levels of Variable Generation</w:t>
      </w:r>
      <w:r w:rsidRPr="00890D42">
        <w:t xml:space="preserve"> (April 2009)</w:t>
      </w:r>
      <w:r>
        <w:t>, 27</w:t>
      </w:r>
      <w:r w:rsidRPr="00890D42">
        <w:t xml:space="preserve">; </w:t>
      </w:r>
      <w:hyperlink r:id="rId89" w:history="1">
        <w:r w:rsidRPr="00890D42">
          <w:t>http://www.nerc.com/files/IVGTF_Report_041609.pdf</w:t>
        </w:r>
      </w:hyperlink>
      <w:r w:rsidRPr="00890D42">
        <w:t>.</w:t>
      </w:r>
    </w:p>
  </w:footnote>
  <w:footnote w:id="281">
    <w:p w:rsidR="003C78A4" w:rsidRDefault="003C78A4" w:rsidP="00EC0545">
      <w:pPr>
        <w:pStyle w:val="FootnoteText"/>
      </w:pPr>
      <w:r w:rsidRPr="005D6057">
        <w:rPr>
          <w:rStyle w:val="FootnoteReference"/>
        </w:rPr>
        <w:footnoteRef/>
      </w:r>
      <w:r>
        <w:t xml:space="preserve"> Larry Sherwood, </w:t>
      </w:r>
      <w:r w:rsidRPr="00902580">
        <w:rPr>
          <w:i/>
        </w:rPr>
        <w:t>U. S. Solar Market Trends 2008</w:t>
      </w:r>
      <w:r w:rsidRPr="00987991">
        <w:t xml:space="preserve"> </w:t>
      </w:r>
      <w:r>
        <w:t>(</w:t>
      </w:r>
      <w:r w:rsidRPr="005D6057">
        <w:t>Interstate Renewable Energy Council</w:t>
      </w:r>
      <w:r>
        <w:t>,</w:t>
      </w:r>
      <w:r w:rsidRPr="005D6057">
        <w:t xml:space="preserve"> July 2009)</w:t>
      </w:r>
      <w:r>
        <w:t>; h</w:t>
      </w:r>
      <w:r w:rsidRPr="00902580">
        <w:t>ttp://irecusa.org/fileadmin/user_upload/NationalOutreachDocs/SolarTrendsReports/IREC_Solar_Market_Trends_Report_2008.pdf</w:t>
      </w:r>
      <w:r>
        <w:t>.</w:t>
      </w:r>
    </w:p>
  </w:footnote>
  <w:footnote w:id="282">
    <w:p w:rsidR="003C78A4" w:rsidRDefault="003C78A4" w:rsidP="00EC0545">
      <w:pPr>
        <w:pStyle w:val="FootnoteText"/>
      </w:pPr>
      <w:r w:rsidRPr="005D6057">
        <w:rPr>
          <w:rStyle w:val="FootnoteReference"/>
        </w:rPr>
        <w:footnoteRef/>
      </w:r>
      <w:r w:rsidRPr="005D6057">
        <w:t xml:space="preserve"> </w:t>
      </w:r>
      <w:r>
        <w:t>Bill Opalka</w:t>
      </w:r>
      <w:r w:rsidRPr="005D6057">
        <w:t>, “Shaping the Future of Power</w:t>
      </w:r>
      <w:r>
        <w:t>,</w:t>
      </w:r>
      <w:r w:rsidRPr="005D6057">
        <w:t>”</w:t>
      </w:r>
      <w:r>
        <w:t xml:space="preserve"> </w:t>
      </w:r>
      <w:r w:rsidRPr="001A6E2F">
        <w:rPr>
          <w:i/>
        </w:rPr>
        <w:t>Renewablebiz Daily</w:t>
      </w:r>
      <w:r>
        <w:t xml:space="preserve"> (</w:t>
      </w:r>
      <w:r w:rsidRPr="005D6057">
        <w:t xml:space="preserve">April 20, 2010); </w:t>
      </w:r>
      <w:hyperlink r:id="rId90" w:history="1">
        <w:r w:rsidRPr="005D6057">
          <w:rPr>
            <w:rStyle w:val="Hyperlink"/>
            <w:color w:val="auto"/>
            <w:u w:val="none"/>
          </w:rPr>
          <w:t>http://www.renewablesbiz.com/article/10/04/shaping-future-power</w:t>
        </w:r>
      </w:hyperlink>
      <w:r w:rsidRPr="005D6057">
        <w:t>.</w:t>
      </w:r>
    </w:p>
  </w:footnote>
  <w:footnote w:id="283">
    <w:p w:rsidR="003C78A4" w:rsidRDefault="003C78A4" w:rsidP="00EC0545">
      <w:pPr>
        <w:pStyle w:val="FootnoteText"/>
      </w:pPr>
      <w:r w:rsidRPr="005D6057">
        <w:rPr>
          <w:rStyle w:val="FootnoteReference"/>
        </w:rPr>
        <w:footnoteRef/>
      </w:r>
      <w:r w:rsidRPr="005D6057">
        <w:t xml:space="preserve"> Commonwealth of Massachusetts</w:t>
      </w:r>
      <w:r>
        <w:t xml:space="preserve">, </w:t>
      </w:r>
      <w:r w:rsidRPr="00890D42">
        <w:rPr>
          <w:i/>
        </w:rPr>
        <w:t>An Act Relative to Green Communities</w:t>
      </w:r>
      <w:r w:rsidRPr="00987991">
        <w:t xml:space="preserve">, </w:t>
      </w:r>
      <w:r w:rsidRPr="005D6057">
        <w:t xml:space="preserve">Chapter 169 of the Acts of 2008 (July 2, 2008); </w:t>
      </w:r>
      <w:hyperlink r:id="rId91" w:history="1">
        <w:r w:rsidRPr="005D6057">
          <w:rPr>
            <w:rStyle w:val="Hyperlink"/>
            <w:color w:val="000000" w:themeColor="text1"/>
            <w:u w:val="none"/>
          </w:rPr>
          <w:t>http://www.mass.gov/legis/laws/seslaw08/sl080169.htm</w:t>
        </w:r>
      </w:hyperlink>
      <w:r w:rsidRPr="005D6057">
        <w:t>.</w:t>
      </w:r>
    </w:p>
  </w:footnote>
  <w:footnote w:id="284">
    <w:p w:rsidR="003C78A4" w:rsidRDefault="003C78A4" w:rsidP="00EC0545">
      <w:pPr>
        <w:pStyle w:val="FootnoteText"/>
      </w:pPr>
      <w:r w:rsidRPr="005D6057">
        <w:rPr>
          <w:rStyle w:val="FootnoteReference"/>
        </w:rPr>
        <w:footnoteRef/>
      </w:r>
      <w:r>
        <w:t xml:space="preserve"> MA DOER, </w:t>
      </w:r>
      <w:r w:rsidRPr="005D6057">
        <w:t xml:space="preserve">“Solar PV Installation FAQ” </w:t>
      </w:r>
      <w:r>
        <w:t xml:space="preserve">Web page </w:t>
      </w:r>
      <w:r w:rsidRPr="005D6057">
        <w:t>(n.d</w:t>
      </w:r>
      <w:r>
        <w:t>.</w:t>
      </w:r>
      <w:r w:rsidRPr="005D6057">
        <w:t>);</w:t>
      </w:r>
      <w:r>
        <w:br/>
      </w:r>
      <w:hyperlink r:id="rId92" w:history="1">
        <w:r w:rsidRPr="005D6057">
          <w:t>http://www.mass.gov/Eoeea/docs/doer/renewables/solar/solar-tip.pdf</w:t>
        </w:r>
      </w:hyperlink>
      <w:r w:rsidRPr="005D6057">
        <w:t>.</w:t>
      </w:r>
    </w:p>
  </w:footnote>
  <w:footnote w:id="285">
    <w:p w:rsidR="003C78A4" w:rsidRDefault="003C78A4" w:rsidP="00EC0545">
      <w:pPr>
        <w:pStyle w:val="FootnoteText"/>
      </w:pPr>
      <w:r w:rsidRPr="005D6057">
        <w:rPr>
          <w:rStyle w:val="FootnoteReference"/>
        </w:rPr>
        <w:footnoteRef/>
      </w:r>
      <w:r w:rsidRPr="00987991">
        <w:t xml:space="preserve"> </w:t>
      </w:r>
      <w:r>
        <w:t xml:space="preserve">NREL, DOE, </w:t>
      </w:r>
      <w:r w:rsidRPr="00890D42">
        <w:rPr>
          <w:i/>
        </w:rPr>
        <w:t>2008 Solar Market Report</w:t>
      </w:r>
      <w:r w:rsidRPr="00987991">
        <w:t xml:space="preserve"> </w:t>
      </w:r>
      <w:r w:rsidRPr="005D6057">
        <w:t>(January 2010);</w:t>
      </w:r>
      <w:r>
        <w:t xml:space="preserve"> </w:t>
      </w:r>
      <w:hyperlink r:id="rId93" w:history="1">
        <w:r w:rsidRPr="00665E14">
          <w:rPr>
            <w:rStyle w:val="Hyperlink"/>
            <w:color w:val="000000" w:themeColor="text1"/>
            <w:u w:val="none"/>
          </w:rPr>
          <w:t>http://www.nrel.gov/applying_technologies/pdfs/2008_solar_market_report.pdf</w:t>
        </w:r>
      </w:hyperlink>
      <w:r w:rsidRPr="00665E14">
        <w:rPr>
          <w:color w:val="000000" w:themeColor="text1"/>
        </w:rPr>
        <w:t>.</w:t>
      </w:r>
      <w:r w:rsidRPr="005D6057">
        <w:t xml:space="preserve"> </w:t>
      </w:r>
    </w:p>
  </w:footnote>
  <w:footnote w:id="286">
    <w:p w:rsidR="003C78A4" w:rsidRDefault="003C78A4" w:rsidP="00EC0545">
      <w:pPr>
        <w:pStyle w:val="FootnoteText"/>
      </w:pPr>
      <w:r w:rsidRPr="00CE620A">
        <w:rPr>
          <w:rStyle w:val="FootnoteReference"/>
        </w:rPr>
        <w:footnoteRef/>
      </w:r>
      <w:r w:rsidRPr="00CE620A">
        <w:t xml:space="preserve"> </w:t>
      </w:r>
      <w:r>
        <w:t xml:space="preserve">OPA, </w:t>
      </w:r>
      <w:r w:rsidRPr="00CE620A">
        <w:t xml:space="preserve">“Renewable Energy Fee-In Tariff Program” </w:t>
      </w:r>
      <w:r>
        <w:t xml:space="preserve">Web page </w:t>
      </w:r>
      <w:r w:rsidRPr="00CE620A">
        <w:t xml:space="preserve">(2010); </w:t>
      </w:r>
      <w:hyperlink r:id="rId94" w:history="1">
        <w:r w:rsidRPr="00CE620A">
          <w:rPr>
            <w:rStyle w:val="Hyperlink"/>
            <w:color w:val="auto"/>
            <w:u w:val="none"/>
          </w:rPr>
          <w:t>http://fit.powerauthority.on.ca/Page.asp?PageID=1115&amp;SiteNodeID=1052</w:t>
        </w:r>
      </w:hyperlink>
      <w:r w:rsidRPr="00CE620A">
        <w:t xml:space="preserve">. </w:t>
      </w:r>
    </w:p>
  </w:footnote>
  <w:footnote w:id="287">
    <w:p w:rsidR="003C78A4" w:rsidRDefault="003C78A4" w:rsidP="00EC0545">
      <w:pPr>
        <w:pStyle w:val="FootnoteText"/>
      </w:pPr>
      <w:r w:rsidRPr="00CE620A">
        <w:rPr>
          <w:rStyle w:val="FootnoteReference"/>
        </w:rPr>
        <w:footnoteRef/>
      </w:r>
      <w:r w:rsidRPr="00CE620A">
        <w:t xml:space="preserve"> </w:t>
      </w:r>
      <w:r>
        <w:t>OPA, “</w:t>
      </w:r>
      <w:r w:rsidRPr="00CE620A">
        <w:t>Ontario Announces 184 Large</w:t>
      </w:r>
      <w:r>
        <w:t>-</w:t>
      </w:r>
      <w:r w:rsidRPr="00CE620A">
        <w:t>Scale Energy Projects</w:t>
      </w:r>
      <w:r>
        <w:t>,</w:t>
      </w:r>
      <w:r w:rsidRPr="00CE620A">
        <w:t xml:space="preserve">” </w:t>
      </w:r>
      <w:r>
        <w:t>n</w:t>
      </w:r>
      <w:r w:rsidRPr="00CE620A">
        <w:t xml:space="preserve">ews </w:t>
      </w:r>
      <w:r>
        <w:t>r</w:t>
      </w:r>
      <w:r w:rsidRPr="00CE620A">
        <w:t xml:space="preserve">elease (April 8, 2010); </w:t>
      </w:r>
      <w:hyperlink r:id="rId95" w:history="1">
        <w:r w:rsidRPr="00CE620A">
          <w:t>http://fit.powerauthority.on.ca/Storage/100/10986_Apr_8_News_Release_FINAL.pdf</w:t>
        </w:r>
      </w:hyperlink>
      <w:r w:rsidRPr="00CE620A">
        <w:t>.</w:t>
      </w:r>
    </w:p>
  </w:footnote>
  <w:footnote w:id="288">
    <w:p w:rsidR="003C78A4" w:rsidRDefault="003C78A4" w:rsidP="00EC0545">
      <w:pPr>
        <w:pStyle w:val="FootnoteText"/>
      </w:pPr>
      <w:r w:rsidRPr="007B7547">
        <w:rPr>
          <w:rStyle w:val="FootnoteReference"/>
        </w:rPr>
        <w:footnoteRef/>
      </w:r>
      <w:r w:rsidRPr="007B7547">
        <w:t xml:space="preserve"> Under Attachment K, §4.1(a)(v), the ISO also could initiate an economic study.</w:t>
      </w:r>
    </w:p>
  </w:footnote>
  <w:footnote w:id="289">
    <w:p w:rsidR="003C78A4" w:rsidRDefault="003C78A4" w:rsidP="00EC0545">
      <w:pPr>
        <w:pStyle w:val="FootnoteText"/>
      </w:pPr>
      <w:r w:rsidRPr="007B7547">
        <w:rPr>
          <w:rStyle w:val="FootnoteReference"/>
        </w:rPr>
        <w:footnoteRef/>
      </w:r>
      <w:r w:rsidRPr="007B7547">
        <w:t xml:space="preserve"> </w:t>
      </w:r>
      <w:r>
        <w:t xml:space="preserve">PAC materials are </w:t>
      </w:r>
      <w:r w:rsidRPr="007B7547">
        <w:t xml:space="preserve">available at </w:t>
      </w:r>
      <w:hyperlink r:id="rId96" w:history="1">
        <w:r w:rsidRPr="007B7547">
          <w:rPr>
            <w:rStyle w:val="Hyperlink"/>
            <w:color w:val="000000" w:themeColor="text1"/>
            <w:u w:val="none"/>
          </w:rPr>
          <w:t>http://www.iso-ne.com/committees/comm_wkgrps/prtcpnts_comm/pac/reports/index.html</w:t>
        </w:r>
      </w:hyperlink>
      <w:r w:rsidRPr="007B7547">
        <w:t>.</w:t>
      </w:r>
      <w:r>
        <w:t xml:space="preserve"> The final results of the economic studies will be available at the same link.</w:t>
      </w:r>
    </w:p>
  </w:footnote>
  <w:footnote w:id="290">
    <w:p w:rsidR="003C78A4" w:rsidRDefault="003C78A4" w:rsidP="00EC0545">
      <w:pPr>
        <w:pStyle w:val="FootnoteText"/>
      </w:pPr>
      <w:r w:rsidRPr="007B7547">
        <w:rPr>
          <w:rStyle w:val="FootnoteReference"/>
        </w:rPr>
        <w:footnoteRef/>
      </w:r>
      <w:r w:rsidRPr="007B7547">
        <w:t xml:space="preserve"> ISO Planning Advisory Committee; </w:t>
      </w:r>
      <w:hyperlink r:id="rId97" w:history="1">
        <w:r w:rsidRPr="007B7547">
          <w:rPr>
            <w:rStyle w:val="Hyperlink"/>
            <w:color w:val="auto"/>
            <w:u w:val="none"/>
          </w:rPr>
          <w:t>http://www.iso-ne.com/committees/comm_wkgrps/prtcpnts_comm/pac/mtrls/index.html</w:t>
        </w:r>
      </w:hyperlink>
      <w:r>
        <w:t xml:space="preserve">. </w:t>
      </w:r>
      <w:r w:rsidRPr="007B7547">
        <w:t>See materials for the April, May, and June 2010 PAC meetings.</w:t>
      </w:r>
    </w:p>
  </w:footnote>
  <w:footnote w:id="291">
    <w:p w:rsidR="003C78A4" w:rsidRDefault="003C78A4" w:rsidP="00EC0545">
      <w:pPr>
        <w:pStyle w:val="FootnoteText"/>
      </w:pPr>
      <w:r w:rsidRPr="007B7547">
        <w:rPr>
          <w:rStyle w:val="FootnoteReference"/>
        </w:rPr>
        <w:footnoteRef/>
      </w:r>
      <w:r w:rsidRPr="007B7547">
        <w:t xml:space="preserve"> Midwest ISO, PJM, Southwest Power Pool, and Tennessee Valley Authority, </w:t>
      </w:r>
      <w:r w:rsidRPr="007B7547">
        <w:rPr>
          <w:i/>
        </w:rPr>
        <w:t>Joint Coordinated System Plan 2008</w:t>
      </w:r>
      <w:r w:rsidRPr="007B7547">
        <w:t xml:space="preserve"> (JCSP08)</w:t>
      </w:r>
      <w:r>
        <w:t xml:space="preserve"> </w:t>
      </w:r>
      <w:r w:rsidRPr="007B7547">
        <w:t xml:space="preserve">(2008); http://www.jcspstudy.org/. </w:t>
      </w:r>
      <w:r>
        <w:t xml:space="preserve">DOE, NREL, </w:t>
      </w:r>
      <w:r w:rsidRPr="007B7547">
        <w:rPr>
          <w:i/>
        </w:rPr>
        <w:t>Eastern Wind Integration and Transmission Study</w:t>
      </w:r>
      <w:r w:rsidRPr="007B7547">
        <w:t xml:space="preserve"> (EWITS) (January 2010); http://www.nrel.gov/wind/systemsintegration/pdfs/2010/ewits_final_report.pdf.</w:t>
      </w:r>
    </w:p>
  </w:footnote>
  <w:footnote w:id="292">
    <w:p w:rsidR="003C78A4" w:rsidRDefault="003C78A4">
      <w:pPr>
        <w:pStyle w:val="NoSpacing"/>
        <w:rPr>
          <w:rFonts w:cs="Times New Roman"/>
          <w:sz w:val="18"/>
        </w:rPr>
      </w:pPr>
      <w:r w:rsidRPr="00916387">
        <w:rPr>
          <w:rStyle w:val="FootnoteReference"/>
        </w:rPr>
        <w:footnoteRef/>
      </w:r>
      <w:r w:rsidRPr="00916387">
        <w:rPr>
          <w:rFonts w:cs="Times New Roman"/>
          <w:sz w:val="18"/>
        </w:rPr>
        <w:t xml:space="preserve"> </w:t>
      </w:r>
      <w:r w:rsidRPr="00916387">
        <w:rPr>
          <w:rFonts w:cs="Times New Roman"/>
          <w:i/>
          <w:sz w:val="18"/>
        </w:rPr>
        <w:t xml:space="preserve">New England 2030 Power System Study: Report to the New England Governors, Scenario Analysis of Renewable Resource Development </w:t>
      </w:r>
      <w:r w:rsidRPr="00916387">
        <w:rPr>
          <w:rFonts w:cs="Times New Roman"/>
          <w:sz w:val="18"/>
        </w:rPr>
        <w:t xml:space="preserve">(February </w:t>
      </w:r>
      <w:r w:rsidRPr="00153DDC">
        <w:rPr>
          <w:rFonts w:cs="Times New Roman"/>
          <w:color w:val="000000" w:themeColor="text1"/>
          <w:sz w:val="18"/>
        </w:rPr>
        <w:t>2010);</w:t>
      </w:r>
      <w:r>
        <w:rPr>
          <w:rFonts w:cs="Times New Roman"/>
          <w:color w:val="000000" w:themeColor="text1"/>
          <w:sz w:val="18"/>
        </w:rPr>
        <w:br/>
      </w:r>
      <w:hyperlink r:id="rId98" w:history="1">
        <w:r w:rsidRPr="00153DDC">
          <w:rPr>
            <w:rStyle w:val="Hyperlink"/>
            <w:rFonts w:cs="Times New Roman"/>
            <w:color w:val="000000" w:themeColor="text1"/>
            <w:sz w:val="18"/>
            <w:u w:val="none"/>
          </w:rPr>
          <w:t>http://www.iso-ne.com/committees/comm_wkgrps/prtcpnts_comm/pac/reports/2010/economicstudyreportfinal_022610.pdf</w:t>
        </w:r>
      </w:hyperlink>
      <w:r w:rsidRPr="00153DDC">
        <w:rPr>
          <w:rFonts w:cs="Times New Roman"/>
          <w:color w:val="000000" w:themeColor="text1"/>
          <w:sz w:val="18"/>
        </w:rPr>
        <w:t>.</w:t>
      </w:r>
      <w:r>
        <w:rPr>
          <w:rFonts w:cs="Times New Roman"/>
          <w:color w:val="000000" w:themeColor="text1"/>
          <w:sz w:val="18"/>
        </w:rPr>
        <w:br/>
      </w:r>
      <w:r>
        <w:rPr>
          <w:rFonts w:cs="Times New Roman"/>
          <w:sz w:val="18"/>
        </w:rPr>
        <w:t>New England Governors’ Conference (</w:t>
      </w:r>
      <w:r w:rsidRPr="00916387">
        <w:rPr>
          <w:rFonts w:cs="Times New Roman"/>
          <w:sz w:val="18"/>
        </w:rPr>
        <w:t>NEGC</w:t>
      </w:r>
      <w:r>
        <w:rPr>
          <w:rFonts w:cs="Times New Roman"/>
          <w:sz w:val="18"/>
        </w:rPr>
        <w:t>)</w:t>
      </w:r>
      <w:r w:rsidRPr="00916387">
        <w:rPr>
          <w:rFonts w:cs="Times New Roman"/>
          <w:sz w:val="18"/>
        </w:rPr>
        <w:t xml:space="preserve">, </w:t>
      </w:r>
      <w:r w:rsidRPr="00153DDC">
        <w:rPr>
          <w:rFonts w:cs="Times New Roman"/>
          <w:i/>
          <w:color w:val="000000" w:themeColor="text1"/>
          <w:sz w:val="18"/>
        </w:rPr>
        <w:t>New</w:t>
      </w:r>
      <w:r w:rsidRPr="00916387">
        <w:rPr>
          <w:rFonts w:cs="Times New Roman"/>
          <w:i/>
          <w:sz w:val="18"/>
        </w:rPr>
        <w:t xml:space="preserve"> England Governors’ Renewable Energy Blueprint</w:t>
      </w:r>
      <w:r w:rsidRPr="00916387">
        <w:rPr>
          <w:rFonts w:cs="Times New Roman"/>
          <w:sz w:val="18"/>
        </w:rPr>
        <w:t xml:space="preserve"> (September 15, 2009); </w:t>
      </w:r>
      <w:hyperlink r:id="rId99" w:history="1">
        <w:r>
          <w:rPr>
            <w:rStyle w:val="Hyperlink"/>
            <w:rFonts w:cs="Times New Roman"/>
            <w:color w:val="auto"/>
            <w:sz w:val="18"/>
            <w:u w:val="none"/>
          </w:rPr>
          <w:t>http://www.nescoe.com/Blueprint.html</w:t>
        </w:r>
      </w:hyperlink>
      <w:r w:rsidRPr="00916387">
        <w:rPr>
          <w:rFonts w:cs="Times New Roman"/>
          <w:sz w:val="18"/>
        </w:rPr>
        <w:t xml:space="preserve">. </w:t>
      </w:r>
    </w:p>
  </w:footnote>
  <w:footnote w:id="293">
    <w:p w:rsidR="003C78A4" w:rsidRPr="0033606A" w:rsidRDefault="003C78A4" w:rsidP="00EC0545">
      <w:pPr>
        <w:pStyle w:val="FootnoteText"/>
      </w:pPr>
      <w:r w:rsidRPr="00916387">
        <w:rPr>
          <w:rStyle w:val="FootnoteReference"/>
        </w:rPr>
        <w:footnoteRef/>
      </w:r>
      <w:r w:rsidRPr="00916387">
        <w:t xml:space="preserve"> See April and May 2009 PAC materials</w:t>
      </w:r>
      <w:r>
        <w:t xml:space="preserve"> at</w:t>
      </w:r>
      <w:r>
        <w:br/>
      </w:r>
      <w:hyperlink r:id="rId100" w:history="1">
        <w:r w:rsidRPr="00EC0545">
          <w:rPr>
            <w:rStyle w:val="Hyperlink"/>
            <w:color w:val="000000" w:themeColor="text1"/>
            <w:u w:val="none"/>
          </w:rPr>
          <w:t>http://iso-ne.com/committees/comm_wkgrps/prtcpnts_comm/pac/mtrls/2009/index.html</w:t>
        </w:r>
      </w:hyperlink>
      <w:r>
        <w:t xml:space="preserve">, </w:t>
      </w:r>
      <w:r w:rsidRPr="00916387">
        <w:t xml:space="preserve">and May 2009 materials from the Inter-Area Planning Stakeholder Advisory Committee </w:t>
      </w:r>
      <w:r>
        <w:t xml:space="preserve">at </w:t>
      </w:r>
      <w:r>
        <w:br/>
        <w:t>h</w:t>
      </w:r>
      <w:r w:rsidRPr="00916387">
        <w:t>ttp://iso-ne.com/committees/comm_wkgrps/othr/ipsac/mtrls/2009/may72009/index</w:t>
      </w:r>
      <w:r w:rsidRPr="009F0CB1">
        <w:t xml:space="preserve">.html. Also see the IPSAC Web sites at </w:t>
      </w:r>
      <w:hyperlink r:id="rId101" w:history="1">
        <w:r w:rsidRPr="0033606A">
          <w:rPr>
            <w:rStyle w:val="Hyperlink"/>
            <w:color w:val="auto"/>
            <w:u w:val="none"/>
          </w:rPr>
          <w:t>http://www.interiso.com</w:t>
        </w:r>
      </w:hyperlink>
      <w:r w:rsidRPr="0033606A">
        <w:t xml:space="preserve"> and </w:t>
      </w:r>
      <w:hyperlink r:id="rId102" w:history="1">
        <w:r w:rsidRPr="0033606A">
          <w:rPr>
            <w:rStyle w:val="Hyperlink"/>
            <w:color w:val="auto"/>
            <w:u w:val="none"/>
          </w:rPr>
          <w:t>http://www.iso-ne.com/committees/comm_wkgrps/othr/ipsac/index.html</w:t>
        </w:r>
      </w:hyperlink>
      <w:r w:rsidRPr="0033606A">
        <w:t>.</w:t>
      </w:r>
    </w:p>
  </w:footnote>
  <w:footnote w:id="294">
    <w:p w:rsidR="003C78A4" w:rsidRDefault="003C78A4" w:rsidP="00EC0545">
      <w:pPr>
        <w:pStyle w:val="FootnoteText"/>
      </w:pPr>
      <w:r w:rsidRPr="0033606A">
        <w:rPr>
          <w:rStyle w:val="FootnoteReference"/>
        </w:rPr>
        <w:footnoteRef/>
      </w:r>
      <w:r w:rsidRPr="0033606A">
        <w:t xml:space="preserve"> </w:t>
      </w:r>
      <w:r w:rsidRPr="000A5734">
        <w:rPr>
          <w:i/>
        </w:rPr>
        <w:t>IREMM</w:t>
      </w:r>
      <w:r w:rsidRPr="0033606A">
        <w:t xml:space="preserve"> is a simulation tool the ISO has used in past production cost analyses for developing hourly, chronological system-production costs, and other metrics.</w:t>
      </w:r>
    </w:p>
  </w:footnote>
  <w:footnote w:id="295">
    <w:p w:rsidR="003C78A4" w:rsidRDefault="003C78A4" w:rsidP="00EC0545">
      <w:pPr>
        <w:pStyle w:val="FootnoteText"/>
      </w:pPr>
      <w:r w:rsidRPr="00916387">
        <w:rPr>
          <w:rStyle w:val="FootnoteReference"/>
        </w:rPr>
        <w:footnoteRef/>
      </w:r>
      <w:r w:rsidRPr="00916387">
        <w:t xml:space="preserve"> The onshore and offshore wind in BHE, ME, and SME </w:t>
      </w:r>
      <w:r>
        <w:t>was</w:t>
      </w:r>
      <w:r w:rsidRPr="00916387">
        <w:t xml:space="preserve"> modeled in BHE. The results of the study will then provide additional information on various transmission limitations arising from different locations of wind development within the three load bubbles.</w:t>
      </w:r>
    </w:p>
  </w:footnote>
  <w:footnote w:id="296">
    <w:p w:rsidR="003C78A4" w:rsidRDefault="003C78A4" w:rsidP="00EC0545">
      <w:pPr>
        <w:pStyle w:val="FootnoteText"/>
      </w:pPr>
      <w:r w:rsidRPr="00DF433B">
        <w:rPr>
          <w:rStyle w:val="FootnoteReference"/>
        </w:rPr>
        <w:footnoteRef/>
      </w:r>
      <w:r w:rsidRPr="00DF433B">
        <w:t xml:space="preserve"> PROMOD, GridView, MAPS, and other programs provide more detailed </w:t>
      </w:r>
      <w:r>
        <w:t xml:space="preserve">production cost </w:t>
      </w:r>
      <w:r w:rsidRPr="00DF433B">
        <w:t>representation</w:t>
      </w:r>
      <w:r>
        <w:t>s</w:t>
      </w:r>
      <w:r w:rsidRPr="00DF433B">
        <w:t xml:space="preserve"> of the transmission network than IREMM. </w:t>
      </w:r>
      <w:r w:rsidRPr="009F0CB1">
        <w:t>For</w:t>
      </w:r>
      <w:r w:rsidRPr="00916387">
        <w:t xml:space="preserve"> more information on the IREMM and detailed production cost program scopes of work and the differences between IREMM and these detailed production cost programs, see the June 2009 IPSAC presentation</w:t>
      </w:r>
      <w:r w:rsidRPr="00980B3E">
        <w:rPr>
          <w:color w:val="000000" w:themeColor="text1"/>
        </w:rPr>
        <w:t xml:space="preserve">; </w:t>
      </w:r>
      <w:hyperlink r:id="rId103" w:history="1">
        <w:r w:rsidRPr="00DA420B">
          <w:rPr>
            <w:rStyle w:val="Hyperlink"/>
            <w:color w:val="000000" w:themeColor="text1"/>
            <w:u w:val="none"/>
          </w:rPr>
          <w:t xml:space="preserve">http://iso-ne.com/committees/comm_wkgrps/othr/ipsac/mtrls/2009/jun302009/index.html) and the </w:t>
        </w:r>
        <w:r w:rsidRPr="00DA420B">
          <w:rPr>
            <w:rStyle w:val="Hyperlink"/>
            <w:i/>
            <w:color w:val="000000" w:themeColor="text1"/>
            <w:u w:val="none"/>
          </w:rPr>
          <w:t>2009 Northeast Coordinated System Plan</w:t>
        </w:r>
        <w:r w:rsidRPr="00DA420B">
          <w:rPr>
            <w:rStyle w:val="Hyperlink"/>
            <w:color w:val="000000" w:themeColor="text1"/>
            <w:u w:val="none"/>
          </w:rPr>
          <w:t xml:space="preserve"> (see Section </w:t>
        </w:r>
      </w:hyperlink>
      <w:fldSimple w:instr=" REF _Ref270346418 \r \h  \* MERGEFORMAT ">
        <w:r w:rsidR="00E5699E">
          <w:t>11.2.3</w:t>
        </w:r>
      </w:fldSimple>
      <w:r w:rsidRPr="00916387">
        <w:t>).</w:t>
      </w:r>
    </w:p>
  </w:footnote>
  <w:footnote w:id="297">
    <w:p w:rsidR="003C78A4" w:rsidRDefault="003C78A4" w:rsidP="00EC0545">
      <w:pPr>
        <w:pStyle w:val="FootnoteText"/>
      </w:pPr>
      <w:r w:rsidRPr="00916387">
        <w:rPr>
          <w:rStyle w:val="FootnoteReference"/>
        </w:rPr>
        <w:footnoteRef/>
      </w:r>
      <w:r w:rsidRPr="00916387">
        <w:t xml:space="preserve"> ISO New England </w:t>
      </w:r>
      <w:r w:rsidRPr="0033606A">
        <w:rPr>
          <w:i/>
        </w:rPr>
        <w:t>2009 Regional System Plan</w:t>
      </w:r>
      <w:r w:rsidRPr="00916387">
        <w:t xml:space="preserve"> (October 15, 2009); </w:t>
      </w:r>
      <w:hyperlink r:id="rId104" w:history="1">
        <w:r w:rsidRPr="00916387">
          <w:rPr>
            <w:rStyle w:val="Hyperlink"/>
            <w:color w:val="auto"/>
            <w:u w:val="none"/>
          </w:rPr>
          <w:t>http://www.iso-ne.com/trans/rsp/2009/rsp09_final.pdf</w:t>
        </w:r>
      </w:hyperlink>
      <w:r w:rsidRPr="00916387">
        <w:t>.</w:t>
      </w:r>
    </w:p>
  </w:footnote>
  <w:footnote w:id="298">
    <w:p w:rsidR="003C78A4" w:rsidRDefault="003C78A4" w:rsidP="00CD4E49">
      <w:pPr>
        <w:spacing w:after="80" w:line="240" w:lineRule="auto"/>
        <w:rPr>
          <w:sz w:val="18"/>
          <w:szCs w:val="18"/>
        </w:rPr>
      </w:pPr>
      <w:r>
        <w:rPr>
          <w:rStyle w:val="FootnoteReference"/>
          <w:rFonts w:eastAsia="Times New Roman"/>
          <w:szCs w:val="18"/>
        </w:rPr>
        <w:footnoteRef/>
      </w:r>
      <w:r w:rsidRPr="00916387">
        <w:rPr>
          <w:rFonts w:eastAsia="Times New Roman" w:cs="Times New Roman"/>
          <w:sz w:val="18"/>
          <w:szCs w:val="18"/>
        </w:rPr>
        <w:t xml:space="preserve"> </w:t>
      </w:r>
      <w:r>
        <w:rPr>
          <w:rFonts w:eastAsia="Times New Roman" w:cs="Times New Roman"/>
          <w:sz w:val="18"/>
          <w:szCs w:val="18"/>
        </w:rPr>
        <w:t xml:space="preserve">NYISO, </w:t>
      </w:r>
      <w:r w:rsidRPr="00916387">
        <w:rPr>
          <w:rFonts w:eastAsia="Times New Roman" w:cs="Times New Roman"/>
          <w:i/>
          <w:sz w:val="18"/>
          <w:szCs w:val="18"/>
        </w:rPr>
        <w:t>New York</w:t>
      </w:r>
      <w:r w:rsidRPr="00916387">
        <w:rPr>
          <w:rFonts w:eastAsia="Times New Roman" w:cs="Times New Roman"/>
          <w:sz w:val="18"/>
          <w:szCs w:val="18"/>
        </w:rPr>
        <w:t xml:space="preserve"> </w:t>
      </w:r>
      <w:r w:rsidRPr="00916387">
        <w:rPr>
          <w:rFonts w:eastAsia="Times New Roman" w:cs="Times New Roman"/>
          <w:i/>
          <w:sz w:val="18"/>
          <w:szCs w:val="18"/>
        </w:rPr>
        <w:t>2008 Reliability Needs Assessment</w:t>
      </w:r>
      <w:r w:rsidRPr="00916387">
        <w:rPr>
          <w:rFonts w:eastAsia="Times New Roman" w:cs="Times New Roman"/>
          <w:sz w:val="18"/>
          <w:szCs w:val="18"/>
        </w:rPr>
        <w:t xml:space="preserve"> (RNA) (December </w:t>
      </w:r>
      <w:r>
        <w:rPr>
          <w:rFonts w:eastAsia="Times New Roman" w:cs="Times New Roman"/>
          <w:sz w:val="18"/>
          <w:szCs w:val="18"/>
        </w:rPr>
        <w:t xml:space="preserve">10, </w:t>
      </w:r>
      <w:r w:rsidRPr="00916387">
        <w:rPr>
          <w:rFonts w:eastAsia="Times New Roman" w:cs="Times New Roman"/>
          <w:sz w:val="18"/>
          <w:szCs w:val="18"/>
        </w:rPr>
        <w:t xml:space="preserve">2007); </w:t>
      </w:r>
      <w:hyperlink r:id="rId105" w:history="1">
        <w:r w:rsidRPr="00916387">
          <w:rPr>
            <w:rFonts w:eastAsia="Times New Roman" w:cs="Times New Roman"/>
            <w:sz w:val="18"/>
            <w:szCs w:val="18"/>
          </w:rPr>
          <w:t>http://www.nyiso.com/public/webdocs/services/planning/reliability_assessments/2008_RNA__Supporting_FINAL_REPORT_12_12.pdf</w:t>
        </w:r>
      </w:hyperlink>
      <w:r w:rsidRPr="00916387">
        <w:rPr>
          <w:rFonts w:eastAsia="Times New Roman" w:cs="Times New Roman"/>
          <w:sz w:val="18"/>
          <w:szCs w:val="18"/>
        </w:rPr>
        <w:t xml:space="preserve">. </w:t>
      </w:r>
      <w:r w:rsidRPr="00916387">
        <w:rPr>
          <w:rFonts w:eastAsia="Times New Roman" w:cs="Times New Roman"/>
          <w:i/>
          <w:sz w:val="18"/>
          <w:szCs w:val="18"/>
        </w:rPr>
        <w:t>2008 New York ISO Comprehensive Reliability Plan</w:t>
      </w:r>
      <w:r w:rsidRPr="00916387">
        <w:rPr>
          <w:rFonts w:eastAsia="Times New Roman" w:cs="Times New Roman"/>
          <w:sz w:val="18"/>
          <w:szCs w:val="18"/>
        </w:rPr>
        <w:t xml:space="preserve"> (July 15, 2008) (developed in response to the 2008 RNA); </w:t>
      </w:r>
      <w:hyperlink r:id="rId106" w:history="1">
        <w:r w:rsidRPr="00916387">
          <w:rPr>
            <w:rFonts w:eastAsia="Times New Roman" w:cs="Times New Roman"/>
            <w:sz w:val="18"/>
            <w:szCs w:val="18"/>
          </w:rPr>
          <w:t>http://www.nyiso.com/public/webdocs/newsroom/press_releases/2008/2008_Comprensive_Reliability_Plan_Final_Report_07152008.pdf</w:t>
        </w:r>
      </w:hyperlink>
      <w:r w:rsidRPr="00916387">
        <w:rPr>
          <w:rFonts w:eastAsia="Times New Roman" w:cs="Times New Roman"/>
          <w:sz w:val="18"/>
          <w:szCs w:val="18"/>
        </w:rPr>
        <w:t xml:space="preserve">. </w:t>
      </w:r>
      <w:r w:rsidRPr="00916387">
        <w:rPr>
          <w:rFonts w:eastAsia="Times New Roman" w:cs="Times New Roman"/>
          <w:i/>
          <w:sz w:val="18"/>
          <w:szCs w:val="18"/>
        </w:rPr>
        <w:t xml:space="preserve">New York 2009 Reliability Needs Assessment </w:t>
      </w:r>
      <w:r w:rsidRPr="00916387">
        <w:rPr>
          <w:rFonts w:eastAsia="Times New Roman" w:cs="Times New Roman"/>
          <w:sz w:val="18"/>
          <w:szCs w:val="18"/>
        </w:rPr>
        <w:t xml:space="preserve">(January 13, 2009); </w:t>
      </w:r>
      <w:hyperlink r:id="rId107" w:history="1">
        <w:r w:rsidRPr="00916387">
          <w:rPr>
            <w:rFonts w:eastAsia="Times New Roman" w:cs="Times New Roman"/>
            <w:sz w:val="18"/>
            <w:szCs w:val="18"/>
          </w:rPr>
          <w:t>http://www.nyiso.com/public/webdocs/newsroom/press_releases/2009/RNA_2009_Final_1_13_09.pdf</w:t>
        </w:r>
      </w:hyperlink>
      <w:r w:rsidRPr="00916387">
        <w:rPr>
          <w:rFonts w:cs="Times New Roman"/>
          <w:sz w:val="18"/>
          <w:szCs w:val="18"/>
        </w:rPr>
        <w:t>.</w:t>
      </w:r>
      <w:r>
        <w:rPr>
          <w:rFonts w:cs="Times New Roman"/>
          <w:sz w:val="18"/>
          <w:szCs w:val="18"/>
        </w:rPr>
        <w:t xml:space="preserve"> PJM, </w:t>
      </w:r>
      <w:r w:rsidRPr="00916387">
        <w:rPr>
          <w:i/>
          <w:sz w:val="18"/>
          <w:szCs w:val="18"/>
        </w:rPr>
        <w:t>PJM 2007 RTEP Plan</w:t>
      </w:r>
      <w:r w:rsidRPr="00916387">
        <w:rPr>
          <w:sz w:val="18"/>
          <w:szCs w:val="18"/>
        </w:rPr>
        <w:t xml:space="preserve"> (February 27, 2008); http://www.pjm.com/documents/reports/rtep-report.aspx.</w:t>
      </w:r>
    </w:p>
  </w:footnote>
  <w:footnote w:id="299">
    <w:p w:rsidR="003C78A4" w:rsidRDefault="003C78A4" w:rsidP="00EC0545">
      <w:pPr>
        <w:pStyle w:val="FootnoteText"/>
      </w:pPr>
      <w:r>
        <w:rPr>
          <w:rStyle w:val="FootnoteReference"/>
        </w:rPr>
        <w:footnoteRef/>
      </w:r>
      <w:r w:rsidRPr="00916387">
        <w:t xml:space="preserve"> ISO New England </w:t>
      </w:r>
      <w:r w:rsidRPr="0033606A">
        <w:rPr>
          <w:i/>
        </w:rPr>
        <w:t>2009 CELT Report 2009</w:t>
      </w:r>
      <w:r>
        <w:rPr>
          <w:i/>
        </w:rPr>
        <w:t>–</w:t>
      </w:r>
      <w:r w:rsidRPr="0033606A">
        <w:rPr>
          <w:i/>
        </w:rPr>
        <w:t xml:space="preserve">2018 Forecast Report of Capacity, Energy, Loads, and Transmission </w:t>
      </w:r>
      <w:r w:rsidRPr="00916387">
        <w:t>(April 15, 2009);</w:t>
      </w:r>
      <w:hyperlink w:history="1"/>
      <w:r w:rsidRPr="00916387">
        <w:t xml:space="preserve"> http://www.iso-ne.com/trans/celt/report/2009/index.html.</w:t>
      </w:r>
    </w:p>
  </w:footnote>
  <w:footnote w:id="300">
    <w:p w:rsidR="003C78A4" w:rsidRDefault="003C78A4" w:rsidP="00EC0545">
      <w:pPr>
        <w:pStyle w:val="FootnoteText"/>
      </w:pPr>
      <w:r w:rsidRPr="00916387">
        <w:rPr>
          <w:rStyle w:val="FootnoteReference"/>
        </w:rPr>
        <w:footnoteRef/>
      </w:r>
      <w:r w:rsidRPr="00916387">
        <w:t xml:space="preserve"> Refer to RSP09, Table 4-7; http://www.iso-ne.com/trans/rsp/2009/index. Operating Procedure No. 4, </w:t>
      </w:r>
      <w:r w:rsidRPr="0033606A">
        <w:rPr>
          <w:i/>
        </w:rPr>
        <w:t>Action during a Capacity Deficiency</w:t>
      </w:r>
      <w:r w:rsidRPr="00916387">
        <w:t xml:space="preserve"> (March 5, 2008); </w:t>
      </w:r>
      <w:hyperlink r:id="rId108" w:history="1">
        <w:r w:rsidRPr="00916387">
          <w:rPr>
            <w:rStyle w:val="Hyperlink"/>
            <w:color w:val="auto"/>
            <w:u w:val="none"/>
          </w:rPr>
          <w:t>http://www.iso-ne.com/rules_proceds/operating/isone/op4/index.html</w:t>
        </w:r>
      </w:hyperlink>
      <w:r w:rsidRPr="00916387">
        <w:t>.</w:t>
      </w:r>
    </w:p>
  </w:footnote>
  <w:footnote w:id="301">
    <w:p w:rsidR="003C78A4" w:rsidRDefault="003C78A4" w:rsidP="00EC0545">
      <w:pPr>
        <w:pStyle w:val="FootnoteText"/>
      </w:pPr>
      <w:r>
        <w:rPr>
          <w:rStyle w:val="FootnoteReference"/>
        </w:rPr>
        <w:footnoteRef/>
      </w:r>
      <w:r>
        <w:t xml:space="preserve"> EIA, DOE, Form EIA-860 Database Annual Electric Generator Report (2010); </w:t>
      </w:r>
      <w:r w:rsidRPr="00AB221D">
        <w:t>http://www.eia.doe.gov/cneaf/electricity/page/eia860.html</w:t>
      </w:r>
      <w:r>
        <w:t>.</w:t>
      </w:r>
    </w:p>
  </w:footnote>
  <w:footnote w:id="302">
    <w:p w:rsidR="003C78A4" w:rsidRDefault="003C78A4" w:rsidP="00EC0545">
      <w:pPr>
        <w:pStyle w:val="FootnoteText"/>
      </w:pPr>
      <w:r w:rsidRPr="00916387">
        <w:rPr>
          <w:rStyle w:val="FootnoteReference"/>
        </w:rPr>
        <w:footnoteRef/>
      </w:r>
      <w:r w:rsidRPr="00916387">
        <w:t xml:space="preserve"> </w:t>
      </w:r>
      <w:r>
        <w:t xml:space="preserve">NYISO, </w:t>
      </w:r>
      <w:r w:rsidRPr="00246DD0">
        <w:rPr>
          <w:i/>
        </w:rPr>
        <w:t>2009 Load and Capacity Data “Gold Book,”</w:t>
      </w:r>
      <w:r w:rsidRPr="00916387">
        <w:t xml:space="preserve"> (April 2009); http://www.nyiso.com/public/webdocs/services/planning/planning_data_reference_documents/2009_LoadCapacityData_PUBLIC.pdf . </w:t>
      </w:r>
      <w:r>
        <w:t xml:space="preserve">PJM, </w:t>
      </w:r>
      <w:r w:rsidRPr="00246DD0">
        <w:rPr>
          <w:i/>
        </w:rPr>
        <w:t>PJM Load Forecast Report</w:t>
      </w:r>
      <w:r w:rsidRPr="00916387">
        <w:t xml:space="preserve"> (January 2009); http://green.dc.gov/green/lib/green/pdfs/2009-pjm-load-report.pdf.</w:t>
      </w:r>
    </w:p>
  </w:footnote>
  <w:footnote w:id="303">
    <w:p w:rsidR="003C78A4" w:rsidRDefault="003C78A4">
      <w:pPr>
        <w:pStyle w:val="Default"/>
        <w:spacing w:after="80"/>
      </w:pPr>
      <w:r w:rsidRPr="00916387">
        <w:rPr>
          <w:rStyle w:val="FootnoteReference"/>
          <w:szCs w:val="18"/>
        </w:rPr>
        <w:footnoteRef/>
      </w:r>
      <w:r w:rsidRPr="00916387">
        <w:rPr>
          <w:sz w:val="18"/>
          <w:szCs w:val="18"/>
        </w:rPr>
        <w:t xml:space="preserve"> ISO generic generator dispatch cost spreadsheets provide production costs and emission rates for given fuel costs and emission allowances. Users can make their own input assumptions in these spreadsheets, which are available at</w:t>
      </w:r>
      <w:r>
        <w:rPr>
          <w:sz w:val="18"/>
          <w:szCs w:val="18"/>
        </w:rPr>
        <w:br/>
      </w:r>
      <w:r w:rsidRPr="00916387">
        <w:rPr>
          <w:sz w:val="18"/>
          <w:szCs w:val="18"/>
        </w:rPr>
        <w:t>http://www.iso-ne.com/committees/comm_wkgrps/prtcpnts_comm/eag/usr_sprdshts/index.html.</w:t>
      </w:r>
    </w:p>
  </w:footnote>
  <w:footnote w:id="304">
    <w:p w:rsidR="003C78A4" w:rsidRDefault="003C78A4" w:rsidP="00EC0545">
      <w:pPr>
        <w:pStyle w:val="FootnoteText"/>
      </w:pPr>
      <w:r w:rsidRPr="00916387">
        <w:rPr>
          <w:rStyle w:val="FootnoteReference"/>
        </w:rPr>
        <w:footnoteRef/>
      </w:r>
      <w:r w:rsidRPr="00916387">
        <w:t xml:space="preserve"> </w:t>
      </w:r>
      <w:r>
        <w:t xml:space="preserve">EIA, DOE, </w:t>
      </w:r>
      <w:r w:rsidRPr="00246DD0">
        <w:rPr>
          <w:rFonts w:eastAsiaTheme="majorEastAsia"/>
          <w:i/>
        </w:rPr>
        <w:t>2009 Annual Energy Outlook</w:t>
      </w:r>
      <w:r w:rsidRPr="00916387">
        <w:t xml:space="preserve">, DOE/EIA-0383 (June 2009); </w:t>
      </w:r>
      <w:hyperlink r:id="rId109" w:history="1">
        <w:r w:rsidRPr="00916387">
          <w:rPr>
            <w:rStyle w:val="Hyperlink"/>
            <w:color w:val="auto"/>
            <w:u w:val="none"/>
          </w:rPr>
          <w:t>http://www.eia.doe.gov/oiaf/archive/aeo09/index.html</w:t>
        </w:r>
      </w:hyperlink>
      <w:r w:rsidRPr="00916387">
        <w:t>.</w:t>
      </w:r>
    </w:p>
  </w:footnote>
  <w:footnote w:id="305">
    <w:p w:rsidR="003C78A4" w:rsidRDefault="003C78A4" w:rsidP="00EC0545">
      <w:pPr>
        <w:pStyle w:val="FootnoteText"/>
      </w:pPr>
      <w:r w:rsidRPr="00916387">
        <w:rPr>
          <w:rStyle w:val="FootnoteReference"/>
        </w:rPr>
        <w:footnoteRef/>
      </w:r>
      <w:r w:rsidRPr="00916387">
        <w:t xml:space="preserve"> Also see the ISO’s </w:t>
      </w:r>
      <w:r w:rsidRPr="00FA3A4C">
        <w:rPr>
          <w:i/>
        </w:rPr>
        <w:t>2009 Annual Markets Report</w:t>
      </w:r>
      <w:r w:rsidRPr="00916387">
        <w:t>, Section 2.6;</w:t>
      </w:r>
      <w:r>
        <w:br/>
      </w:r>
      <w:r w:rsidRPr="00916387">
        <w:t>http://www.iso-ne.com/markets/mktmonmit/rpts/other/amr09_final_051810.pdf</w:t>
      </w:r>
      <w:hyperlink w:history="1"/>
      <w:r w:rsidRPr="00916387">
        <w:t>.</w:t>
      </w:r>
    </w:p>
  </w:footnote>
  <w:footnote w:id="306">
    <w:p w:rsidR="003C78A4" w:rsidRDefault="003C78A4" w:rsidP="00EC0545">
      <w:pPr>
        <w:pStyle w:val="FootnoteText"/>
      </w:pPr>
      <w:r w:rsidRPr="00916387">
        <w:rPr>
          <w:rStyle w:val="FootnoteReference"/>
        </w:rPr>
        <w:footnoteRef/>
      </w:r>
      <w:r w:rsidRPr="00916387">
        <w:t xml:space="preserve"> </w:t>
      </w:r>
      <w:r w:rsidRPr="0067358D">
        <w:rPr>
          <w:i/>
        </w:rPr>
        <w:t>Auction Revenue Rights</w:t>
      </w:r>
      <w:r w:rsidRPr="00916387">
        <w:t xml:space="preserve"> are a mechanism used to distribute some of FTR auction revenue to congestion-paying load-serving entities and transmission customers that have supported the transmission system.</w:t>
      </w:r>
    </w:p>
  </w:footnote>
  <w:footnote w:id="307">
    <w:p w:rsidR="003C78A4" w:rsidRDefault="003C78A4" w:rsidP="00EC0545">
      <w:pPr>
        <w:pStyle w:val="FootnoteText"/>
      </w:pPr>
      <w:r w:rsidRPr="00916387">
        <w:rPr>
          <w:rStyle w:val="FootnoteReference"/>
        </w:rPr>
        <w:footnoteRef/>
      </w:r>
      <w:r w:rsidRPr="00916387">
        <w:t xml:space="preserve"> Emissions could be well below the cap in the short term. This is the case with RGGI CO</w:t>
      </w:r>
      <w:r>
        <w:rPr>
          <w:vertAlign w:val="subscript"/>
        </w:rPr>
        <w:t>2</w:t>
      </w:r>
      <w:r w:rsidRPr="00916387">
        <w:t xml:space="preserve"> emissions; see Section </w:t>
      </w:r>
      <w:fldSimple w:instr=" REF _Ref266614475 \r \h  \* MERGEFORMAT ">
        <w:r w:rsidR="00E5699E">
          <w:t>8.1.2</w:t>
        </w:r>
      </w:fldSimple>
      <w:r w:rsidRPr="00916387">
        <w:t>.</w:t>
      </w:r>
    </w:p>
  </w:footnote>
  <w:footnote w:id="308">
    <w:p w:rsidR="003C78A4" w:rsidRDefault="003C78A4" w:rsidP="00EC0545">
      <w:pPr>
        <w:pStyle w:val="FootnoteText"/>
      </w:pPr>
      <w:r w:rsidRPr="00916387">
        <w:rPr>
          <w:rStyle w:val="FootnoteReference"/>
        </w:rPr>
        <w:footnoteRef/>
      </w:r>
      <w:r w:rsidRPr="00916387">
        <w:t xml:space="preserve"> NESCOE is the FERC-approved regional-state committee for providing advisory input to the ISO regarding the development of the RSP.</w:t>
      </w:r>
    </w:p>
  </w:footnote>
  <w:footnote w:id="309">
    <w:p w:rsidR="003C78A4" w:rsidRDefault="003C78A4" w:rsidP="00EC0545">
      <w:pPr>
        <w:pStyle w:val="FootnoteText"/>
      </w:pPr>
      <w:r w:rsidRPr="00916387">
        <w:rPr>
          <w:rStyle w:val="FootnoteReference"/>
        </w:rPr>
        <w:footnoteRef/>
      </w:r>
      <w:r w:rsidRPr="00916387">
        <w:t xml:space="preserve"> The undersea cable is assumed to use HVDC voltage-source converter technology.</w:t>
      </w:r>
    </w:p>
  </w:footnote>
  <w:footnote w:id="310">
    <w:p w:rsidR="003C78A4" w:rsidRDefault="003C78A4" w:rsidP="00EC0545">
      <w:pPr>
        <w:pStyle w:val="FootnoteText"/>
      </w:pPr>
      <w:r w:rsidRPr="00916387">
        <w:rPr>
          <w:rStyle w:val="FootnoteReference"/>
        </w:rPr>
        <w:footnoteRef/>
      </w:r>
      <w:r w:rsidRPr="00916387">
        <w:t xml:space="preserve"> See the PAC presentation materials (April 27, 2010);</w:t>
      </w:r>
      <w:r>
        <w:br/>
      </w:r>
      <w:r w:rsidRPr="00916387">
        <w:t>http://www.iso-ne.com/committees/comm_wkgrps/prtcpnts_comm/pac/mtrls/2010/apr272010/index.html.</w:t>
      </w:r>
    </w:p>
  </w:footnote>
  <w:footnote w:id="311">
    <w:p w:rsidR="003C78A4" w:rsidRDefault="003C78A4" w:rsidP="00EC0545">
      <w:pPr>
        <w:pStyle w:val="FootnoteText"/>
      </w:pPr>
      <w:r w:rsidRPr="00916387">
        <w:rPr>
          <w:rStyle w:val="FootnoteReference"/>
        </w:rPr>
        <w:footnoteRef/>
      </w:r>
      <w:r w:rsidRPr="00916387">
        <w:t xml:space="preserve"> See additional details of the scope of work and assumptions available at</w:t>
      </w:r>
      <w:r>
        <w:br/>
      </w:r>
      <w:r w:rsidRPr="00916387">
        <w:t>http://iso-ne.com/committees/comm_wkgrps/prtcpnts_comm/pac/mtrls/2010/jun162010/economic_studies.pdf.</w:t>
      </w:r>
    </w:p>
  </w:footnote>
  <w:footnote w:id="312">
    <w:p w:rsidR="003C78A4" w:rsidRDefault="003C78A4" w:rsidP="00EC0545">
      <w:pPr>
        <w:pStyle w:val="FootnoteText"/>
      </w:pPr>
      <w:r>
        <w:rPr>
          <w:rStyle w:val="FootnoteReference"/>
        </w:rPr>
        <w:footnoteRef/>
      </w:r>
      <w:r w:rsidRPr="00890D42">
        <w:t xml:space="preserve"> </w:t>
      </w:r>
      <w:r w:rsidRPr="00916387">
        <w:t xml:space="preserve">The use of various metrics provided by the economic studies, such as energy revenues to resources by type, can be compared with the resource production costs and carrying charges derived from the representative capital costs to determine the economic viability </w:t>
      </w:r>
      <w:r w:rsidRPr="00405706">
        <w:t>of specific expansion</w:t>
      </w:r>
      <w:r w:rsidRPr="00916387">
        <w:t xml:space="preserve"> </w:t>
      </w:r>
      <w:r w:rsidRPr="00890D42">
        <w:t>scenarios.</w:t>
      </w:r>
    </w:p>
  </w:footnote>
  <w:footnote w:id="313">
    <w:p w:rsidR="003C78A4" w:rsidRDefault="003C78A4" w:rsidP="00EC0545">
      <w:pPr>
        <w:pStyle w:val="FootnoteText"/>
      </w:pPr>
      <w:r>
        <w:rPr>
          <w:rStyle w:val="FootnoteReference"/>
        </w:rPr>
        <w:footnoteRef/>
      </w:r>
      <w:r w:rsidRPr="00890D42">
        <w:t xml:space="preserve"> The Brattle Group, Connecticut Light and Power, United Illuminating</w:t>
      </w:r>
      <w:r>
        <w:t>,</w:t>
      </w:r>
      <w:r w:rsidRPr="00890D42">
        <w:rPr>
          <w:i/>
        </w:rPr>
        <w:t xml:space="preserve"> Integrated Resource Plan for Connecticut </w:t>
      </w:r>
      <w:r w:rsidRPr="00890D42">
        <w:t>(January 1, 2010); http://www.ctenergy.org/pdf/2010IRP.pdf.</w:t>
      </w:r>
    </w:p>
  </w:footnote>
  <w:footnote w:id="314">
    <w:p w:rsidR="003C78A4" w:rsidRDefault="003C78A4" w:rsidP="00EC0545">
      <w:pPr>
        <w:pStyle w:val="FootnoteText"/>
      </w:pPr>
      <w:r>
        <w:rPr>
          <w:rStyle w:val="FootnoteReference"/>
        </w:rPr>
        <w:footnoteRef/>
      </w:r>
      <w:r w:rsidRPr="00890D42">
        <w:t xml:space="preserve"> </w:t>
      </w:r>
      <w:r w:rsidRPr="00890D42">
        <w:rPr>
          <w:i/>
        </w:rPr>
        <w:t>New England Electricity Scenario Analysis Report</w:t>
      </w:r>
      <w:r w:rsidRPr="00890D42">
        <w:t xml:space="preserve"> (August 2, 2007);</w:t>
      </w:r>
      <w:r>
        <w:br/>
      </w:r>
      <w:r w:rsidRPr="00890D42">
        <w:t xml:space="preserve">http://www.iso-ne.com/committees/comm_wkgrps/othr/sas/mtrls/elec_report/scenario_analysis_final.pdf. </w:t>
      </w:r>
    </w:p>
  </w:footnote>
  <w:footnote w:id="315">
    <w:p w:rsidR="003C78A4" w:rsidRDefault="003C78A4" w:rsidP="00EC0545">
      <w:pPr>
        <w:pStyle w:val="FootnoteText"/>
      </w:pPr>
      <w:r w:rsidRPr="00916387">
        <w:rPr>
          <w:rStyle w:val="FootnoteReference"/>
        </w:rPr>
        <w:footnoteRef/>
      </w:r>
      <w:r w:rsidRPr="00916387">
        <w:t xml:space="preserve"> </w:t>
      </w:r>
      <w:r>
        <w:t>“</w:t>
      </w:r>
      <w:r w:rsidRPr="00916387">
        <w:t>Update on Generic Capital Costs of New Resources,</w:t>
      </w:r>
      <w:r>
        <w:t>”</w:t>
      </w:r>
      <w:r w:rsidRPr="00916387">
        <w:t xml:space="preserve"> PAC presentation (January 21, 2010);</w:t>
      </w:r>
      <w:r>
        <w:br/>
      </w:r>
      <w:r w:rsidRPr="00916387">
        <w:t xml:space="preserve">http://iso-ne.com/committees/comm_wkgrps/prtcpnts_comm/pac/mtrls/2010/jan212010/generic_resource_costs.pdf. </w:t>
      </w:r>
    </w:p>
  </w:footnote>
  <w:footnote w:id="316">
    <w:p w:rsidR="003C78A4" w:rsidRDefault="003C78A4" w:rsidP="00EC0545">
      <w:pPr>
        <w:pStyle w:val="FootnoteText"/>
      </w:pPr>
      <w:r>
        <w:rPr>
          <w:rStyle w:val="FootnoteReference"/>
        </w:rPr>
        <w:footnoteRef/>
      </w:r>
      <w:r w:rsidRPr="00890D42">
        <w:t xml:space="preserve"> Ryan Wiser and Mark Bolinger, </w:t>
      </w:r>
      <w:r w:rsidRPr="00890D42">
        <w:rPr>
          <w:i/>
          <w:color w:val="000000"/>
        </w:rPr>
        <w:t>2009 Wind Technologies Market Report</w:t>
      </w:r>
      <w:r w:rsidRPr="00890D42">
        <w:rPr>
          <w:color w:val="000000"/>
        </w:rPr>
        <w:t xml:space="preserve"> (DOE, </w:t>
      </w:r>
      <w:r w:rsidRPr="00890D42">
        <w:t>Lawrence Berkley National Laboratory, August 2010); http://eetd.lbl.gov/ea/ems/reports/lbnl-3716e.pdf.</w:t>
      </w:r>
    </w:p>
  </w:footnote>
  <w:footnote w:id="317">
    <w:p w:rsidR="003C78A4" w:rsidRDefault="003C78A4" w:rsidP="00EC0545">
      <w:pPr>
        <w:pStyle w:val="FootnoteText"/>
      </w:pPr>
      <w:r>
        <w:rPr>
          <w:rStyle w:val="FootnoteReference"/>
        </w:rPr>
        <w:footnoteRef/>
      </w:r>
      <w:r w:rsidRPr="00890D42">
        <w:t xml:space="preserve"> </w:t>
      </w:r>
      <w:r w:rsidRPr="00890D42">
        <w:rPr>
          <w:i/>
        </w:rPr>
        <w:t>Energy Policy Act of 2005</w:t>
      </w:r>
      <w:r w:rsidRPr="00890D42">
        <w:t xml:space="preserve">, </w:t>
      </w:r>
      <w:r>
        <w:t xml:space="preserve">U.S. </w:t>
      </w:r>
      <w:r w:rsidRPr="00890D42">
        <w:t>Pub</w:t>
      </w:r>
      <w:r>
        <w:t>lic</w:t>
      </w:r>
      <w:r w:rsidRPr="00890D42">
        <w:t xml:space="preserve"> L</w:t>
      </w:r>
      <w:r>
        <w:t>aw</w:t>
      </w:r>
      <w:r w:rsidRPr="00890D42">
        <w:t xml:space="preserve">. 109-58, Title XII, Subtitle B, 119 Stat. 594 (2005) (amending the </w:t>
      </w:r>
      <w:r w:rsidRPr="00890D42">
        <w:rPr>
          <w:i/>
        </w:rPr>
        <w:t>Federal Power Act</w:t>
      </w:r>
      <w:r w:rsidRPr="00890D42">
        <w:t xml:space="preserve"> to add a new </w:t>
      </w:r>
      <w:r>
        <w:t xml:space="preserve">§ </w:t>
      </w:r>
      <w:r w:rsidRPr="00890D42">
        <w:t>216).</w:t>
      </w:r>
    </w:p>
  </w:footnote>
  <w:footnote w:id="318">
    <w:p w:rsidR="003C78A4" w:rsidRDefault="003C78A4">
      <w:pPr>
        <w:spacing w:after="80" w:line="240" w:lineRule="auto"/>
        <w:rPr>
          <w:rFonts w:cs="Times New Roman"/>
          <w:sz w:val="18"/>
          <w:szCs w:val="18"/>
        </w:rPr>
      </w:pPr>
      <w:r>
        <w:rPr>
          <w:rStyle w:val="FootnoteReference"/>
          <w:rFonts w:eastAsia="Times New Roman"/>
          <w:color w:val="000000"/>
          <w:szCs w:val="18"/>
        </w:rPr>
        <w:footnoteRef/>
      </w:r>
      <w:r w:rsidRPr="00890D42">
        <w:rPr>
          <w:rFonts w:cs="Times New Roman"/>
          <w:sz w:val="18"/>
          <w:szCs w:val="18"/>
        </w:rPr>
        <w:t xml:space="preserve"> </w:t>
      </w:r>
      <w:r w:rsidRPr="00890D42">
        <w:rPr>
          <w:rFonts w:cs="Times New Roman"/>
          <w:i/>
          <w:sz w:val="18"/>
          <w:szCs w:val="18"/>
        </w:rPr>
        <w:t>National Interest Electric Transmission Corridors and Congestion Study</w:t>
      </w:r>
      <w:r w:rsidRPr="00890D42">
        <w:rPr>
          <w:rFonts w:cs="Times New Roman"/>
          <w:sz w:val="18"/>
          <w:szCs w:val="18"/>
        </w:rPr>
        <w:t xml:space="preserve"> documents are available at http://nietc.anl.gov/documents/index.cfm. The </w:t>
      </w:r>
      <w:r w:rsidRPr="00890D42">
        <w:rPr>
          <w:rFonts w:cs="Times New Roman"/>
          <w:i/>
          <w:sz w:val="18"/>
          <w:szCs w:val="18"/>
        </w:rPr>
        <w:t>2006 C</w:t>
      </w:r>
      <w:r>
        <w:rPr>
          <w:rFonts w:cs="Times New Roman"/>
          <w:i/>
          <w:sz w:val="18"/>
          <w:szCs w:val="18"/>
        </w:rPr>
        <w:t>ongestion Study of the Eastern I</w:t>
      </w:r>
      <w:r w:rsidRPr="00890D42">
        <w:rPr>
          <w:rFonts w:cs="Times New Roman"/>
          <w:i/>
          <w:sz w:val="18"/>
          <w:szCs w:val="18"/>
        </w:rPr>
        <w:t>nterconnection</w:t>
      </w:r>
      <w:r w:rsidRPr="00890D42">
        <w:rPr>
          <w:rFonts w:cs="Times New Roman"/>
          <w:sz w:val="18"/>
          <w:szCs w:val="18"/>
        </w:rPr>
        <w:t xml:space="preserve"> </w:t>
      </w:r>
      <w:r>
        <w:rPr>
          <w:rFonts w:cs="Times New Roman"/>
          <w:sz w:val="18"/>
          <w:szCs w:val="18"/>
        </w:rPr>
        <w:t xml:space="preserve">(August 2006) </w:t>
      </w:r>
      <w:r w:rsidRPr="00890D42">
        <w:rPr>
          <w:rFonts w:cs="Times New Roman"/>
          <w:sz w:val="18"/>
          <w:szCs w:val="18"/>
        </w:rPr>
        <w:t xml:space="preserve">is available at </w:t>
      </w:r>
      <w:hyperlink r:id="rId110" w:history="1">
        <w:r w:rsidRPr="00890D42">
          <w:rPr>
            <w:rFonts w:cs="Times New Roman"/>
            <w:sz w:val="18"/>
            <w:szCs w:val="18"/>
          </w:rPr>
          <w:t>http://nietc.anl.gov/documents/docs/Congestion_Study_2006-9MB.pdf</w:t>
        </w:r>
      </w:hyperlink>
      <w:r w:rsidRPr="00890D42">
        <w:rPr>
          <w:rFonts w:cs="Times New Roman"/>
          <w:sz w:val="18"/>
          <w:szCs w:val="18"/>
        </w:rPr>
        <w:t>.</w:t>
      </w:r>
    </w:p>
  </w:footnote>
  <w:footnote w:id="319">
    <w:p w:rsidR="003C78A4" w:rsidRDefault="003C78A4" w:rsidP="00EC0545">
      <w:pPr>
        <w:pStyle w:val="FootnoteText"/>
      </w:pPr>
      <w:r>
        <w:rPr>
          <w:rStyle w:val="FootnoteReference"/>
        </w:rPr>
        <w:footnoteRef/>
      </w:r>
      <w:r w:rsidRPr="00890D42">
        <w:t xml:space="preserve"> A map of the Mid-Atlantic Area National Corridor is available at http://nietc.anl.gov/documents/docs/NIETC_MidAtlantic_Area_Corridor_Map.pdf.</w:t>
      </w:r>
    </w:p>
  </w:footnote>
  <w:footnote w:id="320">
    <w:p w:rsidR="003C78A4" w:rsidRDefault="003C78A4">
      <w:pPr>
        <w:spacing w:after="80" w:line="240" w:lineRule="auto"/>
        <w:rPr>
          <w:rFonts w:cs="Times New Roman"/>
          <w:sz w:val="18"/>
          <w:szCs w:val="18"/>
        </w:rPr>
      </w:pPr>
      <w:r>
        <w:rPr>
          <w:rStyle w:val="FootnoteReference"/>
          <w:szCs w:val="18"/>
        </w:rPr>
        <w:footnoteRef/>
      </w:r>
      <w:r w:rsidRPr="00916387">
        <w:rPr>
          <w:rFonts w:cs="Times New Roman"/>
          <w:sz w:val="18"/>
          <w:szCs w:val="18"/>
        </w:rPr>
        <w:t xml:space="preserve"> </w:t>
      </w:r>
      <w:r>
        <w:rPr>
          <w:rFonts w:cs="Times New Roman"/>
          <w:sz w:val="18"/>
          <w:szCs w:val="18"/>
        </w:rPr>
        <w:t xml:space="preserve">DOE, </w:t>
      </w:r>
      <w:r w:rsidRPr="00310F12">
        <w:rPr>
          <w:rFonts w:cs="Times New Roman"/>
          <w:i/>
          <w:sz w:val="18"/>
          <w:szCs w:val="18"/>
        </w:rPr>
        <w:t>2009</w:t>
      </w:r>
      <w:r>
        <w:rPr>
          <w:rFonts w:cs="Times New Roman"/>
          <w:sz w:val="18"/>
          <w:szCs w:val="18"/>
        </w:rPr>
        <w:t xml:space="preserve"> </w:t>
      </w:r>
      <w:r w:rsidRPr="00916387">
        <w:rPr>
          <w:rFonts w:cs="Times New Roman"/>
          <w:i/>
          <w:sz w:val="18"/>
          <w:szCs w:val="18"/>
        </w:rPr>
        <w:t xml:space="preserve">National Electric Transmission Congestion Study </w:t>
      </w:r>
      <w:r w:rsidRPr="00916387">
        <w:rPr>
          <w:rFonts w:cs="Times New Roman"/>
          <w:sz w:val="18"/>
          <w:szCs w:val="18"/>
        </w:rPr>
        <w:t>(D</w:t>
      </w:r>
      <w:r>
        <w:rPr>
          <w:rFonts w:cs="Times New Roman"/>
          <w:sz w:val="18"/>
          <w:szCs w:val="18"/>
        </w:rPr>
        <w:t xml:space="preserve">OE, </w:t>
      </w:r>
      <w:r w:rsidRPr="00916387">
        <w:rPr>
          <w:rFonts w:cs="Times New Roman"/>
          <w:sz w:val="18"/>
          <w:szCs w:val="18"/>
        </w:rPr>
        <w:t xml:space="preserve">December 2009); </w:t>
      </w:r>
      <w:hyperlink r:id="rId111" w:history="1">
        <w:r>
          <w:rPr>
            <w:rStyle w:val="Hyperlink"/>
            <w:rFonts w:cs="Times New Roman"/>
            <w:color w:val="auto"/>
            <w:sz w:val="18"/>
            <w:szCs w:val="18"/>
            <w:u w:val="none"/>
          </w:rPr>
          <w:t>http://congestion09.anl.gov/documents/docs/Congestion_Study_2009.pdf</w:t>
        </w:r>
      </w:hyperlink>
      <w:r w:rsidRPr="00916387">
        <w:rPr>
          <w:rFonts w:cs="Times New Roman"/>
          <w:sz w:val="18"/>
          <w:szCs w:val="18"/>
        </w:rPr>
        <w:t>.</w:t>
      </w:r>
    </w:p>
  </w:footnote>
  <w:footnote w:id="321">
    <w:p w:rsidR="003C78A4" w:rsidRDefault="003C78A4" w:rsidP="00EC0545">
      <w:pPr>
        <w:pStyle w:val="FootnoteText"/>
      </w:pPr>
      <w:r w:rsidRPr="00916387">
        <w:rPr>
          <w:rStyle w:val="FootnoteReference"/>
        </w:rPr>
        <w:footnoteRef/>
      </w:r>
      <w:r w:rsidRPr="00916387">
        <w:t xml:space="preserve"> </w:t>
      </w:r>
      <w:r w:rsidRPr="009A7082">
        <w:rPr>
          <w:i/>
        </w:rPr>
        <w:t>American Recovery and Reinvestment Act of 2009</w:t>
      </w:r>
      <w:r>
        <w:t xml:space="preserve">, </w:t>
      </w:r>
      <w:r w:rsidRPr="00916387">
        <w:t>Stimulus Bill</w:t>
      </w:r>
      <w:r>
        <w:t xml:space="preserve">, U.S. </w:t>
      </w:r>
      <w:r w:rsidRPr="00916387">
        <w:t>Pub</w:t>
      </w:r>
      <w:r>
        <w:t>lic</w:t>
      </w:r>
      <w:r w:rsidRPr="00916387">
        <w:t xml:space="preserve"> L</w:t>
      </w:r>
      <w:r>
        <w:t xml:space="preserve">aw </w:t>
      </w:r>
      <w:r w:rsidRPr="00916387">
        <w:t>111-5, H.R. 1, S. 1 (February 17, 2009); http://www.gpo.gov/fdsys/pkg/PLAW-111publ5/content-detail.html.</w:t>
      </w:r>
    </w:p>
  </w:footnote>
  <w:footnote w:id="322">
    <w:p w:rsidR="003C78A4" w:rsidRDefault="003C78A4" w:rsidP="00EC0545">
      <w:pPr>
        <w:pStyle w:val="FootnoteText"/>
      </w:pPr>
      <w:r w:rsidRPr="00916387">
        <w:rPr>
          <w:rStyle w:val="FootnoteReference"/>
        </w:rPr>
        <w:footnoteRef/>
      </w:r>
      <w:r w:rsidRPr="00916387">
        <w:t xml:space="preserve"> Workshop materials are available at the DOE Web site, </w:t>
      </w:r>
      <w:r>
        <w:t>“</w:t>
      </w:r>
      <w:r w:rsidRPr="00916387">
        <w:t>2009 National Electric Transmission Congestion Study</w:t>
      </w:r>
      <w:r>
        <w:t>”</w:t>
      </w:r>
      <w:r w:rsidRPr="00916387">
        <w:t xml:space="preserve"> (</w:t>
      </w:r>
      <w:r>
        <w:t>n.d</w:t>
      </w:r>
      <w:r w:rsidRPr="00916387">
        <w:t>); http://congestion09.anl.gov//.</w:t>
      </w:r>
    </w:p>
  </w:footnote>
  <w:footnote w:id="323">
    <w:p w:rsidR="003C78A4" w:rsidRDefault="003C78A4" w:rsidP="00EC0545">
      <w:pPr>
        <w:pStyle w:val="FootnoteText"/>
      </w:pPr>
      <w:r w:rsidRPr="00916387">
        <w:rPr>
          <w:rStyle w:val="FootnoteReference"/>
        </w:rPr>
        <w:footnoteRef/>
      </w:r>
      <w:r w:rsidRPr="00916387">
        <w:t xml:space="preserve"> </w:t>
      </w:r>
      <w:r>
        <w:t xml:space="preserve">Open Access Technology International, Inc. </w:t>
      </w:r>
      <w:r w:rsidRPr="009A7082">
        <w:rPr>
          <w:i/>
        </w:rPr>
        <w:t>Assessment of Historical Transmission Congestion in the Eastern Interconnection</w:t>
      </w:r>
      <w:r w:rsidRPr="00916387">
        <w:t xml:space="preserve"> (DOE, July </w:t>
      </w:r>
      <w:r>
        <w:t xml:space="preserve">1, </w:t>
      </w:r>
      <w:r w:rsidRPr="00916387">
        <w:t xml:space="preserve">2009); </w:t>
      </w:r>
      <w:hyperlink r:id="rId112" w:history="1">
        <w:r w:rsidRPr="00916387">
          <w:rPr>
            <w:rStyle w:val="Hyperlink"/>
            <w:color w:val="auto"/>
            <w:u w:val="none"/>
          </w:rPr>
          <w:t>http://www.congestion09.anl.gov/documents/docs/EasternInterconnection.pdf</w:t>
        </w:r>
      </w:hyperlink>
      <w:r w:rsidRPr="00916387">
        <w:t>.</w:t>
      </w:r>
    </w:p>
  </w:footnote>
  <w:footnote w:id="324">
    <w:p w:rsidR="003C78A4" w:rsidRDefault="003C78A4" w:rsidP="00EC0545">
      <w:pPr>
        <w:pStyle w:val="FootnoteText"/>
      </w:pPr>
      <w:r>
        <w:rPr>
          <w:rStyle w:val="FootnoteReference"/>
        </w:rPr>
        <w:footnoteRef/>
      </w:r>
      <w:r>
        <w:t xml:space="preserve"> See </w:t>
      </w:r>
      <w:r w:rsidRPr="00307C00">
        <w:t>http://www.eipconline.com/</w:t>
      </w:r>
      <w:r>
        <w:t>.</w:t>
      </w:r>
    </w:p>
  </w:footnote>
  <w:footnote w:id="325">
    <w:p w:rsidR="003C78A4" w:rsidRDefault="003C78A4" w:rsidP="00EC0545">
      <w:pPr>
        <w:pStyle w:val="FootnoteText"/>
      </w:pPr>
      <w:r w:rsidRPr="00916387">
        <w:rPr>
          <w:rStyle w:val="FootnoteReference"/>
        </w:rPr>
        <w:footnoteRef/>
      </w:r>
      <w:r>
        <w:t xml:space="preserve">See the </w:t>
      </w:r>
      <w:r w:rsidRPr="005A638F">
        <w:rPr>
          <w:i/>
        </w:rPr>
        <w:t>EIPC Final DOE</w:t>
      </w:r>
      <w:r>
        <w:t xml:space="preserve"> </w:t>
      </w:r>
      <w:r w:rsidRPr="00054A68">
        <w:rPr>
          <w:i/>
        </w:rPr>
        <w:t>Statement of Project Objectives</w:t>
      </w:r>
      <w:r>
        <w:t xml:space="preserve"> (July 14, 2010); </w:t>
      </w:r>
      <w:r w:rsidRPr="00307C00">
        <w:t>http://www.eipconline.com/Documents/SOPO_14Jul10_DE-OE0000343.pdf</w:t>
      </w:r>
      <w:r>
        <w:t>.</w:t>
      </w:r>
    </w:p>
  </w:footnote>
  <w:footnote w:id="326">
    <w:p w:rsidR="003C78A4" w:rsidRDefault="003C78A4" w:rsidP="00EC0545">
      <w:pPr>
        <w:pStyle w:val="FootnoteText"/>
      </w:pPr>
      <w:r>
        <w:rPr>
          <w:rStyle w:val="FootnoteReference"/>
        </w:rPr>
        <w:footnoteRef/>
      </w:r>
      <w:r w:rsidRPr="00890D42">
        <w:t xml:space="preserve"> </w:t>
      </w:r>
      <w:r>
        <w:t>The “</w:t>
      </w:r>
      <w:r w:rsidRPr="00890D42">
        <w:t>NERC Company Overview</w:t>
      </w:r>
      <w:r>
        <w:t>:</w:t>
      </w:r>
      <w:r w:rsidRPr="00890D42">
        <w:t xml:space="preserve"> FAQs</w:t>
      </w:r>
      <w:r>
        <w:t>” Web page</w:t>
      </w:r>
      <w:r w:rsidRPr="00890D42">
        <w:t xml:space="preserve"> </w:t>
      </w:r>
      <w:r>
        <w:t xml:space="preserve">(2010) </w:t>
      </w:r>
      <w:r w:rsidRPr="00890D42">
        <w:t>provides information about NERC as the ERO;</w:t>
      </w:r>
      <w:hyperlink w:history="1"/>
      <w:r w:rsidRPr="00890D42">
        <w:t xml:space="preserve"> </w:t>
      </w:r>
      <w:hyperlink r:id="rId113" w:history="1">
        <w:r w:rsidRPr="00890D42">
          <w:t>http://www.nerc.com/page.php?cid=1|7|114</w:t>
        </w:r>
      </w:hyperlink>
      <w:r w:rsidRPr="00890D42">
        <w:t>.</w:t>
      </w:r>
    </w:p>
  </w:footnote>
  <w:footnote w:id="327">
    <w:p w:rsidR="003C78A4" w:rsidRDefault="003C78A4" w:rsidP="00EC0545">
      <w:pPr>
        <w:pStyle w:val="FootnoteText"/>
      </w:pPr>
      <w:r>
        <w:rPr>
          <w:rStyle w:val="FootnoteReference"/>
        </w:rPr>
        <w:footnoteRef/>
      </w:r>
      <w:r w:rsidRPr="00890D42">
        <w:t xml:space="preserve"> </w:t>
      </w:r>
      <w:r w:rsidRPr="00890D42">
        <w:rPr>
          <w:i/>
        </w:rPr>
        <w:t>Preventing Undue Discrimination and Preference in Transmission Service</w:t>
      </w:r>
      <w:r w:rsidRPr="00890D42">
        <w:t>, Final Rule, FERC Order</w:t>
      </w:r>
      <w:r>
        <w:t> </w:t>
      </w:r>
      <w:r w:rsidRPr="00890D42">
        <w:t>No. 890</w:t>
      </w:r>
      <w:r>
        <w:t>,</w:t>
      </w:r>
      <w:r w:rsidRPr="00890D42">
        <w:t xml:space="preserve"> Docket Nos. RM05-17-000 and RM05-25-000 (February 16, 2007);</w:t>
      </w:r>
      <w:r>
        <w:t xml:space="preserve"> </w:t>
      </w:r>
      <w:r w:rsidRPr="00916387">
        <w:t xml:space="preserve">http://www.ferc.gov/whats-new/comm-meet/2007/021507/E-1.pdf. Also see </w:t>
      </w:r>
      <w:r w:rsidRPr="00DD7631">
        <w:rPr>
          <w:i/>
        </w:rPr>
        <w:t>Open Access Transmission Tariff Reform</w:t>
      </w:r>
      <w:r w:rsidRPr="00916387">
        <w:t xml:space="preserve">, </w:t>
      </w:r>
      <w:r>
        <w:t xml:space="preserve">FERC </w:t>
      </w:r>
      <w:r w:rsidRPr="00916387">
        <w:t>Order No.</w:t>
      </w:r>
      <w:r>
        <w:t> </w:t>
      </w:r>
      <w:r w:rsidRPr="00916387">
        <w:t>890 Final Rule (2007); http://www.ferc.gov/industries/electric/indus-act/oatt-reform/sum-compl-filing.asp. While not FERC jurisdictional, the Canadian ISO/RTO processes are intended to comply with Order 890 requirements.</w:t>
      </w:r>
    </w:p>
  </w:footnote>
  <w:footnote w:id="328">
    <w:p w:rsidR="003C78A4" w:rsidRDefault="003C78A4" w:rsidP="00EC0545">
      <w:pPr>
        <w:pStyle w:val="FootnoteText"/>
      </w:pPr>
      <w:r w:rsidRPr="00916387">
        <w:rPr>
          <w:rStyle w:val="FootnoteReference"/>
        </w:rPr>
        <w:footnoteRef/>
      </w:r>
      <w:r w:rsidRPr="00916387">
        <w:t xml:space="preserve"> As full members, New Brunswick and Nova Scotia also ensure that NPCC reliability issues are addressed for Prince Edward Island.</w:t>
      </w:r>
    </w:p>
  </w:footnote>
  <w:footnote w:id="329">
    <w:p w:rsidR="003C78A4" w:rsidRDefault="003C78A4" w:rsidP="00EC0545">
      <w:pPr>
        <w:pStyle w:val="FootnoteText"/>
      </w:pPr>
      <w:r>
        <w:rPr>
          <w:rStyle w:val="FootnoteReference"/>
        </w:rPr>
        <w:footnoteRef/>
      </w:r>
      <w:r w:rsidRPr="00890D42">
        <w:t xml:space="preserve"> Additional information about the protocol is available at http://www.interiso.com/public/document/Northeastern%20ISO-RTO%20Planning%20Protocol.pdf.</w:t>
      </w:r>
    </w:p>
  </w:footnote>
  <w:footnote w:id="330">
    <w:p w:rsidR="003C78A4" w:rsidRDefault="003C78A4" w:rsidP="00EC0545">
      <w:pPr>
        <w:pStyle w:val="FootnoteText"/>
      </w:pPr>
      <w:r>
        <w:rPr>
          <w:rStyle w:val="FootnoteReference"/>
        </w:rPr>
        <w:footnoteRef/>
      </w:r>
      <w:r w:rsidRPr="00890D42">
        <w:t xml:space="preserve"> See the IPSAC Web sites at </w:t>
      </w:r>
      <w:hyperlink r:id="rId114" w:history="1">
        <w:r w:rsidRPr="00890D42">
          <w:rPr>
            <w:rStyle w:val="Hyperlink"/>
            <w:color w:val="auto"/>
            <w:u w:val="none"/>
          </w:rPr>
          <w:t>http://www.interiso.com</w:t>
        </w:r>
      </w:hyperlink>
      <w:r w:rsidRPr="00890D42">
        <w:t xml:space="preserve"> and</w:t>
      </w:r>
      <w:r>
        <w:br/>
      </w:r>
      <w:hyperlink r:id="rId115" w:history="1">
        <w:r w:rsidRPr="00890D42">
          <w:rPr>
            <w:rStyle w:val="Hyperlink"/>
            <w:color w:val="auto"/>
            <w:u w:val="none"/>
          </w:rPr>
          <w:t>http://www.iso-ne.com/committees/comm_wkgrps/othr/ipsac/index.html</w:t>
        </w:r>
      </w:hyperlink>
      <w:r w:rsidRPr="00890D42">
        <w:t xml:space="preserve">. </w:t>
      </w:r>
    </w:p>
  </w:footnote>
  <w:footnote w:id="331">
    <w:p w:rsidR="003C78A4" w:rsidRDefault="003C78A4" w:rsidP="00EC0545">
      <w:pPr>
        <w:pStyle w:val="FootnoteText"/>
      </w:pPr>
      <w:r>
        <w:rPr>
          <w:rStyle w:val="FootnoteReference"/>
        </w:rPr>
        <w:footnoteRef/>
      </w:r>
      <w:r w:rsidRPr="00890D42">
        <w:t xml:space="preserve"> </w:t>
      </w:r>
      <w:r w:rsidRPr="00890D42">
        <w:rPr>
          <w:i/>
        </w:rPr>
        <w:t>2009 Northeast Coordinated System Plan</w:t>
      </w:r>
      <w:r w:rsidRPr="00890D42">
        <w:t xml:space="preserve"> (</w:t>
      </w:r>
      <w:r w:rsidRPr="00916387">
        <w:t xml:space="preserve">May 24, 2010); </w:t>
      </w:r>
      <w:r w:rsidRPr="00890D42">
        <w:t>http://iso-ne.com/committees/comm_wkgrps/othr/ipsac/index.html.</w:t>
      </w:r>
    </w:p>
  </w:footnote>
  <w:footnote w:id="332">
    <w:p w:rsidR="003C78A4" w:rsidRDefault="003C78A4" w:rsidP="00EC0545">
      <w:pPr>
        <w:pStyle w:val="FootnoteText"/>
      </w:pPr>
      <w:r w:rsidRPr="00890D42">
        <w:rPr>
          <w:rStyle w:val="FootnoteCharacters"/>
          <w:b/>
        </w:rPr>
        <w:footnoteRef/>
      </w:r>
      <w:r w:rsidRPr="00890D42">
        <w:rPr>
          <w:b/>
        </w:rPr>
        <w:t xml:space="preserve"> </w:t>
      </w:r>
      <w:r w:rsidRPr="00890D42">
        <w:t xml:space="preserve">The Seams Report is available at </w:t>
      </w:r>
      <w:hyperlink r:id="rId116" w:history="1">
        <w:r w:rsidRPr="00890D42">
          <w:rPr>
            <w:rStyle w:val="Hyperlink"/>
            <w:color w:val="auto"/>
            <w:u w:val="none"/>
          </w:rPr>
          <w:t>http://www.iso-ne.com/regulatory/seams/2008/index.html</w:t>
        </w:r>
      </w:hyperlink>
      <w:r w:rsidRPr="00890D42">
        <w:t>.</w:t>
      </w:r>
    </w:p>
  </w:footnote>
  <w:footnote w:id="333">
    <w:p w:rsidR="003C78A4" w:rsidRDefault="003C78A4">
      <w:pPr>
        <w:pStyle w:val="NoSpacing"/>
        <w:rPr>
          <w:rFonts w:cs="Times New Roman"/>
          <w:sz w:val="18"/>
        </w:rPr>
      </w:pPr>
      <w:r w:rsidRPr="00890D42">
        <w:rPr>
          <w:rStyle w:val="FootnoteReference"/>
        </w:rPr>
        <w:footnoteRef/>
      </w:r>
      <w:r w:rsidRPr="00890D42">
        <w:rPr>
          <w:rFonts w:cs="Times New Roman"/>
          <w:sz w:val="18"/>
        </w:rPr>
        <w:t xml:space="preserve"> </w:t>
      </w:r>
      <w:r w:rsidRPr="00890D42">
        <w:rPr>
          <w:rFonts w:cs="Times New Roman"/>
          <w:i/>
          <w:sz w:val="18"/>
        </w:rPr>
        <w:t>DPUC Review of the Integrated Resource Plan</w:t>
      </w:r>
      <w:r>
        <w:rPr>
          <w:rFonts w:cs="Times New Roman"/>
          <w:sz w:val="18"/>
        </w:rPr>
        <w:t xml:space="preserve">, CT DPUC </w:t>
      </w:r>
      <w:r w:rsidRPr="00890D42">
        <w:rPr>
          <w:rFonts w:cs="Times New Roman"/>
          <w:sz w:val="18"/>
        </w:rPr>
        <w:t>Docket No. 08-07-01</w:t>
      </w:r>
      <w:r>
        <w:rPr>
          <w:rFonts w:cs="Times New Roman"/>
          <w:sz w:val="18"/>
        </w:rPr>
        <w:t xml:space="preserve"> (February 18, 2009); </w:t>
      </w:r>
      <w:hyperlink r:id="rId117" w:history="1">
        <w:r w:rsidRPr="00890D42">
          <w:rPr>
            <w:rStyle w:val="Hyperlink"/>
            <w:rFonts w:cs="Times New Roman"/>
            <w:color w:val="000000" w:themeColor="text1"/>
            <w:sz w:val="18"/>
            <w:u w:val="none"/>
          </w:rPr>
          <w:t>http://www.dpuc.state.ct.us/FINALDEC.NSF/0d1e102026cb64d98525644800691cfe/e38fd40db43adb3a85257562007065bc?OpenDocument</w:t>
        </w:r>
      </w:hyperlink>
      <w:hyperlink w:history="1"/>
      <w:r w:rsidRPr="00890D42">
        <w:rPr>
          <w:rFonts w:cs="Times New Roman"/>
          <w:sz w:val="18"/>
        </w:rPr>
        <w:t xml:space="preserve">. </w:t>
      </w:r>
      <w:r w:rsidRPr="00890D42">
        <w:rPr>
          <w:rFonts w:cs="Times New Roman"/>
          <w:i/>
          <w:sz w:val="18"/>
        </w:rPr>
        <w:t>An Act Concerning Electricity and Energy Efficiency</w:t>
      </w:r>
      <w:r>
        <w:rPr>
          <w:rFonts w:cs="Times New Roman"/>
          <w:sz w:val="18"/>
        </w:rPr>
        <w:t xml:space="preserve">, </w:t>
      </w:r>
      <w:r w:rsidRPr="00890D42">
        <w:rPr>
          <w:rFonts w:cs="Times New Roman"/>
          <w:sz w:val="18"/>
        </w:rPr>
        <w:t>C</w:t>
      </w:r>
      <w:r>
        <w:rPr>
          <w:rFonts w:cs="Times New Roman"/>
          <w:sz w:val="18"/>
        </w:rPr>
        <w:t xml:space="preserve">onnecticut </w:t>
      </w:r>
      <w:r w:rsidRPr="00890D42">
        <w:rPr>
          <w:rFonts w:cs="Times New Roman"/>
          <w:sz w:val="18"/>
        </w:rPr>
        <w:t>House Bill 7432; Public Act 07-242) (Approved June 4, 2007). See the CEAB Web site for additional information; http://www.ctenergy.org/.</w:t>
      </w:r>
    </w:p>
  </w:footnote>
  <w:footnote w:id="334">
    <w:p w:rsidR="003C78A4" w:rsidRDefault="003C78A4">
      <w:pPr>
        <w:pStyle w:val="NoSpacing"/>
        <w:rPr>
          <w:rFonts w:cs="Times New Roman"/>
          <w:sz w:val="18"/>
        </w:rPr>
      </w:pPr>
      <w:r w:rsidRPr="00916387">
        <w:rPr>
          <w:rStyle w:val="FootnoteReference"/>
        </w:rPr>
        <w:footnoteRef/>
      </w:r>
      <w:r w:rsidRPr="00916387">
        <w:rPr>
          <w:rFonts w:cs="Times New Roman"/>
          <w:sz w:val="18"/>
          <w:vertAlign w:val="superscript"/>
        </w:rPr>
        <w:t xml:space="preserve"> </w:t>
      </w:r>
      <w:r w:rsidRPr="00916387">
        <w:rPr>
          <w:rFonts w:cs="Times New Roman"/>
          <w:i/>
          <w:sz w:val="18"/>
        </w:rPr>
        <w:t>Maine Revised Statutes</w:t>
      </w:r>
      <w:r w:rsidRPr="00916387">
        <w:rPr>
          <w:rFonts w:cs="Times New Roman"/>
          <w:sz w:val="18"/>
        </w:rPr>
        <w:t xml:space="preserve">, Title 35-A § 3404, 2 (A) and (B); </w:t>
      </w:r>
      <w:hyperlink r:id="rId118" w:history="1">
        <w:r w:rsidRPr="00916387">
          <w:rPr>
            <w:rStyle w:val="Hyperlink"/>
            <w:rFonts w:cs="Times New Roman"/>
            <w:color w:val="auto"/>
            <w:sz w:val="18"/>
            <w:u w:val="none"/>
          </w:rPr>
          <w:t>http://www.mainelegislature.org/legis/statutes/35-A/title35-Asec3404.html</w:t>
        </w:r>
      </w:hyperlink>
      <w:r w:rsidRPr="00916387">
        <w:rPr>
          <w:rFonts w:cs="Times New Roman"/>
          <w:sz w:val="18"/>
        </w:rPr>
        <w:t xml:space="preserve">. Also, </w:t>
      </w:r>
      <w:r w:rsidRPr="00916387">
        <w:rPr>
          <w:rFonts w:cs="Times New Roman"/>
          <w:i/>
          <w:sz w:val="18"/>
        </w:rPr>
        <w:t xml:space="preserve">An Act </w:t>
      </w:r>
      <w:r>
        <w:rPr>
          <w:rFonts w:cs="Times New Roman"/>
          <w:i/>
          <w:sz w:val="18"/>
        </w:rPr>
        <w:t>t</w:t>
      </w:r>
      <w:r w:rsidRPr="00916387">
        <w:rPr>
          <w:rFonts w:cs="Times New Roman"/>
          <w:i/>
          <w:sz w:val="18"/>
        </w:rPr>
        <w:t>o Implement the Recommendations of the Governor's Ocean Energy Task Force</w:t>
      </w:r>
      <w:r w:rsidRPr="00916387">
        <w:rPr>
          <w:rFonts w:cs="Times New Roman"/>
          <w:sz w:val="18"/>
        </w:rPr>
        <w:t>,</w:t>
      </w:r>
      <w:r w:rsidRPr="00916387">
        <w:rPr>
          <w:rFonts w:cs="Times New Roman"/>
          <w:i/>
          <w:sz w:val="18"/>
        </w:rPr>
        <w:t xml:space="preserve"> </w:t>
      </w:r>
      <w:r>
        <w:rPr>
          <w:rFonts w:cs="Times New Roman"/>
          <w:sz w:val="18"/>
        </w:rPr>
        <w:t xml:space="preserve">Maine Public Law, </w:t>
      </w:r>
      <w:r w:rsidRPr="00916387">
        <w:rPr>
          <w:rFonts w:cs="Times New Roman"/>
          <w:sz w:val="18"/>
        </w:rPr>
        <w:t>124</w:t>
      </w:r>
      <w:r w:rsidRPr="00916387">
        <w:rPr>
          <w:rFonts w:cs="Times New Roman"/>
          <w:sz w:val="18"/>
          <w:vertAlign w:val="superscript"/>
        </w:rPr>
        <w:t>th</w:t>
      </w:r>
      <w:r w:rsidRPr="00916387">
        <w:rPr>
          <w:rFonts w:cs="Times New Roman"/>
          <w:sz w:val="18"/>
        </w:rPr>
        <w:t xml:space="preserve"> Maine Legislature LD 1810 (</w:t>
      </w:r>
      <w:r>
        <w:rPr>
          <w:rFonts w:cs="Times New Roman"/>
          <w:sz w:val="18"/>
        </w:rPr>
        <w:t xml:space="preserve">April 7, </w:t>
      </w:r>
      <w:r w:rsidRPr="00916387">
        <w:rPr>
          <w:rFonts w:cs="Times New Roman"/>
          <w:sz w:val="18"/>
        </w:rPr>
        <w:t xml:space="preserve">2010); </w:t>
      </w:r>
      <w:hyperlink r:id="rId119" w:history="1">
        <w:r w:rsidRPr="00916387">
          <w:rPr>
            <w:rStyle w:val="Hyperlink"/>
            <w:rFonts w:cs="Times New Roman"/>
            <w:color w:val="auto"/>
            <w:sz w:val="18"/>
            <w:u w:val="none"/>
          </w:rPr>
          <w:t>http://www.mainelegislature.org/legis/bills/bills_124th/billpdfs/SP071001.pdf</w:t>
        </w:r>
      </w:hyperlink>
      <w:r w:rsidRPr="00916387">
        <w:rPr>
          <w:rFonts w:cs="Times New Roman"/>
          <w:sz w:val="18"/>
        </w:rPr>
        <w:t>).</w:t>
      </w:r>
    </w:p>
  </w:footnote>
  <w:footnote w:id="335">
    <w:p w:rsidR="003C78A4" w:rsidRDefault="003C78A4">
      <w:pPr>
        <w:pStyle w:val="NoSpacing"/>
        <w:rPr>
          <w:rFonts w:cs="Times New Roman"/>
          <w:sz w:val="18"/>
        </w:rPr>
      </w:pPr>
      <w:r w:rsidRPr="00890D42">
        <w:rPr>
          <w:rStyle w:val="FootnoteReference"/>
        </w:rPr>
        <w:footnoteRef/>
      </w:r>
      <w:r w:rsidRPr="00890D42">
        <w:rPr>
          <w:rFonts w:cs="Times New Roman"/>
          <w:sz w:val="18"/>
          <w:vertAlign w:val="superscript"/>
        </w:rPr>
        <w:t xml:space="preserve"> </w:t>
      </w:r>
      <w:r w:rsidRPr="0072793A">
        <w:rPr>
          <w:rFonts w:cs="Times New Roman"/>
          <w:sz w:val="18"/>
        </w:rPr>
        <w:t>Maine PUC,</w:t>
      </w:r>
      <w:r>
        <w:rPr>
          <w:rFonts w:cs="Times New Roman"/>
          <w:sz w:val="18"/>
          <w:vertAlign w:val="superscript"/>
        </w:rPr>
        <w:t xml:space="preserve"> </w:t>
      </w:r>
      <w:r w:rsidRPr="00890D42">
        <w:rPr>
          <w:rFonts w:cs="Times New Roman"/>
          <w:i/>
          <w:sz w:val="18"/>
        </w:rPr>
        <w:t>Request for Proposal Issued by MPUC for Long-Term Contracting of Electric Power Supply</w:t>
      </w:r>
      <w:r w:rsidRPr="00890D42">
        <w:rPr>
          <w:rFonts w:cs="Times New Roman"/>
          <w:sz w:val="18"/>
        </w:rPr>
        <w:t xml:space="preserve"> (February 23, 2010); </w:t>
      </w:r>
      <w:hyperlink r:id="rId120" w:history="1">
        <w:r w:rsidRPr="00890D42">
          <w:rPr>
            <w:rStyle w:val="Hyperlink"/>
            <w:rFonts w:cs="Times New Roman"/>
            <w:color w:val="auto"/>
            <w:sz w:val="18"/>
            <w:u w:val="none"/>
          </w:rPr>
          <w:t>http://www.maine.gov/tools/whatsnew/index.php?topic=puc-pressreleases&amp;id=92548&amp;v=article08</w:t>
        </w:r>
      </w:hyperlink>
      <w:r w:rsidRPr="00890D42">
        <w:rPr>
          <w:rFonts w:cs="Times New Roman"/>
          <w:sz w:val="18"/>
        </w:rPr>
        <w:t>.</w:t>
      </w:r>
    </w:p>
  </w:footnote>
  <w:footnote w:id="336">
    <w:p w:rsidR="003C78A4" w:rsidRDefault="003C78A4">
      <w:pPr>
        <w:spacing w:after="80" w:line="240" w:lineRule="auto"/>
        <w:rPr>
          <w:rFonts w:cs="Times New Roman"/>
          <w:sz w:val="18"/>
          <w:szCs w:val="18"/>
        </w:rPr>
      </w:pPr>
      <w:r>
        <w:rPr>
          <w:rStyle w:val="FootnoteReference"/>
          <w:szCs w:val="18"/>
        </w:rPr>
        <w:footnoteRef/>
      </w:r>
      <w:r w:rsidRPr="00890D42">
        <w:rPr>
          <w:rFonts w:cs="Times New Roman"/>
          <w:sz w:val="18"/>
          <w:szCs w:val="18"/>
        </w:rPr>
        <w:t xml:space="preserve"> </w:t>
      </w:r>
      <w:r w:rsidRPr="00890D42">
        <w:rPr>
          <w:rFonts w:eastAsia="Times New Roman" w:cs="Times New Roman"/>
          <w:i/>
          <w:color w:val="000000" w:themeColor="text1"/>
          <w:sz w:val="18"/>
          <w:szCs w:val="18"/>
        </w:rPr>
        <w:t>An Act To Implement the Recommendations of the Governor's Ocean Energy Task Force</w:t>
      </w:r>
      <w:r w:rsidRPr="00890D42">
        <w:rPr>
          <w:rFonts w:eastAsia="Times New Roman" w:cs="Times New Roman"/>
          <w:color w:val="000000" w:themeColor="text1"/>
          <w:sz w:val="18"/>
          <w:szCs w:val="18"/>
        </w:rPr>
        <w:t xml:space="preserve">, </w:t>
      </w:r>
      <w:r w:rsidRPr="00890D42">
        <w:rPr>
          <w:rFonts w:cs="Times New Roman"/>
          <w:sz w:val="18"/>
          <w:szCs w:val="18"/>
        </w:rPr>
        <w:t xml:space="preserve">Maine Public Law 615, LD 1810 (2010); </w:t>
      </w:r>
      <w:hyperlink r:id="rId121" w:history="1">
        <w:r w:rsidRPr="00890D42">
          <w:rPr>
            <w:rStyle w:val="Hyperlink"/>
            <w:rFonts w:cs="Times New Roman"/>
            <w:color w:val="000000" w:themeColor="text1"/>
            <w:sz w:val="18"/>
            <w:szCs w:val="18"/>
            <w:u w:val="none"/>
          </w:rPr>
          <w:t>http://www.mainelegislature.org/legis/bills/bills_124th/chapters/PUBLIC615.asp</w:t>
        </w:r>
      </w:hyperlink>
      <w:r w:rsidRPr="00890D42">
        <w:rPr>
          <w:rFonts w:cs="Times New Roman"/>
          <w:color w:val="000000" w:themeColor="text1"/>
          <w:sz w:val="18"/>
          <w:szCs w:val="18"/>
        </w:rPr>
        <w:t>.</w:t>
      </w:r>
    </w:p>
  </w:footnote>
  <w:footnote w:id="337">
    <w:p w:rsidR="003C78A4" w:rsidRDefault="003C78A4" w:rsidP="00EC0545">
      <w:pPr>
        <w:pStyle w:val="FootnoteText"/>
      </w:pPr>
      <w:r>
        <w:rPr>
          <w:rStyle w:val="FootnoteReference"/>
        </w:rPr>
        <w:footnoteRef/>
      </w:r>
      <w:r w:rsidRPr="00890D42">
        <w:t xml:space="preserve"> </w:t>
      </w:r>
      <w:r>
        <w:t xml:space="preserve">EMT, </w:t>
      </w:r>
      <w:r w:rsidRPr="00890D42">
        <w:rPr>
          <w:i/>
        </w:rPr>
        <w:t>Triennial Plan of the Efficiency Maine Trust 2011</w:t>
      </w:r>
      <w:r>
        <w:rPr>
          <w:i/>
        </w:rPr>
        <w:t>–</w:t>
      </w:r>
      <w:r w:rsidRPr="00890D42">
        <w:rPr>
          <w:i/>
        </w:rPr>
        <w:t>2013</w:t>
      </w:r>
      <w:r w:rsidRPr="00890D42">
        <w:t xml:space="preserve"> (April 2010); </w:t>
      </w:r>
      <w:hyperlink r:id="rId122" w:history="1">
        <w:r w:rsidRPr="00890D42">
          <w:rPr>
            <w:rStyle w:val="Hyperlink"/>
            <w:color w:val="000000" w:themeColor="text1"/>
            <w:u w:val="none"/>
          </w:rPr>
          <w:t>http://www.efficiencymainetrust.org/docs/EMT_Final_Tri_Plan.pdf</w:t>
        </w:r>
      </w:hyperlink>
      <w:r w:rsidRPr="00890D42">
        <w:t xml:space="preserve">. </w:t>
      </w:r>
    </w:p>
  </w:footnote>
  <w:footnote w:id="338">
    <w:p w:rsidR="003C78A4" w:rsidRDefault="003C78A4" w:rsidP="00EC0545">
      <w:pPr>
        <w:pStyle w:val="FootnoteText"/>
      </w:pPr>
      <w:r>
        <w:rPr>
          <w:rStyle w:val="FootnoteReference"/>
        </w:rPr>
        <w:footnoteRef/>
      </w:r>
      <w:r w:rsidRPr="00890D42">
        <w:t xml:space="preserve"> Commonwealth of Massachusetts</w:t>
      </w:r>
      <w:r>
        <w:t>,</w:t>
      </w:r>
      <w:r w:rsidRPr="00890D42">
        <w:rPr>
          <w:i/>
        </w:rPr>
        <w:t xml:space="preserve"> An Act Relative to Green Communities</w:t>
      </w:r>
      <w:r w:rsidRPr="00890D42">
        <w:t xml:space="preserve">, Chapter 169 of the Acts of 2008 (July 2, 2008); </w:t>
      </w:r>
      <w:hyperlink r:id="rId123" w:history="1">
        <w:r w:rsidRPr="00890D42">
          <w:rPr>
            <w:rStyle w:val="Hyperlink"/>
            <w:color w:val="000000" w:themeColor="text1"/>
            <w:u w:val="none"/>
          </w:rPr>
          <w:t>http://www.mass.gov/legis/laws/seslaw08/sl080169.htm</w:t>
        </w:r>
      </w:hyperlink>
      <w:r w:rsidRPr="00890D42">
        <w:t>.</w:t>
      </w:r>
    </w:p>
  </w:footnote>
  <w:footnote w:id="339">
    <w:p w:rsidR="003C78A4" w:rsidRPr="00C70B1E" w:rsidRDefault="003C78A4" w:rsidP="00EC0545">
      <w:pPr>
        <w:pStyle w:val="FootnoteText"/>
      </w:pPr>
      <w:r w:rsidRPr="00C70B1E">
        <w:rPr>
          <w:rStyle w:val="FootnoteReference"/>
          <w:color w:val="000000" w:themeColor="text1"/>
        </w:rPr>
        <w:footnoteRef/>
      </w:r>
      <w:r w:rsidRPr="00C70B1E">
        <w:t xml:space="preserve"> </w:t>
      </w:r>
      <w:r>
        <w:t xml:space="preserve">National Grid, NSTAR, Unitil, and Western Massachusetts Electric, </w:t>
      </w:r>
      <w:r w:rsidRPr="00C70B1E">
        <w:rPr>
          <w:i/>
        </w:rPr>
        <w:t>2010–2012</w:t>
      </w:r>
      <w:r>
        <w:rPr>
          <w:i/>
        </w:rPr>
        <w:t xml:space="preserve"> </w:t>
      </w:r>
      <w:r w:rsidRPr="00C70B1E">
        <w:rPr>
          <w:i/>
        </w:rPr>
        <w:t>Massachusetts Joint Statewide Three-Year Electric Energy Efficiency Plan</w:t>
      </w:r>
      <w:r w:rsidRPr="00C70B1E">
        <w:t xml:space="preserve"> (October 29, 2009); </w:t>
      </w:r>
      <w:hyperlink r:id="rId124" w:history="1">
        <w:r w:rsidRPr="00C70B1E">
          <w:rPr>
            <w:rStyle w:val="Hyperlink"/>
            <w:color w:val="000000" w:themeColor="text1"/>
            <w:u w:val="none"/>
          </w:rPr>
          <w:t>http://www.ma-eeac.org/docs/DPU-filing/ElectricPlanFinalOct09.pdf</w:t>
        </w:r>
      </w:hyperlink>
      <w:r w:rsidRPr="00C70B1E">
        <w:t xml:space="preserve">. </w:t>
      </w:r>
    </w:p>
  </w:footnote>
  <w:footnote w:id="340">
    <w:p w:rsidR="003C78A4" w:rsidRDefault="003C78A4" w:rsidP="00EC0545">
      <w:pPr>
        <w:pStyle w:val="FootnoteText"/>
      </w:pPr>
      <w:r w:rsidRPr="00C70B1E">
        <w:rPr>
          <w:rStyle w:val="FootnoteReference"/>
          <w:color w:val="000000" w:themeColor="text1"/>
        </w:rPr>
        <w:footnoteRef/>
      </w:r>
      <w:r w:rsidRPr="00C70B1E">
        <w:t xml:space="preserve"> Order Instituting a Rulemaking pursuant to G.L. c. 30A, § 2 and 220 C.M.R. § 2.00 et seq. to Implement the Net Metering Provisions of An Act Relative to Green Communities . . . MA DPU 08-75-A Order Adopting Final Regulations (June 26, 2009); </w:t>
      </w:r>
      <w:hyperlink r:id="rId125" w:history="1">
        <w:r w:rsidRPr="00C70B1E">
          <w:rPr>
            <w:rStyle w:val="Hyperlink"/>
            <w:color w:val="000000" w:themeColor="text1"/>
            <w:u w:val="none"/>
          </w:rPr>
          <w:t>http://www.env.state.ma.us/dpu/docs/gas/08-75/62609dpuord.pdf</w:t>
        </w:r>
      </w:hyperlink>
      <w:r w:rsidRPr="00C70B1E">
        <w:t xml:space="preserve">. Investigation by the Department of Public Utilities to Develop Tariffs Governing Net Metering Under An Act Relative to Green Communities, St. 2008, c. 169, § 78. MA DPU 09-03-A Order Adopting Model Net Metering Tariff (August 20, 2009); </w:t>
      </w:r>
      <w:hyperlink r:id="rId126" w:history="1">
        <w:r w:rsidRPr="00C70B1E">
          <w:rPr>
            <w:rStyle w:val="Hyperlink"/>
            <w:color w:val="000000" w:themeColor="text1"/>
            <w:u w:val="none"/>
          </w:rPr>
          <w:t>http://www.env.state.ma.us/dpu/docs/electric/09-03/82009noiord.pdf</w:t>
        </w:r>
      </w:hyperlink>
      <w:r w:rsidRPr="00C70B1E">
        <w:t>. Unitil, National Grid, NS</w:t>
      </w:r>
      <w:r>
        <w:t>TAR</w:t>
      </w:r>
      <w:r w:rsidRPr="00C70B1E">
        <w:t>, and Western Massachusetts Electric Company are the investor-owned utilities in Massachusetts.</w:t>
      </w:r>
    </w:p>
  </w:footnote>
  <w:footnote w:id="341">
    <w:p w:rsidR="003C78A4" w:rsidRDefault="003C78A4" w:rsidP="00EC0545">
      <w:pPr>
        <w:pStyle w:val="FootnoteText"/>
      </w:pPr>
      <w:r w:rsidRPr="007B7547">
        <w:rPr>
          <w:rStyle w:val="FootnoteReference"/>
        </w:rPr>
        <w:footnoteRef/>
      </w:r>
      <w:r w:rsidRPr="007B7547">
        <w:t xml:space="preserve"> </w:t>
      </w:r>
      <w:r w:rsidRPr="0065064E">
        <w:rPr>
          <w:i/>
        </w:rPr>
        <w:t>Order Adopting Emergency Regulations</w:t>
      </w:r>
      <w:r w:rsidRPr="007B7547">
        <w:t xml:space="preserve">, </w:t>
      </w:r>
      <w:r>
        <w:t xml:space="preserve">MA </w:t>
      </w:r>
      <w:r w:rsidRPr="007B7547">
        <w:t>DPU 10-58 (June 9, 2010); http://www.env.state.ma.us/dpu/docs/electric/10-58/6910dpuord.pdf.</w:t>
      </w:r>
    </w:p>
  </w:footnote>
  <w:footnote w:id="342">
    <w:p w:rsidR="003C78A4" w:rsidRDefault="003C78A4" w:rsidP="00EC0545">
      <w:pPr>
        <w:pStyle w:val="FootnoteText"/>
      </w:pPr>
      <w:r w:rsidRPr="007B7547">
        <w:rPr>
          <w:rStyle w:val="FootnoteReference"/>
        </w:rPr>
        <w:footnoteRef/>
      </w:r>
      <w:r w:rsidRPr="007B7547">
        <w:t xml:space="preserve"> Commonwealth of Massachusetts</w:t>
      </w:r>
      <w:r>
        <w:t>,</w:t>
      </w:r>
      <w:r w:rsidRPr="0065064E">
        <w:rPr>
          <w:i/>
        </w:rPr>
        <w:t xml:space="preserve"> An Act Establishing the Global Warming Solutions Act</w:t>
      </w:r>
      <w:r w:rsidRPr="007B7547">
        <w:t xml:space="preserve">, Chapter 298 of the Acts of 2008 (August 7, 2008); </w:t>
      </w:r>
      <w:hyperlink r:id="rId127" w:history="1">
        <w:r w:rsidRPr="007B7547">
          <w:rPr>
            <w:rStyle w:val="Hyperlink"/>
            <w:color w:val="000000" w:themeColor="text1"/>
            <w:u w:val="none"/>
          </w:rPr>
          <w:t>http://www.mass.gov/legis/laws/seslaw08/sl080298.htm</w:t>
        </w:r>
      </w:hyperlink>
      <w:r w:rsidRPr="007B7547">
        <w:t xml:space="preserve">. </w:t>
      </w:r>
    </w:p>
  </w:footnote>
  <w:footnote w:id="343">
    <w:p w:rsidR="003C78A4" w:rsidRDefault="003C78A4" w:rsidP="00EC0545">
      <w:pPr>
        <w:pStyle w:val="FootnoteText"/>
      </w:pPr>
      <w:r w:rsidRPr="007B7547">
        <w:rPr>
          <w:rStyle w:val="FootnoteReference"/>
        </w:rPr>
        <w:footnoteRef/>
      </w:r>
      <w:r w:rsidRPr="007B7547">
        <w:t xml:space="preserve"> </w:t>
      </w:r>
      <w:r>
        <w:t xml:space="preserve">MA DOER, </w:t>
      </w:r>
      <w:r w:rsidRPr="0065064E">
        <w:rPr>
          <w:i/>
        </w:rPr>
        <w:t>Biomass Sustainability and Carbon Policy Study</w:t>
      </w:r>
      <w:r w:rsidRPr="007B7547">
        <w:t xml:space="preserve"> (June 2010); </w:t>
      </w:r>
      <w:hyperlink r:id="rId128" w:history="1">
        <w:r w:rsidRPr="007B7547">
          <w:rPr>
            <w:rStyle w:val="Hyperlink"/>
            <w:color w:val="000000" w:themeColor="text1"/>
            <w:u w:val="none"/>
          </w:rPr>
          <w:t>http://www.mass.gov/?pageID=eoeeaterminal&amp;L=4&amp;L0=Home&amp;L1=Energy,+Utilities+%26+Clean+Technologies&amp;L2=Renewable+Energy&amp;L3=Biomass&amp;sid=Eoeea&amp;b=terminalcontent&amp;f=doer_arra_bscps&amp;csid=Eoeea</w:t>
        </w:r>
      </w:hyperlink>
      <w:r w:rsidRPr="007B7547">
        <w:t xml:space="preserve">. </w:t>
      </w:r>
    </w:p>
  </w:footnote>
  <w:footnote w:id="344">
    <w:p w:rsidR="003C78A4" w:rsidRDefault="003C78A4" w:rsidP="00EC0545">
      <w:pPr>
        <w:pStyle w:val="FootnoteText"/>
      </w:pPr>
      <w:r w:rsidRPr="00843ACE">
        <w:rPr>
          <w:rStyle w:val="FootnoteReference"/>
        </w:rPr>
        <w:footnoteRef/>
      </w:r>
      <w:r w:rsidRPr="00843ACE">
        <w:t xml:space="preserve"> </w:t>
      </w:r>
      <w:r>
        <w:t xml:space="preserve">Commonwealth of Massachusetts, </w:t>
      </w:r>
      <w:r w:rsidRPr="00843ACE">
        <w:t xml:space="preserve">“Governor Patrick Sets New Goals for Wind Power,” </w:t>
      </w:r>
      <w:r>
        <w:t>p</w:t>
      </w:r>
      <w:r w:rsidRPr="00843ACE">
        <w:t xml:space="preserve">ress </w:t>
      </w:r>
      <w:r>
        <w:t>r</w:t>
      </w:r>
      <w:r w:rsidRPr="00843ACE">
        <w:t xml:space="preserve">elease (January 13, 2009); </w:t>
      </w:r>
      <w:r>
        <w:t>h</w:t>
      </w:r>
      <w:r w:rsidRPr="00843ACE">
        <w:t>ttp://www.mass.gov/?pageID=gov3pressrelease&amp;L=1&amp;L0=Home&amp;sid=Agov3&amp;b=pressrelease&amp;f=090113_Goals_Wind_Power&amp;csid=Agov3.</w:t>
      </w:r>
    </w:p>
  </w:footnote>
  <w:footnote w:id="345">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w:t>
      </w:r>
      <w:r w:rsidRPr="007B7547">
        <w:rPr>
          <w:rFonts w:cs="Times New Roman"/>
          <w:i/>
          <w:sz w:val="18"/>
        </w:rPr>
        <w:t>An Act Establishing a Commission to Develop a Plan for the Expansion of Transmission Capacity in the North Country</w:t>
      </w:r>
      <w:r w:rsidRPr="007B7547">
        <w:rPr>
          <w:rFonts w:cs="Times New Roman"/>
          <w:sz w:val="18"/>
        </w:rPr>
        <w:t xml:space="preserve">, NH SB 383 (2008); </w:t>
      </w:r>
      <w:hyperlink r:id="rId129" w:history="1">
        <w:r w:rsidRPr="007B7547">
          <w:rPr>
            <w:rStyle w:val="Hyperlink"/>
            <w:rFonts w:cs="Times New Roman"/>
            <w:color w:val="auto"/>
            <w:sz w:val="18"/>
            <w:u w:val="none"/>
          </w:rPr>
          <w:t>http://www.gencourt.state.nh.us/legislation/2008/SB0383.html</w:t>
        </w:r>
      </w:hyperlink>
      <w:r w:rsidRPr="007B7547">
        <w:rPr>
          <w:rFonts w:cs="Times New Roman"/>
          <w:sz w:val="18"/>
        </w:rPr>
        <w:t xml:space="preserve">. </w:t>
      </w:r>
      <w:r w:rsidRPr="007B7547">
        <w:rPr>
          <w:rFonts w:cs="Times New Roman"/>
          <w:i/>
          <w:sz w:val="18"/>
        </w:rPr>
        <w:t>An Act Relative to the Commission to Develop a Plan for the Expansion of Transmission Capacity in the North Country</w:t>
      </w:r>
      <w:r w:rsidRPr="007B7547">
        <w:rPr>
          <w:rFonts w:cs="Times New Roman"/>
          <w:sz w:val="18"/>
        </w:rPr>
        <w:t xml:space="preserve">, NH.SB 85 (2009); </w:t>
      </w:r>
      <w:hyperlink r:id="rId130" w:history="1">
        <w:r w:rsidRPr="007B7547">
          <w:rPr>
            <w:rStyle w:val="Hyperlink"/>
            <w:rFonts w:cs="Times New Roman"/>
            <w:color w:val="auto"/>
            <w:sz w:val="18"/>
            <w:u w:val="none"/>
          </w:rPr>
          <w:t>http://www.gencourt.state.nh.us/legislation/2009/SB0085.html</w:t>
        </w:r>
      </w:hyperlink>
      <w:r w:rsidRPr="007B7547">
        <w:rPr>
          <w:rFonts w:cs="Times New Roman"/>
          <w:sz w:val="18"/>
        </w:rPr>
        <w:t xml:space="preserve">. The 2009 bill extends the life of the commission created pursuant to SB 383. North Country Transmission Commission information </w:t>
      </w:r>
      <w:r>
        <w:rPr>
          <w:rFonts w:cs="Times New Roman"/>
          <w:sz w:val="18"/>
        </w:rPr>
        <w:t xml:space="preserve">is </w:t>
      </w:r>
      <w:r w:rsidRPr="007B7547">
        <w:rPr>
          <w:rFonts w:cs="Times New Roman"/>
          <w:sz w:val="18"/>
        </w:rPr>
        <w:t xml:space="preserve">available at </w:t>
      </w:r>
      <w:hyperlink r:id="rId131" w:history="1">
        <w:r w:rsidRPr="007B7547">
          <w:rPr>
            <w:rStyle w:val="Hyperlink"/>
            <w:rFonts w:cs="Times New Roman"/>
            <w:color w:val="auto"/>
            <w:sz w:val="18"/>
            <w:u w:val="none"/>
          </w:rPr>
          <w:t>http://www.puc.nh.gov/TransmissionCommission.htm</w:t>
        </w:r>
      </w:hyperlink>
      <w:r w:rsidRPr="007B7547">
        <w:rPr>
          <w:rFonts w:cs="Times New Roman"/>
          <w:sz w:val="18"/>
        </w:rPr>
        <w:t xml:space="preserve">. </w:t>
      </w:r>
    </w:p>
  </w:footnote>
  <w:footnote w:id="346">
    <w:p w:rsidR="003C78A4" w:rsidRDefault="003C78A4" w:rsidP="00EC0545">
      <w:pPr>
        <w:pStyle w:val="FootnoteText"/>
      </w:pPr>
      <w:r w:rsidRPr="007B7547">
        <w:rPr>
          <w:rStyle w:val="FootnoteReference"/>
        </w:rPr>
        <w:footnoteRef/>
      </w:r>
      <w:r w:rsidRPr="007B7547">
        <w:t xml:space="preserve"> NH Office of Energy Planning</w:t>
      </w:r>
      <w:r>
        <w:t xml:space="preserve">, </w:t>
      </w:r>
      <w:r w:rsidRPr="007B7547">
        <w:t xml:space="preserve">“Action Plan contracted for Coos Loop Transmission Lines,” </w:t>
      </w:r>
      <w:r>
        <w:t>p</w:t>
      </w:r>
      <w:r w:rsidRPr="007B7547">
        <w:t xml:space="preserve">ress </w:t>
      </w:r>
      <w:r>
        <w:t>r</w:t>
      </w:r>
      <w:r w:rsidRPr="007B7547">
        <w:t xml:space="preserve">elease (April 29, 2010); </w:t>
      </w:r>
      <w:hyperlink r:id="rId132" w:history="1">
        <w:r w:rsidRPr="007B7547">
          <w:rPr>
            <w:rStyle w:val="Hyperlink"/>
            <w:color w:val="000000" w:themeColor="text1"/>
            <w:u w:val="none"/>
          </w:rPr>
          <w:t>http://www.puc.state.nh.us/Transmission%20Commission/2010-04-29%20Press%20Release%20-%20KEMA%20selected%20to%20do%20transmission%20lines%20action%20plan.pdf</w:t>
        </w:r>
      </w:hyperlink>
      <w:r w:rsidRPr="007B7547">
        <w:t xml:space="preserve">. </w:t>
      </w:r>
    </w:p>
  </w:footnote>
  <w:footnote w:id="347">
    <w:p w:rsidR="003C78A4" w:rsidRDefault="003C78A4" w:rsidP="00EC0545">
      <w:pPr>
        <w:pStyle w:val="FootnoteText"/>
      </w:pPr>
      <w:r w:rsidRPr="007B7547">
        <w:rPr>
          <w:rStyle w:val="FootnoteReference"/>
        </w:rPr>
        <w:footnoteRef/>
      </w:r>
      <w:r w:rsidRPr="007B7547">
        <w:t xml:space="preserve"> </w:t>
      </w:r>
      <w:r w:rsidRPr="000827EE">
        <w:rPr>
          <w:rFonts w:eastAsiaTheme="majorEastAsia"/>
          <w:i/>
        </w:rPr>
        <w:t>An Act Relating to Public Utilities and Carriers—Contracting Standard for Renewable Energy</w:t>
      </w:r>
      <w:r>
        <w:rPr>
          <w:rFonts w:eastAsiaTheme="majorEastAsia"/>
        </w:rPr>
        <w:t>,</w:t>
      </w:r>
      <w:r w:rsidRPr="007B7547">
        <w:t xml:space="preserve"> RI Senate Bill 2819, Sub A as amended, Chap. 32</w:t>
      </w:r>
      <w:r>
        <w:t xml:space="preserve"> (</w:t>
      </w:r>
      <w:r w:rsidRPr="007B7547">
        <w:t xml:space="preserve">June 15, 2010); </w:t>
      </w:r>
      <w:hyperlink r:id="rId133" w:history="1">
        <w:r w:rsidRPr="007B7547">
          <w:rPr>
            <w:rStyle w:val="Hyperlink"/>
            <w:color w:val="000000" w:themeColor="text1"/>
            <w:u w:val="none"/>
          </w:rPr>
          <w:t xml:space="preserve"> http://dirac.rilin.state.ri.us/BillStatus/WebClass1.ASP?WCI=BillStatus&amp;WCE=ifrmBillStatus&amp;WCU</w:t>
        </w:r>
      </w:hyperlink>
      <w:r w:rsidRPr="007B7547">
        <w:t xml:space="preserve">. </w:t>
      </w:r>
      <w:r w:rsidRPr="000827EE">
        <w:rPr>
          <w:i/>
        </w:rPr>
        <w:t>Review of Amended Power Purchase Agreement Between The Narragansett Electric Company d/b/a National Grid and Deepwater Wind Block Island, LLC Pursuant to R.I.G.L. § 39-26.1-7</w:t>
      </w:r>
      <w:r>
        <w:t>,</w:t>
      </w:r>
      <w:r w:rsidRPr="000827EE">
        <w:t xml:space="preserve"> </w:t>
      </w:r>
      <w:r w:rsidRPr="007B7547">
        <w:t>National Grid Filing to the RI PUC, Docket 4185 (June 30, 2010); http://www.ripuc.org/eventsactions/docket/4185-Amended%20PPA%20(PUC%206-30-10).pdf.</w:t>
      </w:r>
    </w:p>
  </w:footnote>
  <w:footnote w:id="348">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w:t>
      </w:r>
      <w:r>
        <w:rPr>
          <w:rFonts w:cs="Times New Roman"/>
          <w:sz w:val="18"/>
        </w:rPr>
        <w:t xml:space="preserve">Vermont Statutes Annotated, Title 30, § </w:t>
      </w:r>
      <w:r w:rsidRPr="007B7547">
        <w:rPr>
          <w:rFonts w:cs="Times New Roman"/>
          <w:sz w:val="18"/>
        </w:rPr>
        <w:t>248(e)</w:t>
      </w:r>
      <w:r>
        <w:rPr>
          <w:rFonts w:cs="Times New Roman"/>
          <w:sz w:val="18"/>
        </w:rPr>
        <w:t xml:space="preserve">; </w:t>
      </w:r>
      <w:r w:rsidRPr="005C22B8">
        <w:rPr>
          <w:rFonts w:cs="Times New Roman"/>
          <w:sz w:val="18"/>
        </w:rPr>
        <w:t>http://www.leg.state.vt.us/statutes/fullsection.cfm?Title=30&amp;Chapter=005&amp;Section=00248</w:t>
      </w:r>
      <w:r w:rsidRPr="007B7547">
        <w:rPr>
          <w:rFonts w:cs="Times New Roman"/>
          <w:sz w:val="18"/>
        </w:rPr>
        <w:t>.</w:t>
      </w:r>
    </w:p>
  </w:footnote>
  <w:footnote w:id="349">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w:t>
      </w:r>
      <w:r>
        <w:rPr>
          <w:rFonts w:cs="Times New Roman"/>
          <w:sz w:val="18"/>
        </w:rPr>
        <w:t xml:space="preserve">Central Vermont Public Service, </w:t>
      </w:r>
      <w:r w:rsidRPr="007B7547">
        <w:rPr>
          <w:rFonts w:cs="Times New Roman"/>
          <w:sz w:val="18"/>
        </w:rPr>
        <w:t>“Preliminary Vermont-Hydro-</w:t>
      </w:r>
      <w:r w:rsidRPr="005C22B8">
        <w:rPr>
          <w:rFonts w:cs="Times New Roman"/>
          <w:sz w:val="18"/>
        </w:rPr>
        <w:t xml:space="preserve">Québec Agreement Reached” (March 11, 2010); </w:t>
      </w:r>
      <w:hyperlink r:id="rId134" w:history="1">
        <w:r w:rsidRPr="005C22B8">
          <w:rPr>
            <w:rStyle w:val="Hyperlink"/>
            <w:rFonts w:cs="Times New Roman"/>
            <w:color w:val="auto"/>
            <w:sz w:val="18"/>
            <w:u w:val="none"/>
          </w:rPr>
          <w:t>http://www.cvps.com/AboutUs/news/viewStory.aspx?story_id=264</w:t>
        </w:r>
      </w:hyperlink>
      <w:r w:rsidRPr="005C22B8">
        <w:rPr>
          <w:rFonts w:cs="Times New Roman"/>
          <w:sz w:val="18"/>
        </w:rPr>
        <w:t>.</w:t>
      </w:r>
      <w:r w:rsidRPr="007B7547">
        <w:rPr>
          <w:rFonts w:cs="Times New Roman"/>
          <w:sz w:val="18"/>
        </w:rPr>
        <w:t xml:space="preserve"> </w:t>
      </w:r>
    </w:p>
  </w:footnote>
  <w:footnote w:id="350">
    <w:p w:rsidR="003C78A4" w:rsidRDefault="003C78A4" w:rsidP="00EC0545">
      <w:pPr>
        <w:pStyle w:val="FootnoteText"/>
      </w:pPr>
      <w:r w:rsidRPr="007B7547">
        <w:rPr>
          <w:rStyle w:val="FootnoteReference"/>
        </w:rPr>
        <w:footnoteRef/>
      </w:r>
      <w:r w:rsidRPr="007B7547">
        <w:t xml:space="preserve"> See Vermont H.781 (2010); </w:t>
      </w:r>
      <w:hyperlink r:id="rId135" w:history="1">
        <w:r w:rsidRPr="007B7547">
          <w:rPr>
            <w:rStyle w:val="Hyperlink"/>
            <w:color w:val="000000" w:themeColor="text1"/>
            <w:u w:val="none"/>
          </w:rPr>
          <w:t>http://www.leg.state.vt.us/docs/2010/bills/Passed/H-781.pdf</w:t>
        </w:r>
      </w:hyperlink>
      <w:r w:rsidRPr="007B7547">
        <w:t xml:space="preserve">. </w:t>
      </w:r>
    </w:p>
  </w:footnote>
  <w:footnote w:id="351">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For more information, see </w:t>
      </w:r>
      <w:hyperlink r:id="rId136" w:history="1">
        <w:r w:rsidRPr="007B7547">
          <w:rPr>
            <w:rStyle w:val="Hyperlink"/>
            <w:rFonts w:cs="Times New Roman"/>
            <w:color w:val="auto"/>
            <w:sz w:val="18"/>
            <w:u w:val="none"/>
          </w:rPr>
          <w:t>www.nescoe.com</w:t>
        </w:r>
      </w:hyperlink>
      <w:r w:rsidRPr="007B7547">
        <w:rPr>
          <w:rFonts w:cs="Times New Roman"/>
          <w:sz w:val="18"/>
        </w:rPr>
        <w:t>.</w:t>
      </w:r>
    </w:p>
  </w:footnote>
  <w:footnote w:id="352">
    <w:p w:rsidR="003C78A4" w:rsidRDefault="003C78A4">
      <w:pPr>
        <w:pStyle w:val="NoSpacing"/>
        <w:rPr>
          <w:rFonts w:cs="Times New Roman"/>
          <w:sz w:val="18"/>
        </w:rPr>
      </w:pPr>
      <w:r w:rsidRPr="007B7547">
        <w:rPr>
          <w:rStyle w:val="FootnoteReference"/>
        </w:rPr>
        <w:footnoteRef/>
      </w:r>
      <w:r>
        <w:rPr>
          <w:rFonts w:cs="Times New Roman"/>
          <w:sz w:val="18"/>
        </w:rPr>
        <w:t xml:space="preserve"> FERC, </w:t>
      </w:r>
      <w:r w:rsidRPr="007B7547">
        <w:rPr>
          <w:rFonts w:cs="Times New Roman"/>
          <w:i/>
          <w:sz w:val="18"/>
        </w:rPr>
        <w:t>Wholesale Power Market Platform</w:t>
      </w:r>
      <w:r>
        <w:rPr>
          <w:rFonts w:cs="Times New Roman"/>
          <w:sz w:val="18"/>
        </w:rPr>
        <w:t xml:space="preserve">, </w:t>
      </w:r>
      <w:r w:rsidRPr="007B7547">
        <w:rPr>
          <w:rFonts w:cs="Times New Roman"/>
          <w:sz w:val="18"/>
        </w:rPr>
        <w:t xml:space="preserve">SMD Notice of Proposed Rulemaking </w:t>
      </w:r>
      <w:r>
        <w:rPr>
          <w:rFonts w:cs="Times New Roman"/>
          <w:sz w:val="18"/>
        </w:rPr>
        <w:t>w</w:t>
      </w:r>
      <w:r w:rsidRPr="007B7547">
        <w:rPr>
          <w:rFonts w:cs="Times New Roman"/>
          <w:sz w:val="18"/>
        </w:rPr>
        <w:t xml:space="preserve">hite </w:t>
      </w:r>
      <w:r>
        <w:rPr>
          <w:rFonts w:cs="Times New Roman"/>
          <w:sz w:val="18"/>
        </w:rPr>
        <w:t>p</w:t>
      </w:r>
      <w:r w:rsidRPr="007B7547">
        <w:rPr>
          <w:rFonts w:cs="Times New Roman"/>
          <w:sz w:val="18"/>
        </w:rPr>
        <w:t>aper</w:t>
      </w:r>
      <w:r>
        <w:rPr>
          <w:rFonts w:cs="Times New Roman"/>
          <w:sz w:val="18"/>
        </w:rPr>
        <w:t xml:space="preserve">, </w:t>
      </w:r>
      <w:r w:rsidRPr="007B7547">
        <w:rPr>
          <w:rFonts w:cs="Times New Roman"/>
          <w:sz w:val="18"/>
        </w:rPr>
        <w:t>FERC Docket No. RM01-12-000 (April 28, 2003).</w:t>
      </w:r>
    </w:p>
  </w:footnote>
  <w:footnote w:id="353">
    <w:p w:rsidR="003C78A4" w:rsidRDefault="003C78A4" w:rsidP="00EC0545">
      <w:pPr>
        <w:pStyle w:val="FootnoteText"/>
      </w:pPr>
      <w:r w:rsidRPr="007B7547">
        <w:rPr>
          <w:rStyle w:val="FootnoteReference"/>
        </w:rPr>
        <w:footnoteRef/>
      </w:r>
      <w:r w:rsidRPr="007B7547">
        <w:t xml:space="preserve"> </w:t>
      </w:r>
      <w:r>
        <w:t xml:space="preserve">EIPC, </w:t>
      </w:r>
      <w:r w:rsidRPr="007B7547">
        <w:t xml:space="preserve">“Sector Caucus Voting Results,” </w:t>
      </w:r>
      <w:r>
        <w:t xml:space="preserve">Web page </w:t>
      </w:r>
      <w:r w:rsidRPr="007B7547">
        <w:t xml:space="preserve">(2010); </w:t>
      </w:r>
      <w:r w:rsidRPr="00F620BF">
        <w:t>http://www.eipconline.com/SelectionProcess.aspx</w:t>
      </w:r>
      <w:r w:rsidRPr="007B7547">
        <w:t xml:space="preserve">. </w:t>
      </w:r>
    </w:p>
  </w:footnote>
  <w:footnote w:id="354">
    <w:p w:rsidR="003C78A4" w:rsidRPr="00AC7446" w:rsidRDefault="003C78A4">
      <w:pPr>
        <w:pStyle w:val="NoSpacing"/>
        <w:rPr>
          <w:rFonts w:cs="Times New Roman"/>
          <w:sz w:val="18"/>
        </w:rPr>
      </w:pPr>
      <w:r w:rsidRPr="00AC7446">
        <w:rPr>
          <w:rStyle w:val="FootnoteReference"/>
        </w:rPr>
        <w:footnoteRef/>
      </w:r>
      <w:r w:rsidRPr="00AC7446">
        <w:rPr>
          <w:rFonts w:cs="Times New Roman"/>
          <w:sz w:val="18"/>
        </w:rPr>
        <w:t xml:space="preserve"> </w:t>
      </w:r>
      <w:r>
        <w:rPr>
          <w:rFonts w:cs="Times New Roman"/>
          <w:sz w:val="18"/>
        </w:rPr>
        <w:t xml:space="preserve">NEGC, </w:t>
      </w:r>
      <w:r w:rsidRPr="00AC7446">
        <w:rPr>
          <w:rFonts w:cs="Times New Roman"/>
          <w:i/>
          <w:sz w:val="18"/>
        </w:rPr>
        <w:t>New England Governors’ Renewable Energy Blueprint</w:t>
      </w:r>
      <w:r w:rsidRPr="00AC7446">
        <w:rPr>
          <w:rFonts w:cs="Times New Roman"/>
          <w:sz w:val="18"/>
        </w:rPr>
        <w:t xml:space="preserve"> (September 15, 2009); </w:t>
      </w:r>
      <w:hyperlink r:id="rId137" w:history="1">
        <w:r w:rsidRPr="00AC7446">
          <w:rPr>
            <w:rStyle w:val="Hyperlink"/>
            <w:rFonts w:cs="Times New Roman"/>
            <w:color w:val="auto"/>
            <w:sz w:val="18"/>
            <w:u w:val="none"/>
          </w:rPr>
          <w:t>http://www.nescoe.com/Blueprint.html</w:t>
        </w:r>
      </w:hyperlink>
      <w:r w:rsidRPr="00AC7446">
        <w:rPr>
          <w:rFonts w:cs="Times New Roman"/>
          <w:sz w:val="18"/>
        </w:rPr>
        <w:t xml:space="preserve">. </w:t>
      </w:r>
    </w:p>
  </w:footnote>
  <w:footnote w:id="355">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w:t>
      </w:r>
      <w:r w:rsidRPr="007B7547">
        <w:rPr>
          <w:rFonts w:cs="Times New Roman"/>
          <w:i/>
          <w:sz w:val="18"/>
        </w:rPr>
        <w:t>NEGC Resolution Adopting the Governors’ Renewable Energy Blueprint</w:t>
      </w:r>
      <w:r w:rsidRPr="007B7547">
        <w:rPr>
          <w:rFonts w:cs="Times New Roman"/>
          <w:sz w:val="18"/>
        </w:rPr>
        <w:t xml:space="preserve"> (September 15, 2009); </w:t>
      </w:r>
      <w:hyperlink r:id="rId138" w:history="1">
        <w:r w:rsidRPr="007B7547">
          <w:rPr>
            <w:rStyle w:val="Hyperlink"/>
            <w:rFonts w:cs="Times New Roman"/>
            <w:color w:val="auto"/>
            <w:sz w:val="18"/>
            <w:u w:val="none"/>
          </w:rPr>
          <w:t>www.negc.org</w:t>
        </w:r>
      </w:hyperlink>
      <w:r w:rsidRPr="007B7547">
        <w:rPr>
          <w:rFonts w:cs="Times New Roman"/>
          <w:sz w:val="18"/>
        </w:rPr>
        <w:t>.</w:t>
      </w:r>
    </w:p>
  </w:footnote>
  <w:footnote w:id="356">
    <w:p w:rsidR="003C78A4" w:rsidRDefault="003C78A4">
      <w:pPr>
        <w:pStyle w:val="NoSpacing"/>
        <w:rPr>
          <w:rFonts w:cs="Times New Roman"/>
          <w:sz w:val="18"/>
        </w:rPr>
      </w:pPr>
      <w:r w:rsidRPr="007B7547">
        <w:rPr>
          <w:rStyle w:val="FootnoteReference"/>
        </w:rPr>
        <w:footnoteRef/>
      </w:r>
      <w:r w:rsidRPr="007B7547">
        <w:rPr>
          <w:rFonts w:cs="Times New Roman"/>
          <w:sz w:val="18"/>
        </w:rPr>
        <w:t xml:space="preserve"> </w:t>
      </w:r>
      <w:r w:rsidRPr="007B7547">
        <w:rPr>
          <w:rFonts w:cs="Times New Roman"/>
          <w:i/>
          <w:sz w:val="18"/>
        </w:rPr>
        <w:t>NEG-ECP Resolution Concerning Renewable Energy</w:t>
      </w:r>
      <w:r w:rsidRPr="007B7547">
        <w:rPr>
          <w:rFonts w:cs="Times New Roman"/>
          <w:sz w:val="18"/>
        </w:rPr>
        <w:t xml:space="preserve"> (September 15, 2009); </w:t>
      </w:r>
      <w:hyperlink r:id="rId139" w:history="1">
        <w:r w:rsidRPr="007B7547">
          <w:rPr>
            <w:rStyle w:val="Hyperlink"/>
            <w:rFonts w:cs="Times New Roman"/>
            <w:color w:val="auto"/>
            <w:sz w:val="18"/>
            <w:u w:val="none"/>
          </w:rPr>
          <w:t>www.negc.org</w:t>
        </w:r>
      </w:hyperlink>
      <w:r w:rsidRPr="007B7547">
        <w:rPr>
          <w:rFonts w:cs="Times New Roman"/>
          <w:sz w:val="18"/>
        </w:rPr>
        <w:t xml:space="preserve">. </w:t>
      </w:r>
    </w:p>
  </w:footnote>
  <w:footnote w:id="357">
    <w:p w:rsidR="003C78A4" w:rsidRDefault="003C78A4" w:rsidP="00EC0545">
      <w:pPr>
        <w:pStyle w:val="FootnoteText"/>
      </w:pPr>
      <w:r w:rsidRPr="007B7547">
        <w:rPr>
          <w:rStyle w:val="FootnoteReference"/>
        </w:rPr>
        <w:footnoteRef/>
      </w:r>
      <w:r w:rsidRPr="007B7547">
        <w:t xml:space="preserve"> The 33rd Annual Conference of the New England Governors and Eastern Canadian Premiers (NEG/ECP) took place in Saint John, New Brunswick, on September 15, 2009.</w:t>
      </w:r>
    </w:p>
  </w:footnote>
  <w:footnote w:id="358">
    <w:p w:rsidR="003C78A4" w:rsidRDefault="003C78A4" w:rsidP="00EC0545">
      <w:pPr>
        <w:pStyle w:val="FootnoteText"/>
      </w:pPr>
      <w:r w:rsidRPr="007B7547">
        <w:rPr>
          <w:rStyle w:val="FootnoteReference"/>
        </w:rPr>
        <w:footnoteRef/>
      </w:r>
      <w:r w:rsidRPr="007B7547">
        <w:t xml:space="preserve"> The 34th Annual Conference of the NEG/ECP took place in Lenox, Massachusetts, on July 12, 2010. </w:t>
      </w:r>
      <w:r>
        <w:t xml:space="preserve">NESCOE, </w:t>
      </w:r>
      <w:r w:rsidRPr="00420519">
        <w:rPr>
          <w:i/>
        </w:rPr>
        <w:t>Report to the New England Governors on Coordinated Renewable Procurement</w:t>
      </w:r>
      <w:r w:rsidRPr="007B7547">
        <w:t xml:space="preserve"> (July 12, 2010); </w:t>
      </w:r>
      <w:hyperlink r:id="rId140" w:history="1">
        <w:r w:rsidRPr="007E6EC4">
          <w:rPr>
            <w:rStyle w:val="Hyperlink"/>
            <w:color w:val="auto"/>
            <w:u w:val="none"/>
          </w:rPr>
          <w:t>http://www,nescoe.com</w:t>
        </w:r>
      </w:hyperlink>
      <w:r w:rsidRPr="007B7547">
        <w:t>.</w:t>
      </w:r>
      <w:r>
        <w:t xml:space="preserve"> </w:t>
      </w:r>
      <w:r w:rsidRPr="00AC7446">
        <w:t xml:space="preserve">On September 2, 2010, the ISO submitted comments to NESCOE on </w:t>
      </w:r>
      <w:r>
        <w:t xml:space="preserve">this report, </w:t>
      </w:r>
      <w:r w:rsidRPr="00AC7446">
        <w:t>which are available at http://www.nescoe.com/uploads/ISO_NE_Comments_to_NESCOE-2.pdf.</w:t>
      </w:r>
    </w:p>
  </w:footnote>
  <w:footnote w:id="359">
    <w:p w:rsidR="003C78A4" w:rsidRDefault="003C78A4" w:rsidP="00EC0545">
      <w:pPr>
        <w:pStyle w:val="FootnoteText"/>
      </w:pPr>
      <w:r w:rsidRPr="00101EED">
        <w:rPr>
          <w:rStyle w:val="FootnoteReference"/>
        </w:rPr>
        <w:footnoteRef/>
      </w:r>
      <w:r w:rsidRPr="00101EED">
        <w:t xml:space="preserve"> Additional information about the NEG/ECP conferences is available at http://www.negc.org/premiers.html. </w:t>
      </w:r>
      <w:r w:rsidRPr="00BD4EC7">
        <w:t xml:space="preserve"> </w:t>
      </w:r>
    </w:p>
  </w:footnote>
  <w:footnote w:id="360">
    <w:p w:rsidR="003C78A4" w:rsidRDefault="003C78A4" w:rsidP="00EC0545">
      <w:pPr>
        <w:pStyle w:val="FootnoteText"/>
      </w:pPr>
      <w:r w:rsidRPr="007B7547">
        <w:rPr>
          <w:rStyle w:val="FootnoteReference"/>
        </w:rPr>
        <w:footnoteRef/>
      </w:r>
      <w:r w:rsidRPr="007B7547">
        <w:t xml:space="preserve"> The Alternative Price Rule ensures that the capacity clearing price reflects the cost of new entry (CONE) in an FCA when entry of new resources was prevented because of the presence of out-of-market capacity. This rule sets the clearing price at the lesser of the CONE or the price at which the last new capacity offer left the auction. The rule </w:t>
      </w:r>
      <w:r>
        <w:t xml:space="preserve">and the determination of the CONE are </w:t>
      </w:r>
      <w:r w:rsidRPr="007B7547">
        <w:t xml:space="preserve">described in detail in </w:t>
      </w:r>
      <w:r w:rsidRPr="002C13B2">
        <w:rPr>
          <w:i/>
        </w:rPr>
        <w:t>Market Rule I</w:t>
      </w:r>
      <w:r w:rsidRPr="007B7547">
        <w:t xml:space="preserve">, Section </w:t>
      </w:r>
      <w:r>
        <w:t xml:space="preserve">II.13.2.4 and </w:t>
      </w:r>
      <w:r w:rsidRPr="007B7547">
        <w:t>III.13.2.7.8</w:t>
      </w:r>
      <w:r>
        <w:t xml:space="preserve">; </w:t>
      </w:r>
      <w:hyperlink r:id="rId141" w:history="1">
        <w:r w:rsidRPr="007B7547">
          <w:rPr>
            <w:rStyle w:val="Hyperlink"/>
            <w:color w:val="000000" w:themeColor="text1"/>
            <w:u w:val="none"/>
          </w:rPr>
          <w:t>http://www.iso-ne.com/regulatory/tariff/sect_3/index.html</w:t>
        </w:r>
      </w:hyperlink>
      <w:r w:rsidRPr="007B7547">
        <w:t xml:space="preserve">. </w:t>
      </w:r>
    </w:p>
  </w:footnote>
  <w:footnote w:id="361">
    <w:p w:rsidR="003C78A4" w:rsidRPr="00EF06D2" w:rsidRDefault="003C78A4" w:rsidP="00EC0545">
      <w:pPr>
        <w:pStyle w:val="FootnoteText"/>
      </w:pPr>
      <w:r w:rsidRPr="00EF06D2">
        <w:rPr>
          <w:rStyle w:val="FootnoteReference"/>
        </w:rPr>
        <w:footnoteRef/>
      </w:r>
      <w:r w:rsidRPr="00EF06D2">
        <w:t xml:space="preserve"> </w:t>
      </w:r>
      <w:r w:rsidRPr="00EF06D2">
        <w:rPr>
          <w:i/>
        </w:rPr>
        <w:t>ISO New England Inc. and New England Power Pool, Docket Nos. ER10-787-000, EL10-50-000, and EL10-57-000 (consolidated)</w:t>
      </w:r>
      <w:r w:rsidRPr="00EF06D2">
        <w:t xml:space="preserve"> FERC filing (July 1, 2010); </w:t>
      </w:r>
      <w:hyperlink r:id="rId142" w:history="1">
        <w:r w:rsidRPr="00EF06D2">
          <w:rPr>
            <w:rStyle w:val="Hyperlink"/>
            <w:color w:val="auto"/>
            <w:u w:val="none"/>
          </w:rPr>
          <w:t>http://www.iso-ne.com/regulatory/ferc/filings/2010/jul/er10-787-000_07-01-10_fcm_first_brief.pdf</w:t>
        </w:r>
      </w:hyperlink>
      <w:r w:rsidRPr="00EF06D2">
        <w:t xml:space="preserve">. </w:t>
      </w:r>
      <w:r w:rsidRPr="00EF06D2">
        <w:rPr>
          <w:i/>
        </w:rPr>
        <w:t>ISO New England Inc. and New England Power Pool, Docket Nos. ER10-787-000, EL10-50-000, and EL10-57-000 (consolidated)</w:t>
      </w:r>
      <w:r w:rsidRPr="00EF06D2">
        <w:t xml:space="preserve"> FERC filing (September 1, 2010); http://www.iso-ne.com/regulatory/ferc/filings/2010/sep/er10-787-000_09-01-10_second_fcm_redesign_brief.pdf.</w:t>
      </w:r>
    </w:p>
  </w:footnote>
  <w:footnote w:id="362">
    <w:p w:rsidR="003C78A4" w:rsidRDefault="003C78A4" w:rsidP="00EC0545">
      <w:pPr>
        <w:pStyle w:val="FootnoteText"/>
      </w:pPr>
      <w:r w:rsidRPr="00890D42">
        <w:rPr>
          <w:rStyle w:val="FootnoteReference"/>
        </w:rPr>
        <w:footnoteRef/>
      </w:r>
      <w:r w:rsidRPr="00890D42">
        <w:t xml:space="preserve"> Starting in fall 2008 and through spring 2009, the ISO and regional stakeholders worked on the issue of price-responsive demand treatment and participation in the energy market</w:t>
      </w:r>
      <w:r>
        <w:t xml:space="preserve">. </w:t>
      </w:r>
      <w:r w:rsidRPr="00890D42">
        <w:t xml:space="preserve">On March 18, 2010, FERC issued a Notice of Proposed Rulemaking </w:t>
      </w:r>
      <w:r w:rsidRPr="00890D42">
        <w:rPr>
          <w:rFonts w:cstheme="minorBidi"/>
        </w:rPr>
        <w:t>(NOPR),</w:t>
      </w:r>
      <w:r w:rsidRPr="007E2BAF">
        <w:rPr>
          <w:rFonts w:cstheme="minorBidi"/>
          <w:vertAlign w:val="superscript"/>
        </w:rPr>
        <w:t xml:space="preserve"> </w:t>
      </w:r>
      <w:r w:rsidRPr="00890D42">
        <w:rPr>
          <w:i/>
        </w:rPr>
        <w:t>Demand-Response Compensation in Organized Wholesale Energy Markets</w:t>
      </w:r>
      <w:r>
        <w:t>,</w:t>
      </w:r>
      <w:r w:rsidRPr="00890D42">
        <w:t xml:space="preserve"> 130 FERC ¶ 61,213</w:t>
      </w:r>
      <w:r>
        <w:t>,</w:t>
      </w:r>
      <w:r w:rsidRPr="00890D42">
        <w:t xml:space="preserve"> </w:t>
      </w:r>
      <w:hyperlink r:id="rId143" w:history="1">
        <w:r w:rsidRPr="00890D42">
          <w:rPr>
            <w:rStyle w:val="Hyperlink"/>
            <w:color w:val="000000" w:themeColor="text1"/>
            <w:u w:val="none"/>
          </w:rPr>
          <w:t>Docket RM10-17-000</w:t>
        </w:r>
      </w:hyperlink>
      <w:r w:rsidRPr="00890D42">
        <w:t>. In this NOPR FERC seeks comments on a proposal that would require ISOs and RTOs to pay demand-response providers the full LMP for demand reductions in all hours when demand-response resources reduced energy consumption. The results of the NOPR process will provide the region with guidance on this issue</w:t>
      </w:r>
      <w:r>
        <w:t xml:space="preserve">. </w:t>
      </w:r>
    </w:p>
  </w:footnote>
  <w:footnote w:id="363">
    <w:p w:rsidR="003C78A4" w:rsidRDefault="003C78A4" w:rsidP="00EC0545">
      <w:pPr>
        <w:pStyle w:val="FootnoteText"/>
      </w:pPr>
      <w:r>
        <w:rPr>
          <w:rStyle w:val="FootnoteReference"/>
        </w:rPr>
        <w:footnoteRef/>
      </w:r>
      <w:r w:rsidRPr="00890D42">
        <w:t xml:space="preserve"> </w:t>
      </w:r>
      <w:r w:rsidRPr="00890D42">
        <w:rPr>
          <w:i/>
        </w:rPr>
        <w:t>Real-time pricing</w:t>
      </w:r>
      <w:r w:rsidRPr="00890D42">
        <w:t xml:space="preserve"> refers to retail prices that change hourly (or subhourly) based on changes in hourly wholesale power costs. </w:t>
      </w:r>
      <w:r w:rsidRPr="00890D42">
        <w:rPr>
          <w:i/>
        </w:rPr>
        <w:t>Critical-peak pricing</w:t>
      </w:r>
      <w:r w:rsidRPr="00890D42">
        <w:t xml:space="preserve"> is a type of dynamic pricing whereby the majority of kilowatt-hour usage is priced according to time of use; during hours when the system is experiencing high peak demand, electric energy usage is subject to higher hourly prices. </w:t>
      </w:r>
      <w:r w:rsidRPr="00890D42">
        <w:rPr>
          <w:i/>
        </w:rPr>
        <w:t>Variable-peak pricing</w:t>
      </w:r>
      <w:r w:rsidRPr="00890D42">
        <w:t xml:space="preserve"> is a type of time-of-use rate in which the on-peak rate changes daily to reflect average day-ahead wholesale market prices during predetermined on-peak hours.</w:t>
      </w:r>
    </w:p>
  </w:footnote>
  <w:footnote w:id="364">
    <w:p w:rsidR="003C78A4" w:rsidRDefault="003C78A4">
      <w:pPr>
        <w:pStyle w:val="NoSpacing"/>
        <w:rPr>
          <w:rFonts w:cs="Times New Roman"/>
          <w:sz w:val="18"/>
        </w:rPr>
      </w:pPr>
      <w:r w:rsidRPr="00890D42">
        <w:rPr>
          <w:rStyle w:val="FootnoteReference"/>
        </w:rPr>
        <w:footnoteRef/>
      </w:r>
      <w:r w:rsidRPr="00890D42">
        <w:rPr>
          <w:rFonts w:cs="Times New Roman"/>
          <w:sz w:val="18"/>
        </w:rPr>
        <w:t xml:space="preserve"> For more information on the RTO Responsiveness and Governance Working Group, see</w:t>
      </w:r>
      <w:r>
        <w:rPr>
          <w:rFonts w:cs="Times New Roman"/>
          <w:sz w:val="18"/>
        </w:rPr>
        <w:br/>
      </w:r>
      <w:r w:rsidRPr="00890D42">
        <w:rPr>
          <w:rFonts w:cs="Times New Roman"/>
          <w:sz w:val="18"/>
        </w:rPr>
        <w:t>http://www.iso-ne.com/committees/comm_wkgrps/othr/rto/mtrls/index.html.</w:t>
      </w:r>
    </w:p>
  </w:footnote>
  <w:footnote w:id="365">
    <w:p w:rsidR="003C78A4" w:rsidRDefault="003C78A4" w:rsidP="00EC0545">
      <w:pPr>
        <w:pStyle w:val="FootnoteText"/>
      </w:pPr>
      <w:r w:rsidRPr="007B7547">
        <w:rPr>
          <w:rStyle w:val="FootnoteReference"/>
        </w:rPr>
        <w:footnoteRef/>
      </w:r>
      <w:r w:rsidRPr="007B7547">
        <w:t xml:space="preserve"> For more information on </w:t>
      </w:r>
      <w:r>
        <w:t xml:space="preserve">the </w:t>
      </w:r>
      <w:r w:rsidRPr="007B7547">
        <w:t xml:space="preserve">CLG, see </w:t>
      </w:r>
      <w:hyperlink r:id="rId144" w:history="1">
        <w:r w:rsidRPr="007B7547">
          <w:rPr>
            <w:rStyle w:val="Hyperlink"/>
            <w:color w:val="000000" w:themeColor="text1"/>
            <w:u w:val="none"/>
          </w:rPr>
          <w:t>http://www.iso-ne.com/committees/comm_wkgrps/othr/clg/index.html</w:t>
        </w:r>
      </w:hyperlink>
      <w:r w:rsidRPr="007B7547">
        <w:t xml:space="preserve">. </w:t>
      </w:r>
    </w:p>
  </w:footnote>
  <w:footnote w:id="366">
    <w:p w:rsidR="003C78A4" w:rsidRDefault="003C78A4" w:rsidP="00EC0545">
      <w:pPr>
        <w:pStyle w:val="FootnoteText"/>
      </w:pPr>
      <w:r w:rsidRPr="007B7547">
        <w:rPr>
          <w:rStyle w:val="FootnoteReference"/>
        </w:rPr>
        <w:footnoteRef/>
      </w:r>
      <w:r w:rsidRPr="007B7547">
        <w:t xml:space="preserve"> </w:t>
      </w:r>
      <w:r w:rsidRPr="00967B63">
        <w:rPr>
          <w:i/>
        </w:rPr>
        <w:t>ISO New England’s 2009 Report on the Consumer Liaison Group</w:t>
      </w:r>
      <w:r w:rsidRPr="007B7547">
        <w:t xml:space="preserve"> (July 30, 2010);</w:t>
      </w:r>
      <w:r>
        <w:br/>
      </w:r>
      <w:r w:rsidRPr="007B7547">
        <w:t>http://www.iso-ne.com/committees/comm_wkgrps/othr/clg/mtrls/2010/aug52010/2009_clg_report_final.pdf.</w:t>
      </w:r>
    </w:p>
  </w:footnote>
  <w:footnote w:id="367">
    <w:p w:rsidR="003C78A4" w:rsidRDefault="003C78A4" w:rsidP="00EC0545">
      <w:pPr>
        <w:pStyle w:val="FootnoteText"/>
      </w:pPr>
      <w:r w:rsidRPr="007B7547">
        <w:rPr>
          <w:rStyle w:val="FootnoteReference"/>
        </w:rPr>
        <w:footnoteRef/>
      </w:r>
      <w:r w:rsidRPr="007B7547">
        <w:t xml:space="preserve"> </w:t>
      </w:r>
      <w:r>
        <w:t xml:space="preserve">DOE, </w:t>
      </w:r>
      <w:r w:rsidRPr="00967B63">
        <w:rPr>
          <w:i/>
        </w:rPr>
        <w:t>Recovery Act Selections for Smart Grid Investment Grant Awards, by State</w:t>
      </w:r>
      <w:r>
        <w:rPr>
          <w:i/>
        </w:rPr>
        <w:t>,</w:t>
      </w:r>
      <w:r>
        <w:t xml:space="preserve"> </w:t>
      </w:r>
      <w:r w:rsidRPr="00CB58E1">
        <w:t>table</w:t>
      </w:r>
      <w:r w:rsidRPr="007B7547">
        <w:t xml:space="preserve"> (2010); </w:t>
      </w:r>
      <w:hyperlink r:id="rId145" w:history="1">
        <w:r w:rsidRPr="007B7547">
          <w:rPr>
            <w:rStyle w:val="Hyperlink"/>
            <w:color w:val="000000" w:themeColor="text1"/>
            <w:u w:val="none"/>
          </w:rPr>
          <w:t>http://www.energy.gov/recovery/smartgrid_maps/SGIGSelections_State.pdf</w:t>
        </w:r>
      </w:hyperlink>
      <w:r w:rsidRPr="007B7547">
        <w:t xml:space="preserve">. </w:t>
      </w:r>
    </w:p>
  </w:footnote>
  <w:footnote w:id="368">
    <w:p w:rsidR="003C78A4" w:rsidRDefault="003C78A4" w:rsidP="00EC0545">
      <w:pPr>
        <w:pStyle w:val="FootnoteText"/>
      </w:pPr>
      <w:r>
        <w:rPr>
          <w:rStyle w:val="FootnoteReference"/>
        </w:rPr>
        <w:footnoteRef/>
      </w:r>
      <w:r w:rsidRPr="00890D42">
        <w:t xml:space="preserve"> ISO Planning Procedure No. 4, </w:t>
      </w:r>
      <w:r w:rsidRPr="00BD4EC7">
        <w:rPr>
          <w:i/>
        </w:rPr>
        <w:t>Procedure for Pool Supported PTF Cost Review</w:t>
      </w:r>
      <w:r w:rsidRPr="00890D42">
        <w:t xml:space="preserve">, Attachment D (August 2009); </w:t>
      </w:r>
      <w:hyperlink r:id="rId146" w:history="1">
        <w:r w:rsidRPr="00890D42">
          <w:rPr>
            <w:rStyle w:val="Hyperlink"/>
            <w:color w:val="auto"/>
            <w:u w:val="none"/>
          </w:rPr>
          <w:t>http://www.iso-ne.com/rules_proceds/isone_plan/</w:t>
        </w:r>
      </w:hyperlink>
      <w:r w:rsidRPr="00890D42">
        <w:t xml:space="preserve">. </w:t>
      </w:r>
      <w:r w:rsidRPr="007C66C9">
        <w:rPr>
          <w:i/>
        </w:rPr>
        <w:t>Draft Project Cost Estimating Guidelines</w:t>
      </w:r>
      <w:r w:rsidRPr="00890D42">
        <w:t xml:space="preserve"> (April 27, 2009);</w:t>
      </w:r>
      <w:r>
        <w:br/>
      </w:r>
      <w:hyperlink r:id="rId147" w:history="1">
        <w:r w:rsidRPr="00890D42">
          <w:rPr>
            <w:rStyle w:val="Hyperlink"/>
            <w:color w:val="auto"/>
            <w:u w:val="none"/>
          </w:rPr>
          <w:t>http://www.iso-ne.com/rules_proceds/isone_plan/pp4_0_attachment_d.pdf</w:t>
        </w:r>
      </w:hyperlink>
      <w:r w:rsidRPr="00890D42">
        <w:t>.</w:t>
      </w:r>
    </w:p>
  </w:footnote>
  <w:footnote w:id="369">
    <w:p w:rsidR="003C78A4" w:rsidRDefault="003C78A4" w:rsidP="00EC0545">
      <w:pPr>
        <w:pStyle w:val="FootnoteText"/>
      </w:pPr>
      <w:r>
        <w:rPr>
          <w:rStyle w:val="FootnoteReference"/>
        </w:rPr>
        <w:footnoteRef/>
      </w:r>
      <w:r w:rsidRPr="00890D42">
        <w:t xml:space="preserve"> </w:t>
      </w:r>
      <w:r w:rsidRPr="00890D42">
        <w:rPr>
          <w:rFonts w:eastAsiaTheme="minorHAnsi"/>
        </w:rPr>
        <w:t xml:space="preserve">EPA defines </w:t>
      </w:r>
      <w:r w:rsidRPr="00890D42">
        <w:rPr>
          <w:rFonts w:eastAsiaTheme="minorHAnsi"/>
          <w:i/>
        </w:rPr>
        <w:t>brownfields</w:t>
      </w:r>
      <w:r w:rsidRPr="00890D42">
        <w:rPr>
          <w:rFonts w:eastAsiaTheme="minorHAnsi"/>
        </w:rPr>
        <w:t xml:space="preserve"> as real property, the expansion, redevelopment, or reuse of which may be complicated by the presence or potential presence of a hazardous substance, pollutant, or contaminant.</w:t>
      </w:r>
    </w:p>
  </w:footnote>
  <w:footnote w:id="370">
    <w:p w:rsidR="003C78A4" w:rsidRDefault="003C78A4" w:rsidP="00EC0545">
      <w:pPr>
        <w:pStyle w:val="FootnoteText"/>
      </w:pPr>
      <w:r>
        <w:rPr>
          <w:rStyle w:val="FootnoteReference"/>
        </w:rPr>
        <w:footnoteRef/>
      </w:r>
      <w:r w:rsidRPr="00890D42">
        <w:t xml:space="preserve"> </w:t>
      </w:r>
      <w:r w:rsidRPr="00890D42">
        <w:rPr>
          <w:i/>
        </w:rPr>
        <w:t>Transmission Planning and Cost Allocation by Transmission Owning and Operating Public Utilities</w:t>
      </w:r>
      <w:r w:rsidRPr="00890D42">
        <w:t>, Notice of Proposed Rulemaking, FERC Docket No. RM12-23-000 (June 17, 2010); http://ferc.gov/whats-new/comm-meet/2010/061710/E-9.pdf.</w:t>
      </w:r>
    </w:p>
  </w:footnote>
  <w:footnote w:id="371">
    <w:p w:rsidR="003C78A4" w:rsidRDefault="003C78A4" w:rsidP="00EC0545">
      <w:pPr>
        <w:pStyle w:val="FootnoteText"/>
      </w:pPr>
      <w:r>
        <w:rPr>
          <w:rStyle w:val="FootnoteReference"/>
        </w:rPr>
        <w:footnoteRef/>
      </w:r>
      <w:r>
        <w:t xml:space="preserve"> </w:t>
      </w:r>
      <w:r w:rsidRPr="00356C1E">
        <w:t>Comments of</w:t>
      </w:r>
      <w:r>
        <w:t xml:space="preserve"> </w:t>
      </w:r>
      <w:r w:rsidRPr="00356C1E">
        <w:t>ISO</w:t>
      </w:r>
      <w:r>
        <w:t xml:space="preserve"> New England Inc. </w:t>
      </w:r>
      <w:r w:rsidRPr="00356C1E">
        <w:t>Transmission Planning and Cost Allocation by Transmission Owning and Operation Public Utilities</w:t>
      </w:r>
      <w:r>
        <w:t xml:space="preserve">, FERC </w:t>
      </w:r>
      <w:r w:rsidRPr="00356C1E">
        <w:t>Docket No. RM10-23-000</w:t>
      </w:r>
      <w:r>
        <w:t xml:space="preserve"> (September 29, 2010);</w:t>
      </w:r>
      <w:r>
        <w:br/>
      </w:r>
      <w:r w:rsidRPr="00356C1E">
        <w:t>http://www.iso-ne.com/regulatory/ferc/filings/2010/sep/rm10-23-000_9-29-10_iso_nopr_comments.pdf</w:t>
      </w:r>
      <w:r>
        <w:t>.</w:t>
      </w:r>
    </w:p>
  </w:footnote>
  <w:footnote w:id="372">
    <w:p w:rsidR="003C78A4" w:rsidRDefault="003C78A4" w:rsidP="00EC0545">
      <w:pPr>
        <w:pStyle w:val="FootnoteText"/>
      </w:pPr>
      <w:r>
        <w:rPr>
          <w:rStyle w:val="FootnoteReference"/>
        </w:rPr>
        <w:footnoteRef/>
      </w:r>
      <w:r>
        <w:t xml:space="preserve"> </w:t>
      </w:r>
      <w:r w:rsidRPr="00356C1E">
        <w:t>Comments of the ISO/RTO Council, Transmission Planning and Cost Allocation by Transmission Owning and Operation Public Utilities</w:t>
      </w:r>
      <w:r>
        <w:t xml:space="preserve">, FERC </w:t>
      </w:r>
      <w:r w:rsidRPr="00356C1E">
        <w:t>Docket No. RM10-23-000</w:t>
      </w:r>
      <w:r>
        <w:t xml:space="preserve"> (September 28, 2010);</w:t>
      </w:r>
      <w:r>
        <w:br/>
      </w:r>
      <w:r w:rsidRPr="00356C1E">
        <w:t>http://www.iso-ne.com/regulatory/ferc/filings/2010/sep/rm10-23-000_9-28-10_irc_nopr_comments.pdf</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Default="003C78A4" w:rsidP="00EE300A">
    <w:pPr>
      <w:pStyle w:val="Header"/>
      <w:spacing w:after="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B5791E" w:rsidRDefault="003C78A4" w:rsidP="00EE300A">
    <w:pPr>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757C8C" w:rsidRDefault="003C78A4" w:rsidP="00EE300A">
    <w:pPr>
      <w:pStyle w:val="Header"/>
      <w:spacing w:after="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8D19E7" w:rsidRDefault="003C78A4" w:rsidP="00757C8C">
    <w:pPr>
      <w:pStyle w:val="Header"/>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A4" w:rsidRPr="00015282" w:rsidRDefault="003C78A4" w:rsidP="00015282">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nsid w:val="032C6F42"/>
    <w:multiLevelType w:val="hybridMultilevel"/>
    <w:tmpl w:val="29C8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E0690F"/>
    <w:multiLevelType w:val="hybridMultilevel"/>
    <w:tmpl w:val="57EC6844"/>
    <w:lvl w:ilvl="0" w:tplc="05C22B02">
      <w:start w:val="1"/>
      <w:numFmt w:val="lowerLetter"/>
      <w:lvlText w:val="(%1)"/>
      <w:lvlJc w:val="left"/>
      <w:pPr>
        <w:ind w:left="360" w:hanging="360"/>
      </w:pPr>
      <w:rPr>
        <w:rFonts w:hint="default"/>
      </w:rPr>
    </w:lvl>
    <w:lvl w:ilvl="1" w:tplc="04090019" w:tentative="1">
      <w:start w:val="1"/>
      <w:numFmt w:val="lowerLetter"/>
      <w:lvlText w:val="%2."/>
      <w:lvlJc w:val="left"/>
      <w:pPr>
        <w:ind w:left="1706" w:hanging="360"/>
      </w:pPr>
    </w:lvl>
    <w:lvl w:ilvl="2" w:tplc="0409001B">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abstractNum w:abstractNumId="11">
    <w:nsid w:val="04AF5DCB"/>
    <w:multiLevelType w:val="hybridMultilevel"/>
    <w:tmpl w:val="C26A1118"/>
    <w:lvl w:ilvl="0" w:tplc="343062DC">
      <w:start w:val="1"/>
      <w:numFmt w:val="bullet"/>
      <w:lvlText w:val=""/>
      <w:lvlJc w:val="left"/>
      <w:pPr>
        <w:tabs>
          <w:tab w:val="num" w:pos="720"/>
        </w:tabs>
        <w:ind w:left="720" w:hanging="360"/>
      </w:pPr>
      <w:rPr>
        <w:rFonts w:ascii="Symbol" w:hAnsi="Symbol" w:hint="default"/>
      </w:rPr>
    </w:lvl>
    <w:lvl w:ilvl="1" w:tplc="0D5018E6">
      <w:start w:val="1"/>
      <w:numFmt w:val="bullet"/>
      <w:pStyle w:val="Bullet-Square"/>
      <w:lvlText w:val=""/>
      <w:lvlJc w:val="left"/>
      <w:pPr>
        <w:tabs>
          <w:tab w:val="num" w:pos="1530"/>
        </w:tabs>
        <w:ind w:left="1530" w:hanging="360"/>
      </w:pPr>
      <w:rPr>
        <w:rFonts w:ascii="Wingdings" w:hAnsi="Wingdings" w:hint="default"/>
      </w:rPr>
    </w:lvl>
    <w:lvl w:ilvl="2" w:tplc="8C52ADE2">
      <w:start w:val="1"/>
      <w:numFmt w:val="bullet"/>
      <w:lvlText w:val=""/>
      <w:lvlJc w:val="left"/>
      <w:pPr>
        <w:tabs>
          <w:tab w:val="num" w:pos="2160"/>
        </w:tabs>
        <w:ind w:left="2160" w:hanging="360"/>
      </w:pPr>
      <w:rPr>
        <w:rFonts w:ascii="Wingdings" w:hAnsi="Wingdings" w:hint="default"/>
      </w:rPr>
    </w:lvl>
    <w:lvl w:ilvl="3" w:tplc="5246D53C" w:tentative="1">
      <w:start w:val="1"/>
      <w:numFmt w:val="bullet"/>
      <w:lvlText w:val=""/>
      <w:lvlJc w:val="left"/>
      <w:pPr>
        <w:tabs>
          <w:tab w:val="num" w:pos="2880"/>
        </w:tabs>
        <w:ind w:left="2880" w:hanging="360"/>
      </w:pPr>
      <w:rPr>
        <w:rFonts w:ascii="Symbol" w:hAnsi="Symbol" w:hint="default"/>
      </w:rPr>
    </w:lvl>
    <w:lvl w:ilvl="4" w:tplc="166EDA4A" w:tentative="1">
      <w:start w:val="1"/>
      <w:numFmt w:val="bullet"/>
      <w:lvlText w:val="o"/>
      <w:lvlJc w:val="left"/>
      <w:pPr>
        <w:tabs>
          <w:tab w:val="num" w:pos="3600"/>
        </w:tabs>
        <w:ind w:left="3600" w:hanging="360"/>
      </w:pPr>
      <w:rPr>
        <w:rFonts w:ascii="Courier New" w:hAnsi="Courier New" w:cs="Courier New" w:hint="default"/>
      </w:rPr>
    </w:lvl>
    <w:lvl w:ilvl="5" w:tplc="FE5EFB28" w:tentative="1">
      <w:start w:val="1"/>
      <w:numFmt w:val="bullet"/>
      <w:lvlText w:val=""/>
      <w:lvlJc w:val="left"/>
      <w:pPr>
        <w:tabs>
          <w:tab w:val="num" w:pos="4320"/>
        </w:tabs>
        <w:ind w:left="4320" w:hanging="360"/>
      </w:pPr>
      <w:rPr>
        <w:rFonts w:ascii="Wingdings" w:hAnsi="Wingdings" w:hint="default"/>
      </w:rPr>
    </w:lvl>
    <w:lvl w:ilvl="6" w:tplc="E22C4FC2" w:tentative="1">
      <w:start w:val="1"/>
      <w:numFmt w:val="bullet"/>
      <w:lvlText w:val=""/>
      <w:lvlJc w:val="left"/>
      <w:pPr>
        <w:tabs>
          <w:tab w:val="num" w:pos="5040"/>
        </w:tabs>
        <w:ind w:left="5040" w:hanging="360"/>
      </w:pPr>
      <w:rPr>
        <w:rFonts w:ascii="Symbol" w:hAnsi="Symbol" w:hint="default"/>
      </w:rPr>
    </w:lvl>
    <w:lvl w:ilvl="7" w:tplc="4ECC6D78" w:tentative="1">
      <w:start w:val="1"/>
      <w:numFmt w:val="bullet"/>
      <w:lvlText w:val="o"/>
      <w:lvlJc w:val="left"/>
      <w:pPr>
        <w:tabs>
          <w:tab w:val="num" w:pos="5760"/>
        </w:tabs>
        <w:ind w:left="5760" w:hanging="360"/>
      </w:pPr>
      <w:rPr>
        <w:rFonts w:ascii="Courier New" w:hAnsi="Courier New" w:cs="Courier New" w:hint="default"/>
      </w:rPr>
    </w:lvl>
    <w:lvl w:ilvl="8" w:tplc="2CB8EFEC" w:tentative="1">
      <w:start w:val="1"/>
      <w:numFmt w:val="bullet"/>
      <w:lvlText w:val=""/>
      <w:lvlJc w:val="left"/>
      <w:pPr>
        <w:tabs>
          <w:tab w:val="num" w:pos="6480"/>
        </w:tabs>
        <w:ind w:left="6480" w:hanging="360"/>
      </w:pPr>
      <w:rPr>
        <w:rFonts w:ascii="Wingdings" w:hAnsi="Wingdings" w:hint="default"/>
      </w:rPr>
    </w:lvl>
  </w:abstractNum>
  <w:abstractNum w:abstractNumId="12">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13">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DF2FF0"/>
    <w:multiLevelType w:val="hybridMultilevel"/>
    <w:tmpl w:val="A1583112"/>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15">
    <w:nsid w:val="08641FFA"/>
    <w:multiLevelType w:val="hybridMultilevel"/>
    <w:tmpl w:val="84AC2562"/>
    <w:lvl w:ilvl="0" w:tplc="66289C64">
      <w:start w:val="1"/>
      <w:numFmt w:val="bullet"/>
      <w:pStyle w:val="BulletedPara"/>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08F84261"/>
    <w:multiLevelType w:val="hybridMultilevel"/>
    <w:tmpl w:val="41E2E820"/>
    <w:lvl w:ilvl="0" w:tplc="015C9696">
      <w:start w:val="1"/>
      <w:numFmt w:val="bullet"/>
      <w:pStyle w:val="Bullets"/>
      <w:lvlText w:val=""/>
      <w:lvlJc w:val="left"/>
      <w:pPr>
        <w:tabs>
          <w:tab w:val="num" w:pos="720"/>
        </w:tabs>
        <w:ind w:left="720" w:hanging="360"/>
      </w:pPr>
      <w:rPr>
        <w:rFonts w:ascii="Symbol" w:hAnsi="Symbol" w:hint="default"/>
        <w:color w:val="008080"/>
      </w:rPr>
    </w:lvl>
    <w:lvl w:ilvl="1" w:tplc="A7ACEDEC">
      <w:start w:val="1"/>
      <w:numFmt w:val="decimal"/>
      <w:lvlText w:val="%2."/>
      <w:lvlJc w:val="left"/>
      <w:pPr>
        <w:tabs>
          <w:tab w:val="num" w:pos="1440"/>
        </w:tabs>
        <w:ind w:left="1440" w:hanging="360"/>
      </w:pPr>
      <w:rPr>
        <w:rFonts w:hint="default"/>
      </w:rPr>
    </w:lvl>
    <w:lvl w:ilvl="2" w:tplc="1466E1A2">
      <w:start w:val="1"/>
      <w:numFmt w:val="bullet"/>
      <w:lvlText w:val=""/>
      <w:lvlJc w:val="left"/>
      <w:pPr>
        <w:tabs>
          <w:tab w:val="num" w:pos="2160"/>
        </w:tabs>
        <w:ind w:left="2160" w:hanging="360"/>
      </w:pPr>
      <w:rPr>
        <w:rFonts w:ascii="Wingdings" w:hAnsi="Wingdings" w:hint="default"/>
      </w:rPr>
    </w:lvl>
    <w:lvl w:ilvl="3" w:tplc="874E2C20">
      <w:start w:val="1"/>
      <w:numFmt w:val="decimal"/>
      <w:lvlText w:val="(%4)"/>
      <w:lvlJc w:val="left"/>
      <w:pPr>
        <w:tabs>
          <w:tab w:val="num" w:pos="2880"/>
        </w:tabs>
        <w:ind w:left="2880" w:hanging="360"/>
      </w:pPr>
      <w:rPr>
        <w:rFonts w:cs="Times New Roman" w:hint="default"/>
      </w:rPr>
    </w:lvl>
    <w:lvl w:ilvl="4" w:tplc="3E0E210E" w:tentative="1">
      <w:start w:val="1"/>
      <w:numFmt w:val="bullet"/>
      <w:lvlText w:val="o"/>
      <w:lvlJc w:val="left"/>
      <w:pPr>
        <w:tabs>
          <w:tab w:val="num" w:pos="3600"/>
        </w:tabs>
        <w:ind w:left="3600" w:hanging="360"/>
      </w:pPr>
      <w:rPr>
        <w:rFonts w:ascii="Courier New" w:hAnsi="Courier New" w:hint="default"/>
      </w:rPr>
    </w:lvl>
    <w:lvl w:ilvl="5" w:tplc="5A70CF9A" w:tentative="1">
      <w:start w:val="1"/>
      <w:numFmt w:val="bullet"/>
      <w:lvlText w:val=""/>
      <w:lvlJc w:val="left"/>
      <w:pPr>
        <w:tabs>
          <w:tab w:val="num" w:pos="4320"/>
        </w:tabs>
        <w:ind w:left="4320" w:hanging="360"/>
      </w:pPr>
      <w:rPr>
        <w:rFonts w:ascii="Wingdings" w:hAnsi="Wingdings" w:hint="default"/>
      </w:rPr>
    </w:lvl>
    <w:lvl w:ilvl="6" w:tplc="F6303D62" w:tentative="1">
      <w:start w:val="1"/>
      <w:numFmt w:val="bullet"/>
      <w:lvlText w:val=""/>
      <w:lvlJc w:val="left"/>
      <w:pPr>
        <w:tabs>
          <w:tab w:val="num" w:pos="5040"/>
        </w:tabs>
        <w:ind w:left="5040" w:hanging="360"/>
      </w:pPr>
      <w:rPr>
        <w:rFonts w:ascii="Symbol" w:hAnsi="Symbol" w:hint="default"/>
      </w:rPr>
    </w:lvl>
    <w:lvl w:ilvl="7" w:tplc="228A49A6" w:tentative="1">
      <w:start w:val="1"/>
      <w:numFmt w:val="bullet"/>
      <w:lvlText w:val="o"/>
      <w:lvlJc w:val="left"/>
      <w:pPr>
        <w:tabs>
          <w:tab w:val="num" w:pos="5760"/>
        </w:tabs>
        <w:ind w:left="5760" w:hanging="360"/>
      </w:pPr>
      <w:rPr>
        <w:rFonts w:ascii="Courier New" w:hAnsi="Courier New" w:hint="default"/>
      </w:rPr>
    </w:lvl>
    <w:lvl w:ilvl="8" w:tplc="B2B8D576" w:tentative="1">
      <w:start w:val="1"/>
      <w:numFmt w:val="bullet"/>
      <w:lvlText w:val=""/>
      <w:lvlJc w:val="left"/>
      <w:pPr>
        <w:tabs>
          <w:tab w:val="num" w:pos="6480"/>
        </w:tabs>
        <w:ind w:left="6480" w:hanging="360"/>
      </w:pPr>
      <w:rPr>
        <w:rFonts w:ascii="Wingdings" w:hAnsi="Wingdings" w:hint="default"/>
      </w:rPr>
    </w:lvl>
  </w:abstractNum>
  <w:abstractNum w:abstractNumId="17">
    <w:nsid w:val="0AE65B1C"/>
    <w:multiLevelType w:val="hybridMultilevel"/>
    <w:tmpl w:val="6D421D1C"/>
    <w:lvl w:ilvl="0" w:tplc="AE7A0118">
      <w:start w:val="1"/>
      <w:numFmt w:val="bullet"/>
      <w:lvlText w:val=""/>
      <w:lvlJc w:val="left"/>
      <w:pPr>
        <w:tabs>
          <w:tab w:val="num" w:pos="720"/>
        </w:tabs>
        <w:ind w:left="720" w:hanging="360"/>
      </w:pPr>
      <w:rPr>
        <w:rFonts w:ascii="Symbol" w:hAnsi="Symbol" w:hint="default"/>
        <w:color w:val="auto"/>
      </w:rPr>
    </w:lvl>
    <w:lvl w:ilvl="1" w:tplc="490CE0A0">
      <w:start w:val="1"/>
      <w:numFmt w:val="decimal"/>
      <w:pStyle w:val="NumberedList"/>
      <w:lvlText w:val="%2."/>
      <w:lvlJc w:val="left"/>
      <w:pPr>
        <w:tabs>
          <w:tab w:val="num" w:pos="1440"/>
        </w:tabs>
        <w:ind w:left="1440" w:hanging="360"/>
      </w:pPr>
      <w:rPr>
        <w:rFonts w:hint="default"/>
      </w:rPr>
    </w:lvl>
    <w:lvl w:ilvl="2" w:tplc="D5EC4F62">
      <w:start w:val="1"/>
      <w:numFmt w:val="bullet"/>
      <w:lvlText w:val=""/>
      <w:lvlJc w:val="left"/>
      <w:pPr>
        <w:tabs>
          <w:tab w:val="num" w:pos="2160"/>
        </w:tabs>
        <w:ind w:left="2160" w:hanging="360"/>
      </w:pPr>
      <w:rPr>
        <w:rFonts w:ascii="Wingdings" w:hAnsi="Wingdings" w:hint="default"/>
      </w:rPr>
    </w:lvl>
    <w:lvl w:ilvl="3" w:tplc="FB40518C">
      <w:start w:val="1"/>
      <w:numFmt w:val="decimal"/>
      <w:lvlText w:val="(%4)"/>
      <w:lvlJc w:val="left"/>
      <w:pPr>
        <w:tabs>
          <w:tab w:val="num" w:pos="2880"/>
        </w:tabs>
        <w:ind w:left="2880" w:hanging="360"/>
      </w:pPr>
      <w:rPr>
        <w:rFonts w:cs="Times New Roman" w:hint="default"/>
      </w:rPr>
    </w:lvl>
    <w:lvl w:ilvl="4" w:tplc="C3A8800E" w:tentative="1">
      <w:start w:val="1"/>
      <w:numFmt w:val="bullet"/>
      <w:lvlText w:val="o"/>
      <w:lvlJc w:val="left"/>
      <w:pPr>
        <w:tabs>
          <w:tab w:val="num" w:pos="3600"/>
        </w:tabs>
        <w:ind w:left="3600" w:hanging="360"/>
      </w:pPr>
      <w:rPr>
        <w:rFonts w:ascii="Courier New" w:hAnsi="Courier New" w:hint="default"/>
      </w:rPr>
    </w:lvl>
    <w:lvl w:ilvl="5" w:tplc="2488DE20" w:tentative="1">
      <w:start w:val="1"/>
      <w:numFmt w:val="bullet"/>
      <w:lvlText w:val=""/>
      <w:lvlJc w:val="left"/>
      <w:pPr>
        <w:tabs>
          <w:tab w:val="num" w:pos="4320"/>
        </w:tabs>
        <w:ind w:left="4320" w:hanging="360"/>
      </w:pPr>
      <w:rPr>
        <w:rFonts w:ascii="Wingdings" w:hAnsi="Wingdings" w:hint="default"/>
      </w:rPr>
    </w:lvl>
    <w:lvl w:ilvl="6" w:tplc="17103130" w:tentative="1">
      <w:start w:val="1"/>
      <w:numFmt w:val="bullet"/>
      <w:lvlText w:val=""/>
      <w:lvlJc w:val="left"/>
      <w:pPr>
        <w:tabs>
          <w:tab w:val="num" w:pos="5040"/>
        </w:tabs>
        <w:ind w:left="5040" w:hanging="360"/>
      </w:pPr>
      <w:rPr>
        <w:rFonts w:ascii="Symbol" w:hAnsi="Symbol" w:hint="default"/>
      </w:rPr>
    </w:lvl>
    <w:lvl w:ilvl="7" w:tplc="65DC4314" w:tentative="1">
      <w:start w:val="1"/>
      <w:numFmt w:val="bullet"/>
      <w:lvlText w:val="o"/>
      <w:lvlJc w:val="left"/>
      <w:pPr>
        <w:tabs>
          <w:tab w:val="num" w:pos="5760"/>
        </w:tabs>
        <w:ind w:left="5760" w:hanging="360"/>
      </w:pPr>
      <w:rPr>
        <w:rFonts w:ascii="Courier New" w:hAnsi="Courier New" w:hint="default"/>
      </w:rPr>
    </w:lvl>
    <w:lvl w:ilvl="8" w:tplc="C818D2A8" w:tentative="1">
      <w:start w:val="1"/>
      <w:numFmt w:val="bullet"/>
      <w:lvlText w:val=""/>
      <w:lvlJc w:val="left"/>
      <w:pPr>
        <w:tabs>
          <w:tab w:val="num" w:pos="6480"/>
        </w:tabs>
        <w:ind w:left="6480" w:hanging="360"/>
      </w:pPr>
      <w:rPr>
        <w:rFonts w:ascii="Wingdings" w:hAnsi="Wingdings" w:hint="default"/>
      </w:rPr>
    </w:lvl>
  </w:abstractNum>
  <w:abstractNum w:abstractNumId="1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9">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FE5960"/>
    <w:multiLevelType w:val="hybridMultilevel"/>
    <w:tmpl w:val="6F0206EE"/>
    <w:lvl w:ilvl="0" w:tplc="DCC87CB2">
      <w:start w:val="1"/>
      <w:numFmt w:val="decimal"/>
      <w:pStyle w:val="number-left"/>
      <w:lvlText w:val="%1."/>
      <w:lvlJc w:val="left"/>
      <w:pPr>
        <w:tabs>
          <w:tab w:val="num" w:pos="1080"/>
        </w:tabs>
        <w:ind w:left="1080" w:hanging="360"/>
      </w:pPr>
    </w:lvl>
    <w:lvl w:ilvl="1" w:tplc="2FB20C84" w:tentative="1">
      <w:start w:val="1"/>
      <w:numFmt w:val="lowerLetter"/>
      <w:lvlText w:val="%2."/>
      <w:lvlJc w:val="left"/>
      <w:pPr>
        <w:tabs>
          <w:tab w:val="num" w:pos="1800"/>
        </w:tabs>
        <w:ind w:left="1800" w:hanging="360"/>
      </w:pPr>
    </w:lvl>
    <w:lvl w:ilvl="2" w:tplc="E61A2CA0" w:tentative="1">
      <w:start w:val="1"/>
      <w:numFmt w:val="lowerRoman"/>
      <w:lvlText w:val="%3."/>
      <w:lvlJc w:val="right"/>
      <w:pPr>
        <w:tabs>
          <w:tab w:val="num" w:pos="2520"/>
        </w:tabs>
        <w:ind w:left="2520" w:hanging="180"/>
      </w:pPr>
    </w:lvl>
    <w:lvl w:ilvl="3" w:tplc="3F84F868" w:tentative="1">
      <w:start w:val="1"/>
      <w:numFmt w:val="decimal"/>
      <w:lvlText w:val="%4."/>
      <w:lvlJc w:val="left"/>
      <w:pPr>
        <w:tabs>
          <w:tab w:val="num" w:pos="3240"/>
        </w:tabs>
        <w:ind w:left="3240" w:hanging="360"/>
      </w:pPr>
    </w:lvl>
    <w:lvl w:ilvl="4" w:tplc="5F047672" w:tentative="1">
      <w:start w:val="1"/>
      <w:numFmt w:val="lowerLetter"/>
      <w:lvlText w:val="%5."/>
      <w:lvlJc w:val="left"/>
      <w:pPr>
        <w:tabs>
          <w:tab w:val="num" w:pos="3960"/>
        </w:tabs>
        <w:ind w:left="3960" w:hanging="360"/>
      </w:pPr>
    </w:lvl>
    <w:lvl w:ilvl="5" w:tplc="813E90C8" w:tentative="1">
      <w:start w:val="1"/>
      <w:numFmt w:val="lowerRoman"/>
      <w:lvlText w:val="%6."/>
      <w:lvlJc w:val="right"/>
      <w:pPr>
        <w:tabs>
          <w:tab w:val="num" w:pos="4680"/>
        </w:tabs>
        <w:ind w:left="4680" w:hanging="180"/>
      </w:pPr>
    </w:lvl>
    <w:lvl w:ilvl="6" w:tplc="D5E06896" w:tentative="1">
      <w:start w:val="1"/>
      <w:numFmt w:val="decimal"/>
      <w:lvlText w:val="%7."/>
      <w:lvlJc w:val="left"/>
      <w:pPr>
        <w:tabs>
          <w:tab w:val="num" w:pos="5400"/>
        </w:tabs>
        <w:ind w:left="5400" w:hanging="360"/>
      </w:pPr>
    </w:lvl>
    <w:lvl w:ilvl="7" w:tplc="D652C326" w:tentative="1">
      <w:start w:val="1"/>
      <w:numFmt w:val="lowerLetter"/>
      <w:lvlText w:val="%8."/>
      <w:lvlJc w:val="left"/>
      <w:pPr>
        <w:tabs>
          <w:tab w:val="num" w:pos="6120"/>
        </w:tabs>
        <w:ind w:left="6120" w:hanging="360"/>
      </w:pPr>
    </w:lvl>
    <w:lvl w:ilvl="8" w:tplc="133E7DC2" w:tentative="1">
      <w:start w:val="1"/>
      <w:numFmt w:val="lowerRoman"/>
      <w:lvlText w:val="%9."/>
      <w:lvlJc w:val="right"/>
      <w:pPr>
        <w:tabs>
          <w:tab w:val="num" w:pos="6840"/>
        </w:tabs>
        <w:ind w:left="6840" w:hanging="180"/>
      </w:pPr>
    </w:lvl>
  </w:abstractNum>
  <w:abstractNum w:abstractNumId="23">
    <w:nsid w:val="25BB40CE"/>
    <w:multiLevelType w:val="hybridMultilevel"/>
    <w:tmpl w:val="DDA6AF46"/>
    <w:lvl w:ilvl="0" w:tplc="EAA2044A">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B95A24"/>
    <w:multiLevelType w:val="hybridMultilevel"/>
    <w:tmpl w:val="D8D4DD0A"/>
    <w:lvl w:ilvl="0" w:tplc="EAA2044A">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7">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C159D4"/>
    <w:multiLevelType w:val="multilevel"/>
    <w:tmpl w:val="1786B8CE"/>
    <w:lvl w:ilvl="0">
      <w:start w:val="1"/>
      <w:numFmt w:val="decimal"/>
      <w:pStyle w:val="Heading1"/>
      <w:suff w:val="space"/>
      <w:lvlText w:val="Section %1"/>
      <w:lvlJc w:val="left"/>
      <w:pPr>
        <w:ind w:left="0" w:firstLine="0"/>
      </w:pPr>
      <w:rPr>
        <w:rFonts w:cs="Times New Roman"/>
        <w:i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decimal"/>
      <w:pStyle w:val="Heading2"/>
      <w:suff w:val="space"/>
      <w:lvlText w:val="%1.%2"/>
      <w:lvlJc w:val="left"/>
      <w:pPr>
        <w:ind w:left="270" w:firstLine="0"/>
      </w:pPr>
      <w:rPr>
        <w:rFonts w:ascii="Arial" w:hAnsi="Arial" w:cs="Times New Roman" w:hint="default"/>
        <w:b/>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 w:ilvl="2">
      <w:start w:val="1"/>
      <w:numFmt w:val="decimal"/>
      <w:pStyle w:val="Heading3"/>
      <w:suff w:val="space"/>
      <w:lvlText w:val="%1.%2.%3"/>
      <w:lvlJc w:val="left"/>
      <w:pPr>
        <w:ind w:left="0" w:firstLine="0"/>
      </w:pPr>
      <w:rPr>
        <w:rFonts w:ascii="Arial" w:hAnsi="Arial" w:cs="Times New Roman" w:hint="default"/>
        <w:b/>
        <w:i w:val="0"/>
        <w:iCs w:val="0"/>
        <w:caps w:val="0"/>
        <w:smallCaps w:val="0"/>
        <w:strike w:val="0"/>
        <w:dstrike w:val="0"/>
        <w:outline w:val="0"/>
        <w:shadow w:val="0"/>
        <w:emboss w:val="0"/>
        <w:imprint w:val="0"/>
        <w:vanish w:val="0"/>
        <w:color w:val="auto"/>
        <w:spacing w:val="0"/>
        <w:kern w:val="0"/>
        <w:position w:val="0"/>
        <w:sz w:val="20"/>
        <w:u w:val="none"/>
        <w:vertAlign w:val="baseline"/>
        <w:em w:val="none"/>
      </w:rPr>
    </w:lvl>
    <w:lvl w:ilvl="3">
      <w:start w:val="1"/>
      <w:numFmt w:val="decimal"/>
      <w:pStyle w:val="Heading4"/>
      <w:suff w:val="space"/>
      <w:lvlText w:val="%1.%2.%3.%4"/>
      <w:lvlJc w:val="left"/>
      <w:pPr>
        <w:ind w:left="0" w:firstLine="0"/>
      </w:pPr>
      <w:rPr>
        <w:rFonts w:ascii="Arial" w:hAnsi="Arial" w:cs="Times New Roman" w:hint="default"/>
        <w:b w:val="0"/>
        <w:i/>
        <w:color w:val="auto"/>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9">
    <w:nsid w:val="3AB62062"/>
    <w:multiLevelType w:val="hybridMultilevel"/>
    <w:tmpl w:val="3996B942"/>
    <w:lvl w:ilvl="0" w:tplc="BE88E404">
      <w:start w:val="3"/>
      <w:numFmt w:val="lowerLetter"/>
      <w:lvlText w:val="(%1)"/>
      <w:lvlJc w:val="left"/>
      <w:pPr>
        <w:tabs>
          <w:tab w:val="num" w:pos="360"/>
        </w:tabs>
        <w:ind w:left="360" w:hanging="360"/>
      </w:pPr>
      <w:rPr>
        <w:rFonts w:cs="Times New Roman"/>
      </w:rPr>
    </w:lvl>
    <w:lvl w:ilvl="1" w:tplc="915ABAF0">
      <w:start w:val="3"/>
      <w:numFmt w:val="lowerLetter"/>
      <w:pStyle w:val="ListParagraph"/>
      <w:lvlText w:val="(%2)"/>
      <w:lvlJc w:val="left"/>
      <w:pPr>
        <w:tabs>
          <w:tab w:val="num" w:pos="360"/>
        </w:tabs>
        <w:ind w:left="360" w:hanging="360"/>
      </w:pPr>
      <w:rPr>
        <w:rFonts w:cs="Times New Roman"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30">
    <w:nsid w:val="3B1C5F68"/>
    <w:multiLevelType w:val="hybridMultilevel"/>
    <w:tmpl w:val="E738D8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153344F"/>
    <w:multiLevelType w:val="hybridMultilevel"/>
    <w:tmpl w:val="1BA61126"/>
    <w:lvl w:ilvl="0" w:tplc="0409000F">
      <w:start w:val="1"/>
      <w:numFmt w:val="bullet"/>
      <w:pStyle w:val="Keyfacts-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53F92D14"/>
    <w:multiLevelType w:val="hybridMultilevel"/>
    <w:tmpl w:val="1D90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AB22E8D"/>
    <w:multiLevelType w:val="hybridMultilevel"/>
    <w:tmpl w:val="157EC994"/>
    <w:lvl w:ilvl="0" w:tplc="3D1EFE0E">
      <w:start w:val="1"/>
      <w:numFmt w:val="lowerLetter"/>
      <w:lvlText w:val="(%1)"/>
      <w:lvlJc w:val="left"/>
      <w:pPr>
        <w:ind w:left="1084" w:hanging="360"/>
      </w:pPr>
      <w:rPr>
        <w:rFonts w:ascii="Arial" w:hAnsi="Arial"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9">
    <w:nsid w:val="5AB47068"/>
    <w:multiLevelType w:val="hybridMultilevel"/>
    <w:tmpl w:val="4B6A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EA56EF"/>
    <w:multiLevelType w:val="hybridMultilevel"/>
    <w:tmpl w:val="1B1EC316"/>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41">
    <w:nsid w:val="5E1336BA"/>
    <w:multiLevelType w:val="hybridMultilevel"/>
    <w:tmpl w:val="8C82DFF2"/>
    <w:lvl w:ilvl="0" w:tplc="83168C40">
      <w:start w:val="1"/>
      <w:numFmt w:val="bullet"/>
      <w:pStyle w:val="Bullet-Solid"/>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E6D48CA"/>
    <w:multiLevelType w:val="hybridMultilevel"/>
    <w:tmpl w:val="86E21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395201D"/>
    <w:multiLevelType w:val="hybridMultilevel"/>
    <w:tmpl w:val="EC204566"/>
    <w:lvl w:ilvl="0" w:tplc="1AE64BB8">
      <w:start w:val="1"/>
      <w:numFmt w:val="bullet"/>
      <w:pStyle w:val="ISOBullets2"/>
      <w:lvlText w:val="o"/>
      <w:lvlJc w:val="left"/>
      <w:pPr>
        <w:tabs>
          <w:tab w:val="num" w:pos="1080"/>
        </w:tabs>
        <w:ind w:left="1080" w:hanging="360"/>
      </w:pPr>
      <w:rPr>
        <w:rFonts w:ascii="Courier New" w:hAnsi="Courier New" w:hint="default"/>
        <w:sz w:val="16"/>
      </w:rPr>
    </w:lvl>
    <w:lvl w:ilvl="1" w:tplc="3BEC2F54">
      <w:start w:val="1"/>
      <w:numFmt w:val="bullet"/>
      <w:lvlText w:val="o"/>
      <w:lvlJc w:val="left"/>
      <w:pPr>
        <w:tabs>
          <w:tab w:val="num" w:pos="1800"/>
        </w:tabs>
        <w:ind w:left="1800" w:hanging="360"/>
      </w:pPr>
      <w:rPr>
        <w:rFonts w:ascii="Times New Roman Bold" w:hAnsi="Times New Roman Bold" w:hint="default"/>
        <w:b/>
        <w:i w:val="0"/>
        <w:sz w:val="20"/>
      </w:rPr>
    </w:lvl>
    <w:lvl w:ilvl="2" w:tplc="27BCD60E" w:tentative="1">
      <w:start w:val="1"/>
      <w:numFmt w:val="bullet"/>
      <w:lvlText w:val=""/>
      <w:lvlJc w:val="left"/>
      <w:pPr>
        <w:tabs>
          <w:tab w:val="num" w:pos="2880"/>
        </w:tabs>
        <w:ind w:left="2880" w:hanging="360"/>
      </w:pPr>
      <w:rPr>
        <w:rFonts w:ascii="Wingdings" w:hAnsi="Wingdings" w:hint="default"/>
      </w:rPr>
    </w:lvl>
    <w:lvl w:ilvl="3" w:tplc="7BB40E14">
      <w:start w:val="1"/>
      <w:numFmt w:val="bullet"/>
      <w:lvlText w:val=""/>
      <w:lvlJc w:val="left"/>
      <w:pPr>
        <w:tabs>
          <w:tab w:val="num" w:pos="3600"/>
        </w:tabs>
        <w:ind w:left="3600" w:hanging="360"/>
      </w:pPr>
      <w:rPr>
        <w:rFonts w:ascii="Symbol" w:hAnsi="Symbol" w:hint="default"/>
      </w:rPr>
    </w:lvl>
    <w:lvl w:ilvl="4" w:tplc="70C6CA54" w:tentative="1">
      <w:start w:val="1"/>
      <w:numFmt w:val="bullet"/>
      <w:lvlText w:val="o"/>
      <w:lvlJc w:val="left"/>
      <w:pPr>
        <w:tabs>
          <w:tab w:val="num" w:pos="4320"/>
        </w:tabs>
        <w:ind w:left="4320" w:hanging="360"/>
      </w:pPr>
      <w:rPr>
        <w:rFonts w:ascii="Courier New" w:hAnsi="Courier New" w:hint="default"/>
      </w:rPr>
    </w:lvl>
    <w:lvl w:ilvl="5" w:tplc="741AA18C" w:tentative="1">
      <w:start w:val="1"/>
      <w:numFmt w:val="bullet"/>
      <w:lvlText w:val=""/>
      <w:lvlJc w:val="left"/>
      <w:pPr>
        <w:tabs>
          <w:tab w:val="num" w:pos="5040"/>
        </w:tabs>
        <w:ind w:left="5040" w:hanging="360"/>
      </w:pPr>
      <w:rPr>
        <w:rFonts w:ascii="Wingdings" w:hAnsi="Wingdings" w:hint="default"/>
      </w:rPr>
    </w:lvl>
    <w:lvl w:ilvl="6" w:tplc="E9DC6340" w:tentative="1">
      <w:start w:val="1"/>
      <w:numFmt w:val="bullet"/>
      <w:lvlText w:val=""/>
      <w:lvlJc w:val="left"/>
      <w:pPr>
        <w:tabs>
          <w:tab w:val="num" w:pos="5760"/>
        </w:tabs>
        <w:ind w:left="5760" w:hanging="360"/>
      </w:pPr>
      <w:rPr>
        <w:rFonts w:ascii="Symbol" w:hAnsi="Symbol" w:hint="default"/>
      </w:rPr>
    </w:lvl>
    <w:lvl w:ilvl="7" w:tplc="271A967E" w:tentative="1">
      <w:start w:val="1"/>
      <w:numFmt w:val="bullet"/>
      <w:lvlText w:val="o"/>
      <w:lvlJc w:val="left"/>
      <w:pPr>
        <w:tabs>
          <w:tab w:val="num" w:pos="6480"/>
        </w:tabs>
        <w:ind w:left="6480" w:hanging="360"/>
      </w:pPr>
      <w:rPr>
        <w:rFonts w:ascii="Courier New" w:hAnsi="Courier New" w:hint="default"/>
      </w:rPr>
    </w:lvl>
    <w:lvl w:ilvl="8" w:tplc="E154E42A" w:tentative="1">
      <w:start w:val="1"/>
      <w:numFmt w:val="bullet"/>
      <w:lvlText w:val=""/>
      <w:lvlJc w:val="left"/>
      <w:pPr>
        <w:tabs>
          <w:tab w:val="num" w:pos="7200"/>
        </w:tabs>
        <w:ind w:left="7200" w:hanging="360"/>
      </w:pPr>
      <w:rPr>
        <w:rFonts w:ascii="Wingdings" w:hAnsi="Wingdings" w:hint="default"/>
      </w:rPr>
    </w:lvl>
  </w:abstractNum>
  <w:abstractNum w:abstractNumId="45">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
    <w:nsid w:val="686D778C"/>
    <w:multiLevelType w:val="hybridMultilevel"/>
    <w:tmpl w:val="0E54F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3157AC"/>
    <w:multiLevelType w:val="hybridMultilevel"/>
    <w:tmpl w:val="601810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E6F5587"/>
    <w:multiLevelType w:val="hybridMultilevel"/>
    <w:tmpl w:val="E3DE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724B9B"/>
    <w:multiLevelType w:val="hybridMultilevel"/>
    <w:tmpl w:val="BBE0FD80"/>
    <w:lvl w:ilvl="0" w:tplc="97FE8602">
      <w:start w:val="1"/>
      <w:numFmt w:val="bullet"/>
      <w:pStyle w:val="ISO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4"/>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C90EC6"/>
    <w:multiLevelType w:val="hybridMultilevel"/>
    <w:tmpl w:val="D062C4D2"/>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53">
    <w:nsid w:val="72B557C0"/>
    <w:multiLevelType w:val="hybridMultilevel"/>
    <w:tmpl w:val="6FB26440"/>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4">
    <w:nsid w:val="7309605A"/>
    <w:multiLevelType w:val="hybridMultilevel"/>
    <w:tmpl w:val="4832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0E2638"/>
    <w:multiLevelType w:val="hybridMultilevel"/>
    <w:tmpl w:val="FBAA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BF2194"/>
    <w:multiLevelType w:val="hybridMultilevel"/>
    <w:tmpl w:val="CED0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EA79FB"/>
    <w:multiLevelType w:val="hybridMultilevel"/>
    <w:tmpl w:val="C61C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3369F9"/>
    <w:multiLevelType w:val="hybridMultilevel"/>
    <w:tmpl w:val="A8A8B428"/>
    <w:lvl w:ilvl="0" w:tplc="F1F6080A">
      <w:start w:val="1"/>
      <w:numFmt w:val="bullet"/>
      <w:lvlText w:val="•"/>
      <w:lvlJc w:val="left"/>
      <w:pPr>
        <w:tabs>
          <w:tab w:val="num" w:pos="720"/>
        </w:tabs>
        <w:ind w:left="720" w:hanging="360"/>
      </w:pPr>
      <w:rPr>
        <w:rFonts w:ascii="Times New Roman" w:hAnsi="Times New Roman" w:hint="default"/>
      </w:rPr>
    </w:lvl>
    <w:lvl w:ilvl="1" w:tplc="EAA2044A">
      <w:start w:val="955"/>
      <w:numFmt w:val="bullet"/>
      <w:lvlText w:val="–"/>
      <w:lvlJc w:val="left"/>
      <w:pPr>
        <w:tabs>
          <w:tab w:val="num" w:pos="1440"/>
        </w:tabs>
        <w:ind w:left="1440" w:hanging="360"/>
      </w:pPr>
      <w:rPr>
        <w:rFonts w:ascii="Times New Roman" w:hAnsi="Times New Roman" w:hint="default"/>
      </w:rPr>
    </w:lvl>
    <w:lvl w:ilvl="2" w:tplc="CBD64E5C" w:tentative="1">
      <w:start w:val="1"/>
      <w:numFmt w:val="bullet"/>
      <w:lvlText w:val="•"/>
      <w:lvlJc w:val="left"/>
      <w:pPr>
        <w:tabs>
          <w:tab w:val="num" w:pos="2160"/>
        </w:tabs>
        <w:ind w:left="2160" w:hanging="360"/>
      </w:pPr>
      <w:rPr>
        <w:rFonts w:ascii="Times New Roman" w:hAnsi="Times New Roman" w:hint="default"/>
      </w:rPr>
    </w:lvl>
    <w:lvl w:ilvl="3" w:tplc="834A0D30" w:tentative="1">
      <w:start w:val="1"/>
      <w:numFmt w:val="bullet"/>
      <w:lvlText w:val="•"/>
      <w:lvlJc w:val="left"/>
      <w:pPr>
        <w:tabs>
          <w:tab w:val="num" w:pos="2880"/>
        </w:tabs>
        <w:ind w:left="2880" w:hanging="360"/>
      </w:pPr>
      <w:rPr>
        <w:rFonts w:ascii="Times New Roman" w:hAnsi="Times New Roman" w:hint="default"/>
      </w:rPr>
    </w:lvl>
    <w:lvl w:ilvl="4" w:tplc="2E609430" w:tentative="1">
      <w:start w:val="1"/>
      <w:numFmt w:val="bullet"/>
      <w:lvlText w:val="•"/>
      <w:lvlJc w:val="left"/>
      <w:pPr>
        <w:tabs>
          <w:tab w:val="num" w:pos="3600"/>
        </w:tabs>
        <w:ind w:left="3600" w:hanging="360"/>
      </w:pPr>
      <w:rPr>
        <w:rFonts w:ascii="Times New Roman" w:hAnsi="Times New Roman" w:hint="default"/>
      </w:rPr>
    </w:lvl>
    <w:lvl w:ilvl="5" w:tplc="9A40FB2C" w:tentative="1">
      <w:start w:val="1"/>
      <w:numFmt w:val="bullet"/>
      <w:lvlText w:val="•"/>
      <w:lvlJc w:val="left"/>
      <w:pPr>
        <w:tabs>
          <w:tab w:val="num" w:pos="4320"/>
        </w:tabs>
        <w:ind w:left="4320" w:hanging="360"/>
      </w:pPr>
      <w:rPr>
        <w:rFonts w:ascii="Times New Roman" w:hAnsi="Times New Roman" w:hint="default"/>
      </w:rPr>
    </w:lvl>
    <w:lvl w:ilvl="6" w:tplc="4E98933A" w:tentative="1">
      <w:start w:val="1"/>
      <w:numFmt w:val="bullet"/>
      <w:lvlText w:val="•"/>
      <w:lvlJc w:val="left"/>
      <w:pPr>
        <w:tabs>
          <w:tab w:val="num" w:pos="5040"/>
        </w:tabs>
        <w:ind w:left="5040" w:hanging="360"/>
      </w:pPr>
      <w:rPr>
        <w:rFonts w:ascii="Times New Roman" w:hAnsi="Times New Roman" w:hint="default"/>
      </w:rPr>
    </w:lvl>
    <w:lvl w:ilvl="7" w:tplc="C09A4EDC" w:tentative="1">
      <w:start w:val="1"/>
      <w:numFmt w:val="bullet"/>
      <w:lvlText w:val="•"/>
      <w:lvlJc w:val="left"/>
      <w:pPr>
        <w:tabs>
          <w:tab w:val="num" w:pos="5760"/>
        </w:tabs>
        <w:ind w:left="5760" w:hanging="360"/>
      </w:pPr>
      <w:rPr>
        <w:rFonts w:ascii="Times New Roman" w:hAnsi="Times New Roman" w:hint="default"/>
      </w:rPr>
    </w:lvl>
    <w:lvl w:ilvl="8" w:tplc="AD2C1038" w:tentative="1">
      <w:start w:val="1"/>
      <w:numFmt w:val="bullet"/>
      <w:lvlText w:val="•"/>
      <w:lvlJc w:val="left"/>
      <w:pPr>
        <w:tabs>
          <w:tab w:val="num" w:pos="6480"/>
        </w:tabs>
        <w:ind w:left="6480" w:hanging="360"/>
      </w:pPr>
      <w:rPr>
        <w:rFonts w:ascii="Times New Roman" w:hAnsi="Times New Roman" w:hint="default"/>
      </w:rPr>
    </w:lvl>
  </w:abstractNum>
  <w:abstractNum w:abstractNumId="59">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9B6957"/>
    <w:multiLevelType w:val="hybridMultilevel"/>
    <w:tmpl w:val="0894835C"/>
    <w:lvl w:ilvl="0" w:tplc="D6D8C7E4">
      <w:start w:val="1"/>
      <w:numFmt w:val="bullet"/>
      <w:pStyle w:val="Bullet-Open"/>
      <w:lvlText w:val="○"/>
      <w:lvlJc w:val="left"/>
      <w:pPr>
        <w:ind w:left="4320" w:hanging="360"/>
      </w:pPr>
      <w:rPr>
        <w:rFonts w:ascii="Courier New" w:hAnsi="Courier New"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1">
    <w:nsid w:val="7F5C3A69"/>
    <w:multiLevelType w:val="hybridMultilevel"/>
    <w:tmpl w:val="1A46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8"/>
  </w:num>
  <w:num w:numId="3">
    <w:abstractNumId w:val="50"/>
  </w:num>
  <w:num w:numId="4">
    <w:abstractNumId w:val="44"/>
  </w:num>
  <w:num w:numId="5">
    <w:abstractNumId w:val="34"/>
  </w:num>
  <w:num w:numId="6">
    <w:abstractNumId w:val="35"/>
  </w:num>
  <w:num w:numId="7">
    <w:abstractNumId w:val="11"/>
  </w:num>
  <w:num w:numId="8">
    <w:abstractNumId w:val="17"/>
  </w:num>
  <w:num w:numId="9">
    <w:abstractNumId w:val="16"/>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9"/>
  </w:num>
  <w:num w:numId="21">
    <w:abstractNumId w:val="41"/>
  </w:num>
  <w:num w:numId="22">
    <w:abstractNumId w:val="60"/>
  </w:num>
  <w:num w:numId="23">
    <w:abstractNumId w:val="10"/>
  </w:num>
  <w:num w:numId="24">
    <w:abstractNumId w:val="15"/>
  </w:num>
  <w:num w:numId="25">
    <w:abstractNumId w:val="54"/>
  </w:num>
  <w:num w:numId="26">
    <w:abstractNumId w:val="52"/>
  </w:num>
  <w:num w:numId="27">
    <w:abstractNumId w:val="27"/>
  </w:num>
  <w:num w:numId="28">
    <w:abstractNumId w:val="12"/>
  </w:num>
  <w:num w:numId="29">
    <w:abstractNumId w:val="40"/>
  </w:num>
  <w:num w:numId="30">
    <w:abstractNumId w:val="14"/>
  </w:num>
  <w:num w:numId="31">
    <w:abstractNumId w:val="43"/>
  </w:num>
  <w:num w:numId="32">
    <w:abstractNumId w:val="57"/>
  </w:num>
  <w:num w:numId="33">
    <w:abstractNumId w:val="36"/>
  </w:num>
  <w:num w:numId="34">
    <w:abstractNumId w:val="30"/>
  </w:num>
  <w:num w:numId="35">
    <w:abstractNumId w:val="37"/>
  </w:num>
  <w:num w:numId="36">
    <w:abstractNumId w:val="24"/>
  </w:num>
  <w:num w:numId="37">
    <w:abstractNumId w:val="33"/>
  </w:num>
  <w:num w:numId="38">
    <w:abstractNumId w:val="19"/>
  </w:num>
  <w:num w:numId="39">
    <w:abstractNumId w:val="48"/>
  </w:num>
  <w:num w:numId="40">
    <w:abstractNumId w:val="20"/>
  </w:num>
  <w:num w:numId="41">
    <w:abstractNumId w:val="53"/>
  </w:num>
  <w:num w:numId="42">
    <w:abstractNumId w:val="18"/>
  </w:num>
  <w:num w:numId="43">
    <w:abstractNumId w:val="26"/>
  </w:num>
  <w:num w:numId="44">
    <w:abstractNumId w:val="46"/>
  </w:num>
  <w:num w:numId="45">
    <w:abstractNumId w:val="59"/>
  </w:num>
  <w:num w:numId="46">
    <w:abstractNumId w:val="56"/>
  </w:num>
  <w:num w:numId="47">
    <w:abstractNumId w:val="32"/>
  </w:num>
  <w:num w:numId="48">
    <w:abstractNumId w:val="13"/>
  </w:num>
  <w:num w:numId="49">
    <w:abstractNumId w:val="61"/>
  </w:num>
  <w:num w:numId="50">
    <w:abstractNumId w:val="49"/>
  </w:num>
  <w:num w:numId="51">
    <w:abstractNumId w:val="51"/>
  </w:num>
  <w:num w:numId="52">
    <w:abstractNumId w:val="9"/>
  </w:num>
  <w:num w:numId="53">
    <w:abstractNumId w:val="42"/>
  </w:num>
  <w:num w:numId="54">
    <w:abstractNumId w:val="31"/>
  </w:num>
  <w:num w:numId="55">
    <w:abstractNumId w:val="38"/>
  </w:num>
  <w:num w:numId="56">
    <w:abstractNumId w:val="55"/>
  </w:num>
  <w:num w:numId="57">
    <w:abstractNumId w:val="58"/>
  </w:num>
  <w:num w:numId="58">
    <w:abstractNumId w:val="25"/>
  </w:num>
  <w:num w:numId="59">
    <w:abstractNumId w:val="23"/>
  </w:num>
  <w:num w:numId="60">
    <w:abstractNumId w:val="47"/>
  </w:num>
  <w:num w:numId="61">
    <w:abstractNumId w:val="21"/>
  </w:num>
  <w:num w:numId="62">
    <w:abstractNumId w:val="39"/>
  </w:num>
  <w:num w:numId="63">
    <w:abstractNumId w:val="29"/>
  </w:num>
  <w:num w:numId="64">
    <w:abstractNumId w:val="2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stylePaneFormatFilter w:val="1024"/>
  <w:doNotTrackMoves/>
  <w:defaultTabStop w:val="720"/>
  <w:drawingGridHorizontalSpacing w:val="110"/>
  <w:displayHorizontalDrawingGridEvery w:val="2"/>
  <w:characterSpacingControl w:val="doNotCompress"/>
  <w:hdrShapeDefaults>
    <o:shapedefaults v:ext="edit" spidmax="84994"/>
  </w:hdrShapeDefaults>
  <w:footnotePr>
    <w:footnote w:id="-1"/>
    <w:footnote w:id="0"/>
    <w:footnote w:id="1"/>
  </w:footnotePr>
  <w:endnotePr>
    <w:endnote w:id="-1"/>
    <w:endnote w:id="0"/>
  </w:endnotePr>
  <w:compat>
    <w:useNormalStyleForList/>
  </w:compat>
  <w:rsids>
    <w:rsidRoot w:val="00935659"/>
    <w:rsid w:val="000001D7"/>
    <w:rsid w:val="000006EA"/>
    <w:rsid w:val="00001138"/>
    <w:rsid w:val="00001148"/>
    <w:rsid w:val="00001207"/>
    <w:rsid w:val="00001224"/>
    <w:rsid w:val="00001276"/>
    <w:rsid w:val="00001335"/>
    <w:rsid w:val="0000161B"/>
    <w:rsid w:val="00001F29"/>
    <w:rsid w:val="00002244"/>
    <w:rsid w:val="000023D1"/>
    <w:rsid w:val="00002C68"/>
    <w:rsid w:val="00002DDC"/>
    <w:rsid w:val="000037B0"/>
    <w:rsid w:val="0000383C"/>
    <w:rsid w:val="0000399B"/>
    <w:rsid w:val="00003E7F"/>
    <w:rsid w:val="00004107"/>
    <w:rsid w:val="00004D7A"/>
    <w:rsid w:val="00004DBF"/>
    <w:rsid w:val="00004E83"/>
    <w:rsid w:val="000054D3"/>
    <w:rsid w:val="0000603E"/>
    <w:rsid w:val="0000615A"/>
    <w:rsid w:val="00006481"/>
    <w:rsid w:val="000066A8"/>
    <w:rsid w:val="00006831"/>
    <w:rsid w:val="00006B39"/>
    <w:rsid w:val="00006F01"/>
    <w:rsid w:val="00006F93"/>
    <w:rsid w:val="00007376"/>
    <w:rsid w:val="000073EE"/>
    <w:rsid w:val="00007728"/>
    <w:rsid w:val="000100CB"/>
    <w:rsid w:val="00010247"/>
    <w:rsid w:val="000102C2"/>
    <w:rsid w:val="000103E5"/>
    <w:rsid w:val="00010491"/>
    <w:rsid w:val="00010C92"/>
    <w:rsid w:val="000110E5"/>
    <w:rsid w:val="000117AA"/>
    <w:rsid w:val="000118AB"/>
    <w:rsid w:val="000119AB"/>
    <w:rsid w:val="00011AB0"/>
    <w:rsid w:val="00011DA9"/>
    <w:rsid w:val="00012064"/>
    <w:rsid w:val="00012568"/>
    <w:rsid w:val="0001370A"/>
    <w:rsid w:val="000143CD"/>
    <w:rsid w:val="00014872"/>
    <w:rsid w:val="00014897"/>
    <w:rsid w:val="00014B19"/>
    <w:rsid w:val="00015051"/>
    <w:rsid w:val="0001523E"/>
    <w:rsid w:val="00015282"/>
    <w:rsid w:val="00015689"/>
    <w:rsid w:val="00015778"/>
    <w:rsid w:val="000159E4"/>
    <w:rsid w:val="00015CB2"/>
    <w:rsid w:val="00016290"/>
    <w:rsid w:val="0001667E"/>
    <w:rsid w:val="00016EBE"/>
    <w:rsid w:val="000172C8"/>
    <w:rsid w:val="0001749C"/>
    <w:rsid w:val="00017934"/>
    <w:rsid w:val="00017943"/>
    <w:rsid w:val="00020089"/>
    <w:rsid w:val="00020BBB"/>
    <w:rsid w:val="00020C9E"/>
    <w:rsid w:val="000212FA"/>
    <w:rsid w:val="000215B1"/>
    <w:rsid w:val="00022504"/>
    <w:rsid w:val="000227C4"/>
    <w:rsid w:val="00022890"/>
    <w:rsid w:val="00022DBF"/>
    <w:rsid w:val="00022E79"/>
    <w:rsid w:val="00023D38"/>
    <w:rsid w:val="00023E13"/>
    <w:rsid w:val="000243A0"/>
    <w:rsid w:val="000243C1"/>
    <w:rsid w:val="00024A1B"/>
    <w:rsid w:val="00025A7C"/>
    <w:rsid w:val="00025FCC"/>
    <w:rsid w:val="000260D0"/>
    <w:rsid w:val="0002657F"/>
    <w:rsid w:val="000265CC"/>
    <w:rsid w:val="0002665C"/>
    <w:rsid w:val="00026B15"/>
    <w:rsid w:val="00026D55"/>
    <w:rsid w:val="000271B9"/>
    <w:rsid w:val="0002729E"/>
    <w:rsid w:val="000272CF"/>
    <w:rsid w:val="00027341"/>
    <w:rsid w:val="00027381"/>
    <w:rsid w:val="00030000"/>
    <w:rsid w:val="000302C3"/>
    <w:rsid w:val="000304D9"/>
    <w:rsid w:val="00030686"/>
    <w:rsid w:val="00030754"/>
    <w:rsid w:val="0003102C"/>
    <w:rsid w:val="0003155D"/>
    <w:rsid w:val="000316C3"/>
    <w:rsid w:val="000319E9"/>
    <w:rsid w:val="00031B7A"/>
    <w:rsid w:val="000320E4"/>
    <w:rsid w:val="000326DA"/>
    <w:rsid w:val="00032B2F"/>
    <w:rsid w:val="000330B5"/>
    <w:rsid w:val="000330CE"/>
    <w:rsid w:val="00033376"/>
    <w:rsid w:val="0003361F"/>
    <w:rsid w:val="00033B30"/>
    <w:rsid w:val="00034785"/>
    <w:rsid w:val="000349D0"/>
    <w:rsid w:val="00034E73"/>
    <w:rsid w:val="00035145"/>
    <w:rsid w:val="00035510"/>
    <w:rsid w:val="0003564D"/>
    <w:rsid w:val="0003577C"/>
    <w:rsid w:val="00035C0A"/>
    <w:rsid w:val="00035DA1"/>
    <w:rsid w:val="000360A3"/>
    <w:rsid w:val="0003681D"/>
    <w:rsid w:val="00036EF9"/>
    <w:rsid w:val="000371A6"/>
    <w:rsid w:val="0003761B"/>
    <w:rsid w:val="00040863"/>
    <w:rsid w:val="00040B81"/>
    <w:rsid w:val="00041156"/>
    <w:rsid w:val="00041A3F"/>
    <w:rsid w:val="000425D7"/>
    <w:rsid w:val="0004272E"/>
    <w:rsid w:val="00042C54"/>
    <w:rsid w:val="000435B6"/>
    <w:rsid w:val="00043BF5"/>
    <w:rsid w:val="00043C34"/>
    <w:rsid w:val="00043F19"/>
    <w:rsid w:val="00044124"/>
    <w:rsid w:val="00044757"/>
    <w:rsid w:val="000448F5"/>
    <w:rsid w:val="00044D22"/>
    <w:rsid w:val="00044D7F"/>
    <w:rsid w:val="00044F07"/>
    <w:rsid w:val="00044FFC"/>
    <w:rsid w:val="000451B5"/>
    <w:rsid w:val="0004592A"/>
    <w:rsid w:val="00045C21"/>
    <w:rsid w:val="000460BE"/>
    <w:rsid w:val="00046298"/>
    <w:rsid w:val="00046D0E"/>
    <w:rsid w:val="00047023"/>
    <w:rsid w:val="00047085"/>
    <w:rsid w:val="00047149"/>
    <w:rsid w:val="00047353"/>
    <w:rsid w:val="0004739D"/>
    <w:rsid w:val="0004763D"/>
    <w:rsid w:val="000477E9"/>
    <w:rsid w:val="00047AC0"/>
    <w:rsid w:val="00047CF5"/>
    <w:rsid w:val="00047ED0"/>
    <w:rsid w:val="00047F14"/>
    <w:rsid w:val="00047F2F"/>
    <w:rsid w:val="00047F70"/>
    <w:rsid w:val="00047FD8"/>
    <w:rsid w:val="000500D3"/>
    <w:rsid w:val="00050430"/>
    <w:rsid w:val="00050575"/>
    <w:rsid w:val="0005109F"/>
    <w:rsid w:val="00051910"/>
    <w:rsid w:val="00051E75"/>
    <w:rsid w:val="00051EB5"/>
    <w:rsid w:val="000523BD"/>
    <w:rsid w:val="0005260E"/>
    <w:rsid w:val="00052809"/>
    <w:rsid w:val="0005295F"/>
    <w:rsid w:val="00053629"/>
    <w:rsid w:val="00053695"/>
    <w:rsid w:val="000544BD"/>
    <w:rsid w:val="00054793"/>
    <w:rsid w:val="00054A68"/>
    <w:rsid w:val="00054BDC"/>
    <w:rsid w:val="00054F76"/>
    <w:rsid w:val="0005543E"/>
    <w:rsid w:val="00055DB2"/>
    <w:rsid w:val="0005635A"/>
    <w:rsid w:val="000565BB"/>
    <w:rsid w:val="00056648"/>
    <w:rsid w:val="000567B9"/>
    <w:rsid w:val="000567FC"/>
    <w:rsid w:val="0005688B"/>
    <w:rsid w:val="000569B2"/>
    <w:rsid w:val="00056A2A"/>
    <w:rsid w:val="00056A84"/>
    <w:rsid w:val="00056C3D"/>
    <w:rsid w:val="0005727F"/>
    <w:rsid w:val="0005748B"/>
    <w:rsid w:val="000577AD"/>
    <w:rsid w:val="0006065C"/>
    <w:rsid w:val="000606D9"/>
    <w:rsid w:val="000606F4"/>
    <w:rsid w:val="00060A7A"/>
    <w:rsid w:val="00061340"/>
    <w:rsid w:val="00061652"/>
    <w:rsid w:val="00061662"/>
    <w:rsid w:val="00061B3D"/>
    <w:rsid w:val="00061B41"/>
    <w:rsid w:val="00061FFF"/>
    <w:rsid w:val="000625A5"/>
    <w:rsid w:val="000628F3"/>
    <w:rsid w:val="00062BD1"/>
    <w:rsid w:val="00062EAF"/>
    <w:rsid w:val="0006317B"/>
    <w:rsid w:val="00063594"/>
    <w:rsid w:val="00063AB2"/>
    <w:rsid w:val="000642FB"/>
    <w:rsid w:val="00064586"/>
    <w:rsid w:val="000650F1"/>
    <w:rsid w:val="0006519D"/>
    <w:rsid w:val="000651A2"/>
    <w:rsid w:val="0006524A"/>
    <w:rsid w:val="0006569B"/>
    <w:rsid w:val="00065955"/>
    <w:rsid w:val="00065DED"/>
    <w:rsid w:val="00065E23"/>
    <w:rsid w:val="000660E5"/>
    <w:rsid w:val="00066476"/>
    <w:rsid w:val="00066B4C"/>
    <w:rsid w:val="00066C6A"/>
    <w:rsid w:val="00066C91"/>
    <w:rsid w:val="00066D57"/>
    <w:rsid w:val="00067289"/>
    <w:rsid w:val="00067A10"/>
    <w:rsid w:val="00067D66"/>
    <w:rsid w:val="0007045F"/>
    <w:rsid w:val="00070661"/>
    <w:rsid w:val="00070E50"/>
    <w:rsid w:val="000710EF"/>
    <w:rsid w:val="000711C6"/>
    <w:rsid w:val="000721BA"/>
    <w:rsid w:val="00072B6A"/>
    <w:rsid w:val="00072F57"/>
    <w:rsid w:val="00073277"/>
    <w:rsid w:val="0007327C"/>
    <w:rsid w:val="00073812"/>
    <w:rsid w:val="000740CD"/>
    <w:rsid w:val="0007483F"/>
    <w:rsid w:val="000753D6"/>
    <w:rsid w:val="00075498"/>
    <w:rsid w:val="00075797"/>
    <w:rsid w:val="00075897"/>
    <w:rsid w:val="00075CC2"/>
    <w:rsid w:val="00076687"/>
    <w:rsid w:val="00076ADE"/>
    <w:rsid w:val="00076DE6"/>
    <w:rsid w:val="00077177"/>
    <w:rsid w:val="0007730F"/>
    <w:rsid w:val="00077808"/>
    <w:rsid w:val="000778A9"/>
    <w:rsid w:val="000779A5"/>
    <w:rsid w:val="0008067F"/>
    <w:rsid w:val="0008076C"/>
    <w:rsid w:val="00080B14"/>
    <w:rsid w:val="0008106C"/>
    <w:rsid w:val="000813B1"/>
    <w:rsid w:val="000813C3"/>
    <w:rsid w:val="00081645"/>
    <w:rsid w:val="0008191F"/>
    <w:rsid w:val="000820F1"/>
    <w:rsid w:val="000825F7"/>
    <w:rsid w:val="000827EE"/>
    <w:rsid w:val="00082858"/>
    <w:rsid w:val="000828C3"/>
    <w:rsid w:val="00082E36"/>
    <w:rsid w:val="000830D0"/>
    <w:rsid w:val="000832C7"/>
    <w:rsid w:val="00083729"/>
    <w:rsid w:val="00084F2F"/>
    <w:rsid w:val="0008547B"/>
    <w:rsid w:val="000854D2"/>
    <w:rsid w:val="000857EC"/>
    <w:rsid w:val="00085E1D"/>
    <w:rsid w:val="00086054"/>
    <w:rsid w:val="000862E2"/>
    <w:rsid w:val="000865D4"/>
    <w:rsid w:val="000868C5"/>
    <w:rsid w:val="000870B5"/>
    <w:rsid w:val="0008723D"/>
    <w:rsid w:val="00087772"/>
    <w:rsid w:val="00087797"/>
    <w:rsid w:val="00087AC9"/>
    <w:rsid w:val="00087D59"/>
    <w:rsid w:val="00087F34"/>
    <w:rsid w:val="00090095"/>
    <w:rsid w:val="000902CF"/>
    <w:rsid w:val="000902FB"/>
    <w:rsid w:val="00090648"/>
    <w:rsid w:val="000907E0"/>
    <w:rsid w:val="00090D4B"/>
    <w:rsid w:val="00090DAC"/>
    <w:rsid w:val="00091FB0"/>
    <w:rsid w:val="00092DC3"/>
    <w:rsid w:val="00093372"/>
    <w:rsid w:val="0009343C"/>
    <w:rsid w:val="0009364C"/>
    <w:rsid w:val="00093847"/>
    <w:rsid w:val="0009391B"/>
    <w:rsid w:val="00093B25"/>
    <w:rsid w:val="000945EB"/>
    <w:rsid w:val="00094FB9"/>
    <w:rsid w:val="000950F0"/>
    <w:rsid w:val="0009552E"/>
    <w:rsid w:val="0009589A"/>
    <w:rsid w:val="00095EA0"/>
    <w:rsid w:val="00095F08"/>
    <w:rsid w:val="000965BC"/>
    <w:rsid w:val="00096B94"/>
    <w:rsid w:val="00096EC2"/>
    <w:rsid w:val="000971D6"/>
    <w:rsid w:val="00097560"/>
    <w:rsid w:val="00097C8A"/>
    <w:rsid w:val="000A0307"/>
    <w:rsid w:val="000A0467"/>
    <w:rsid w:val="000A0812"/>
    <w:rsid w:val="000A1695"/>
    <w:rsid w:val="000A1F2B"/>
    <w:rsid w:val="000A284D"/>
    <w:rsid w:val="000A316C"/>
    <w:rsid w:val="000A3F72"/>
    <w:rsid w:val="000A4701"/>
    <w:rsid w:val="000A4845"/>
    <w:rsid w:val="000A50C0"/>
    <w:rsid w:val="000A5312"/>
    <w:rsid w:val="000A56B4"/>
    <w:rsid w:val="000A5734"/>
    <w:rsid w:val="000A5A82"/>
    <w:rsid w:val="000A5A8D"/>
    <w:rsid w:val="000A627D"/>
    <w:rsid w:val="000A69B5"/>
    <w:rsid w:val="000A6CA6"/>
    <w:rsid w:val="000A7318"/>
    <w:rsid w:val="000A76E4"/>
    <w:rsid w:val="000A79DB"/>
    <w:rsid w:val="000A7EAA"/>
    <w:rsid w:val="000B0100"/>
    <w:rsid w:val="000B0630"/>
    <w:rsid w:val="000B0DD6"/>
    <w:rsid w:val="000B0F51"/>
    <w:rsid w:val="000B1691"/>
    <w:rsid w:val="000B192C"/>
    <w:rsid w:val="000B1C94"/>
    <w:rsid w:val="000B2517"/>
    <w:rsid w:val="000B28AA"/>
    <w:rsid w:val="000B2B18"/>
    <w:rsid w:val="000B2BE4"/>
    <w:rsid w:val="000B2C4E"/>
    <w:rsid w:val="000B2D74"/>
    <w:rsid w:val="000B2E50"/>
    <w:rsid w:val="000B2F58"/>
    <w:rsid w:val="000B3165"/>
    <w:rsid w:val="000B31BE"/>
    <w:rsid w:val="000B31FC"/>
    <w:rsid w:val="000B37FA"/>
    <w:rsid w:val="000B3BB1"/>
    <w:rsid w:val="000B40FA"/>
    <w:rsid w:val="000B4157"/>
    <w:rsid w:val="000B4175"/>
    <w:rsid w:val="000B46D2"/>
    <w:rsid w:val="000B4A64"/>
    <w:rsid w:val="000B4B91"/>
    <w:rsid w:val="000B4D13"/>
    <w:rsid w:val="000B4F7F"/>
    <w:rsid w:val="000B4F86"/>
    <w:rsid w:val="000B5187"/>
    <w:rsid w:val="000B51EC"/>
    <w:rsid w:val="000B52FD"/>
    <w:rsid w:val="000B531D"/>
    <w:rsid w:val="000B5EDB"/>
    <w:rsid w:val="000B5F81"/>
    <w:rsid w:val="000B6488"/>
    <w:rsid w:val="000B6EBD"/>
    <w:rsid w:val="000B6FF8"/>
    <w:rsid w:val="000B7404"/>
    <w:rsid w:val="000B76EB"/>
    <w:rsid w:val="000B7F97"/>
    <w:rsid w:val="000C0074"/>
    <w:rsid w:val="000C0535"/>
    <w:rsid w:val="000C09CC"/>
    <w:rsid w:val="000C0F18"/>
    <w:rsid w:val="000C116D"/>
    <w:rsid w:val="000C1F8A"/>
    <w:rsid w:val="000C2473"/>
    <w:rsid w:val="000C2D2F"/>
    <w:rsid w:val="000C3519"/>
    <w:rsid w:val="000C3EF1"/>
    <w:rsid w:val="000C4338"/>
    <w:rsid w:val="000C4663"/>
    <w:rsid w:val="000C4698"/>
    <w:rsid w:val="000C47E3"/>
    <w:rsid w:val="000C48A7"/>
    <w:rsid w:val="000C492D"/>
    <w:rsid w:val="000C5A1D"/>
    <w:rsid w:val="000C5CA9"/>
    <w:rsid w:val="000C5EE0"/>
    <w:rsid w:val="000C6059"/>
    <w:rsid w:val="000C6124"/>
    <w:rsid w:val="000C648A"/>
    <w:rsid w:val="000C6738"/>
    <w:rsid w:val="000C6843"/>
    <w:rsid w:val="000C6D45"/>
    <w:rsid w:val="000C704C"/>
    <w:rsid w:val="000C71F9"/>
    <w:rsid w:val="000C7859"/>
    <w:rsid w:val="000D02B8"/>
    <w:rsid w:val="000D0657"/>
    <w:rsid w:val="000D078D"/>
    <w:rsid w:val="000D08B1"/>
    <w:rsid w:val="000D0998"/>
    <w:rsid w:val="000D0E03"/>
    <w:rsid w:val="000D0E79"/>
    <w:rsid w:val="000D166E"/>
    <w:rsid w:val="000D1E4D"/>
    <w:rsid w:val="000D21CF"/>
    <w:rsid w:val="000D2607"/>
    <w:rsid w:val="000D29DF"/>
    <w:rsid w:val="000D2B70"/>
    <w:rsid w:val="000D2BCB"/>
    <w:rsid w:val="000D2C0D"/>
    <w:rsid w:val="000D2C5B"/>
    <w:rsid w:val="000D32CE"/>
    <w:rsid w:val="000D36BB"/>
    <w:rsid w:val="000D3D5D"/>
    <w:rsid w:val="000D4146"/>
    <w:rsid w:val="000D4899"/>
    <w:rsid w:val="000D4F95"/>
    <w:rsid w:val="000D5A65"/>
    <w:rsid w:val="000D60BC"/>
    <w:rsid w:val="000D623F"/>
    <w:rsid w:val="000D6552"/>
    <w:rsid w:val="000D683D"/>
    <w:rsid w:val="000D6912"/>
    <w:rsid w:val="000D6CDE"/>
    <w:rsid w:val="000E0783"/>
    <w:rsid w:val="000E0D95"/>
    <w:rsid w:val="000E0EAC"/>
    <w:rsid w:val="000E1263"/>
    <w:rsid w:val="000E1347"/>
    <w:rsid w:val="000E1652"/>
    <w:rsid w:val="000E1C0D"/>
    <w:rsid w:val="000E22B0"/>
    <w:rsid w:val="000E22EA"/>
    <w:rsid w:val="000E2485"/>
    <w:rsid w:val="000E26CC"/>
    <w:rsid w:val="000E3086"/>
    <w:rsid w:val="000E34BB"/>
    <w:rsid w:val="000E34CD"/>
    <w:rsid w:val="000E3537"/>
    <w:rsid w:val="000E3F0C"/>
    <w:rsid w:val="000E4B76"/>
    <w:rsid w:val="000E5C22"/>
    <w:rsid w:val="000E6389"/>
    <w:rsid w:val="000E663E"/>
    <w:rsid w:val="000E68DC"/>
    <w:rsid w:val="000E7B8F"/>
    <w:rsid w:val="000E7E29"/>
    <w:rsid w:val="000E7FDF"/>
    <w:rsid w:val="000F0832"/>
    <w:rsid w:val="000F093A"/>
    <w:rsid w:val="000F1016"/>
    <w:rsid w:val="000F14B3"/>
    <w:rsid w:val="000F1573"/>
    <w:rsid w:val="000F16B0"/>
    <w:rsid w:val="000F1766"/>
    <w:rsid w:val="000F1960"/>
    <w:rsid w:val="000F1CEC"/>
    <w:rsid w:val="000F1FD8"/>
    <w:rsid w:val="000F2A99"/>
    <w:rsid w:val="000F2AC4"/>
    <w:rsid w:val="000F2B0A"/>
    <w:rsid w:val="000F2E6E"/>
    <w:rsid w:val="000F2F2F"/>
    <w:rsid w:val="000F2F92"/>
    <w:rsid w:val="000F329B"/>
    <w:rsid w:val="000F3697"/>
    <w:rsid w:val="000F3705"/>
    <w:rsid w:val="000F3C41"/>
    <w:rsid w:val="000F3DA5"/>
    <w:rsid w:val="000F3FB0"/>
    <w:rsid w:val="000F444B"/>
    <w:rsid w:val="000F4A42"/>
    <w:rsid w:val="000F53F8"/>
    <w:rsid w:val="000F5510"/>
    <w:rsid w:val="000F553D"/>
    <w:rsid w:val="000F56CC"/>
    <w:rsid w:val="000F639D"/>
    <w:rsid w:val="000F6CA2"/>
    <w:rsid w:val="000F6E85"/>
    <w:rsid w:val="000F7158"/>
    <w:rsid w:val="000F7317"/>
    <w:rsid w:val="000F7FB9"/>
    <w:rsid w:val="0010044D"/>
    <w:rsid w:val="00100EE3"/>
    <w:rsid w:val="001010C4"/>
    <w:rsid w:val="00101EED"/>
    <w:rsid w:val="00102016"/>
    <w:rsid w:val="0010219C"/>
    <w:rsid w:val="00102777"/>
    <w:rsid w:val="001033CC"/>
    <w:rsid w:val="00103431"/>
    <w:rsid w:val="001035C0"/>
    <w:rsid w:val="0010393D"/>
    <w:rsid w:val="00103A26"/>
    <w:rsid w:val="00103A6F"/>
    <w:rsid w:val="00103AAA"/>
    <w:rsid w:val="001041B8"/>
    <w:rsid w:val="0010443D"/>
    <w:rsid w:val="001047BC"/>
    <w:rsid w:val="001047C9"/>
    <w:rsid w:val="00104802"/>
    <w:rsid w:val="00105197"/>
    <w:rsid w:val="0010525C"/>
    <w:rsid w:val="00105374"/>
    <w:rsid w:val="00105567"/>
    <w:rsid w:val="001055CA"/>
    <w:rsid w:val="0010594B"/>
    <w:rsid w:val="00106088"/>
    <w:rsid w:val="001060F3"/>
    <w:rsid w:val="001061B4"/>
    <w:rsid w:val="00106391"/>
    <w:rsid w:val="001069C7"/>
    <w:rsid w:val="00106E27"/>
    <w:rsid w:val="001070A1"/>
    <w:rsid w:val="001076D6"/>
    <w:rsid w:val="00107726"/>
    <w:rsid w:val="00107F1F"/>
    <w:rsid w:val="0011006E"/>
    <w:rsid w:val="001104DD"/>
    <w:rsid w:val="00110A24"/>
    <w:rsid w:val="00111315"/>
    <w:rsid w:val="00111355"/>
    <w:rsid w:val="00111B26"/>
    <w:rsid w:val="00111B69"/>
    <w:rsid w:val="00111C6A"/>
    <w:rsid w:val="001120B7"/>
    <w:rsid w:val="0011226E"/>
    <w:rsid w:val="001122FB"/>
    <w:rsid w:val="001125AD"/>
    <w:rsid w:val="001129BA"/>
    <w:rsid w:val="00112F1F"/>
    <w:rsid w:val="001133CF"/>
    <w:rsid w:val="00113775"/>
    <w:rsid w:val="00113C11"/>
    <w:rsid w:val="00113DDB"/>
    <w:rsid w:val="00113DF9"/>
    <w:rsid w:val="001140C9"/>
    <w:rsid w:val="00114120"/>
    <w:rsid w:val="0011420E"/>
    <w:rsid w:val="00114326"/>
    <w:rsid w:val="00114487"/>
    <w:rsid w:val="00114762"/>
    <w:rsid w:val="00114ADF"/>
    <w:rsid w:val="00114DB6"/>
    <w:rsid w:val="00114F36"/>
    <w:rsid w:val="001154DA"/>
    <w:rsid w:val="001158D4"/>
    <w:rsid w:val="00116013"/>
    <w:rsid w:val="0011639F"/>
    <w:rsid w:val="001165C0"/>
    <w:rsid w:val="0011672E"/>
    <w:rsid w:val="001168C8"/>
    <w:rsid w:val="0011729D"/>
    <w:rsid w:val="001175D0"/>
    <w:rsid w:val="001204BE"/>
    <w:rsid w:val="001204DD"/>
    <w:rsid w:val="00120C7E"/>
    <w:rsid w:val="00120F38"/>
    <w:rsid w:val="00121106"/>
    <w:rsid w:val="001211E9"/>
    <w:rsid w:val="0012149B"/>
    <w:rsid w:val="0012183D"/>
    <w:rsid w:val="00121BBF"/>
    <w:rsid w:val="00121BFA"/>
    <w:rsid w:val="00121D8B"/>
    <w:rsid w:val="00121E63"/>
    <w:rsid w:val="001227B3"/>
    <w:rsid w:val="00122AAD"/>
    <w:rsid w:val="00122C41"/>
    <w:rsid w:val="00123755"/>
    <w:rsid w:val="00123773"/>
    <w:rsid w:val="00123B71"/>
    <w:rsid w:val="00124015"/>
    <w:rsid w:val="00124258"/>
    <w:rsid w:val="00124298"/>
    <w:rsid w:val="001242FA"/>
    <w:rsid w:val="001245BE"/>
    <w:rsid w:val="0012467D"/>
    <w:rsid w:val="00124ABE"/>
    <w:rsid w:val="00125C25"/>
    <w:rsid w:val="00125FA7"/>
    <w:rsid w:val="001260F8"/>
    <w:rsid w:val="001261E7"/>
    <w:rsid w:val="00126DB1"/>
    <w:rsid w:val="00126FB7"/>
    <w:rsid w:val="00127123"/>
    <w:rsid w:val="00127BF3"/>
    <w:rsid w:val="00127C5F"/>
    <w:rsid w:val="001302D2"/>
    <w:rsid w:val="001308F2"/>
    <w:rsid w:val="00130A2C"/>
    <w:rsid w:val="00130F01"/>
    <w:rsid w:val="00130F43"/>
    <w:rsid w:val="0013128C"/>
    <w:rsid w:val="001314F3"/>
    <w:rsid w:val="001317C0"/>
    <w:rsid w:val="00131CD3"/>
    <w:rsid w:val="00131D27"/>
    <w:rsid w:val="00132709"/>
    <w:rsid w:val="00132812"/>
    <w:rsid w:val="00132AEC"/>
    <w:rsid w:val="001330BA"/>
    <w:rsid w:val="00133772"/>
    <w:rsid w:val="001338D1"/>
    <w:rsid w:val="00133916"/>
    <w:rsid w:val="00133A76"/>
    <w:rsid w:val="00133F06"/>
    <w:rsid w:val="00133FF6"/>
    <w:rsid w:val="001347C5"/>
    <w:rsid w:val="00134A96"/>
    <w:rsid w:val="00134AD8"/>
    <w:rsid w:val="00134D1D"/>
    <w:rsid w:val="00134D74"/>
    <w:rsid w:val="0013507D"/>
    <w:rsid w:val="00135274"/>
    <w:rsid w:val="00135369"/>
    <w:rsid w:val="001353F4"/>
    <w:rsid w:val="00135710"/>
    <w:rsid w:val="001359FC"/>
    <w:rsid w:val="00135E72"/>
    <w:rsid w:val="00135F6C"/>
    <w:rsid w:val="0013626C"/>
    <w:rsid w:val="001366F8"/>
    <w:rsid w:val="00136742"/>
    <w:rsid w:val="001367AE"/>
    <w:rsid w:val="001368DF"/>
    <w:rsid w:val="00136A47"/>
    <w:rsid w:val="00137111"/>
    <w:rsid w:val="00137225"/>
    <w:rsid w:val="001374B9"/>
    <w:rsid w:val="001374F3"/>
    <w:rsid w:val="001375B9"/>
    <w:rsid w:val="00137783"/>
    <w:rsid w:val="00140088"/>
    <w:rsid w:val="0014008A"/>
    <w:rsid w:val="0014036D"/>
    <w:rsid w:val="001405F0"/>
    <w:rsid w:val="00140A02"/>
    <w:rsid w:val="00140DD3"/>
    <w:rsid w:val="0014172E"/>
    <w:rsid w:val="00141B0D"/>
    <w:rsid w:val="00141BCB"/>
    <w:rsid w:val="00141C8F"/>
    <w:rsid w:val="001424A7"/>
    <w:rsid w:val="00142581"/>
    <w:rsid w:val="001425BB"/>
    <w:rsid w:val="00143680"/>
    <w:rsid w:val="001439D4"/>
    <w:rsid w:val="00143BC6"/>
    <w:rsid w:val="00143C71"/>
    <w:rsid w:val="001441E0"/>
    <w:rsid w:val="00144519"/>
    <w:rsid w:val="00144927"/>
    <w:rsid w:val="001449A1"/>
    <w:rsid w:val="00144BD7"/>
    <w:rsid w:val="001450AA"/>
    <w:rsid w:val="001453EF"/>
    <w:rsid w:val="0014551C"/>
    <w:rsid w:val="001461E6"/>
    <w:rsid w:val="001463E7"/>
    <w:rsid w:val="001466B0"/>
    <w:rsid w:val="001467EF"/>
    <w:rsid w:val="00150184"/>
    <w:rsid w:val="001501E0"/>
    <w:rsid w:val="001507BD"/>
    <w:rsid w:val="00150C02"/>
    <w:rsid w:val="0015131B"/>
    <w:rsid w:val="001516C8"/>
    <w:rsid w:val="001516E9"/>
    <w:rsid w:val="00151715"/>
    <w:rsid w:val="00151D7B"/>
    <w:rsid w:val="00151E0D"/>
    <w:rsid w:val="0015207A"/>
    <w:rsid w:val="001522EB"/>
    <w:rsid w:val="00152754"/>
    <w:rsid w:val="00152908"/>
    <w:rsid w:val="00152B87"/>
    <w:rsid w:val="00153BC4"/>
    <w:rsid w:val="00153D98"/>
    <w:rsid w:val="00153DDC"/>
    <w:rsid w:val="001544D1"/>
    <w:rsid w:val="00154D00"/>
    <w:rsid w:val="00154DB3"/>
    <w:rsid w:val="0015538F"/>
    <w:rsid w:val="00155933"/>
    <w:rsid w:val="00155A42"/>
    <w:rsid w:val="00155DDE"/>
    <w:rsid w:val="00155E41"/>
    <w:rsid w:val="0015695E"/>
    <w:rsid w:val="00156B4C"/>
    <w:rsid w:val="00156D15"/>
    <w:rsid w:val="00156F06"/>
    <w:rsid w:val="00157B90"/>
    <w:rsid w:val="00157C6D"/>
    <w:rsid w:val="00157C9E"/>
    <w:rsid w:val="001602E2"/>
    <w:rsid w:val="001603AE"/>
    <w:rsid w:val="001606F4"/>
    <w:rsid w:val="00160840"/>
    <w:rsid w:val="00160C53"/>
    <w:rsid w:val="001614A6"/>
    <w:rsid w:val="00161616"/>
    <w:rsid w:val="00161726"/>
    <w:rsid w:val="00161E51"/>
    <w:rsid w:val="0016286C"/>
    <w:rsid w:val="001628DD"/>
    <w:rsid w:val="00162940"/>
    <w:rsid w:val="00162B13"/>
    <w:rsid w:val="0016312A"/>
    <w:rsid w:val="001635E7"/>
    <w:rsid w:val="00163E8D"/>
    <w:rsid w:val="001644B6"/>
    <w:rsid w:val="00164653"/>
    <w:rsid w:val="00164A74"/>
    <w:rsid w:val="00164B45"/>
    <w:rsid w:val="00164F88"/>
    <w:rsid w:val="00165057"/>
    <w:rsid w:val="001650C7"/>
    <w:rsid w:val="00165235"/>
    <w:rsid w:val="0016583B"/>
    <w:rsid w:val="00165B35"/>
    <w:rsid w:val="00165BA9"/>
    <w:rsid w:val="00165BAE"/>
    <w:rsid w:val="00165D7A"/>
    <w:rsid w:val="00165E76"/>
    <w:rsid w:val="00166518"/>
    <w:rsid w:val="00166886"/>
    <w:rsid w:val="00166CC5"/>
    <w:rsid w:val="001673E3"/>
    <w:rsid w:val="001673FA"/>
    <w:rsid w:val="001675FE"/>
    <w:rsid w:val="001676F8"/>
    <w:rsid w:val="00170912"/>
    <w:rsid w:val="00170A3C"/>
    <w:rsid w:val="00171A9D"/>
    <w:rsid w:val="001722CF"/>
    <w:rsid w:val="0017255D"/>
    <w:rsid w:val="00172829"/>
    <w:rsid w:val="001729D4"/>
    <w:rsid w:val="00172B45"/>
    <w:rsid w:val="00172EC6"/>
    <w:rsid w:val="00173108"/>
    <w:rsid w:val="0017386C"/>
    <w:rsid w:val="00173D68"/>
    <w:rsid w:val="00174078"/>
    <w:rsid w:val="0017565A"/>
    <w:rsid w:val="00175692"/>
    <w:rsid w:val="0017580B"/>
    <w:rsid w:val="00176087"/>
    <w:rsid w:val="0017637B"/>
    <w:rsid w:val="00176473"/>
    <w:rsid w:val="0017663C"/>
    <w:rsid w:val="00177726"/>
    <w:rsid w:val="001802EA"/>
    <w:rsid w:val="00180A6C"/>
    <w:rsid w:val="001816B6"/>
    <w:rsid w:val="00181EFE"/>
    <w:rsid w:val="00181F12"/>
    <w:rsid w:val="00182037"/>
    <w:rsid w:val="001820FD"/>
    <w:rsid w:val="001822D7"/>
    <w:rsid w:val="00182C19"/>
    <w:rsid w:val="00182E15"/>
    <w:rsid w:val="00183289"/>
    <w:rsid w:val="00183C5E"/>
    <w:rsid w:val="00183C6B"/>
    <w:rsid w:val="00183D34"/>
    <w:rsid w:val="00183D57"/>
    <w:rsid w:val="00183EEB"/>
    <w:rsid w:val="00183F4E"/>
    <w:rsid w:val="00184674"/>
    <w:rsid w:val="001848FC"/>
    <w:rsid w:val="00184C44"/>
    <w:rsid w:val="00185324"/>
    <w:rsid w:val="0018562E"/>
    <w:rsid w:val="00185BA0"/>
    <w:rsid w:val="00185C9C"/>
    <w:rsid w:val="0018616C"/>
    <w:rsid w:val="001864F0"/>
    <w:rsid w:val="001865D7"/>
    <w:rsid w:val="00186859"/>
    <w:rsid w:val="00187443"/>
    <w:rsid w:val="001876C0"/>
    <w:rsid w:val="00187DEB"/>
    <w:rsid w:val="00187E94"/>
    <w:rsid w:val="00190088"/>
    <w:rsid w:val="0019030A"/>
    <w:rsid w:val="00190A01"/>
    <w:rsid w:val="00190E28"/>
    <w:rsid w:val="00190EBB"/>
    <w:rsid w:val="00190FF1"/>
    <w:rsid w:val="00191B8E"/>
    <w:rsid w:val="00191C6F"/>
    <w:rsid w:val="00191F0F"/>
    <w:rsid w:val="00192071"/>
    <w:rsid w:val="001923A1"/>
    <w:rsid w:val="00192F37"/>
    <w:rsid w:val="00193562"/>
    <w:rsid w:val="00193847"/>
    <w:rsid w:val="001939C4"/>
    <w:rsid w:val="00193AC6"/>
    <w:rsid w:val="001946DC"/>
    <w:rsid w:val="0019497D"/>
    <w:rsid w:val="00194F11"/>
    <w:rsid w:val="0019542D"/>
    <w:rsid w:val="00195C04"/>
    <w:rsid w:val="00195F78"/>
    <w:rsid w:val="00196107"/>
    <w:rsid w:val="0019624C"/>
    <w:rsid w:val="001966DA"/>
    <w:rsid w:val="00196840"/>
    <w:rsid w:val="00196C29"/>
    <w:rsid w:val="00196C5E"/>
    <w:rsid w:val="00196ECD"/>
    <w:rsid w:val="001972E6"/>
    <w:rsid w:val="001977B1"/>
    <w:rsid w:val="001A0072"/>
    <w:rsid w:val="001A029B"/>
    <w:rsid w:val="001A0547"/>
    <w:rsid w:val="001A0C9C"/>
    <w:rsid w:val="001A11B0"/>
    <w:rsid w:val="001A14A2"/>
    <w:rsid w:val="001A1545"/>
    <w:rsid w:val="001A2332"/>
    <w:rsid w:val="001A233D"/>
    <w:rsid w:val="001A24FE"/>
    <w:rsid w:val="001A2DD1"/>
    <w:rsid w:val="001A30CE"/>
    <w:rsid w:val="001A315C"/>
    <w:rsid w:val="001A390E"/>
    <w:rsid w:val="001A3CD4"/>
    <w:rsid w:val="001A4267"/>
    <w:rsid w:val="001A4315"/>
    <w:rsid w:val="001A446F"/>
    <w:rsid w:val="001A45A1"/>
    <w:rsid w:val="001A45E2"/>
    <w:rsid w:val="001A488F"/>
    <w:rsid w:val="001A49AA"/>
    <w:rsid w:val="001A4B75"/>
    <w:rsid w:val="001A4B8E"/>
    <w:rsid w:val="001A4B90"/>
    <w:rsid w:val="001A4E17"/>
    <w:rsid w:val="001A54EF"/>
    <w:rsid w:val="001A576E"/>
    <w:rsid w:val="001A5846"/>
    <w:rsid w:val="001A5910"/>
    <w:rsid w:val="001A5DFD"/>
    <w:rsid w:val="001A5F46"/>
    <w:rsid w:val="001A69E9"/>
    <w:rsid w:val="001A6E2F"/>
    <w:rsid w:val="001A6FBA"/>
    <w:rsid w:val="001A72C2"/>
    <w:rsid w:val="001A7ABA"/>
    <w:rsid w:val="001A7DF4"/>
    <w:rsid w:val="001B010F"/>
    <w:rsid w:val="001B09C1"/>
    <w:rsid w:val="001B1D06"/>
    <w:rsid w:val="001B24B7"/>
    <w:rsid w:val="001B27DA"/>
    <w:rsid w:val="001B3090"/>
    <w:rsid w:val="001B3898"/>
    <w:rsid w:val="001B40BE"/>
    <w:rsid w:val="001B42AA"/>
    <w:rsid w:val="001B43CF"/>
    <w:rsid w:val="001B4A72"/>
    <w:rsid w:val="001B4E88"/>
    <w:rsid w:val="001B5A86"/>
    <w:rsid w:val="001B5EBE"/>
    <w:rsid w:val="001B5F06"/>
    <w:rsid w:val="001B5FC0"/>
    <w:rsid w:val="001B6C62"/>
    <w:rsid w:val="001B6DA4"/>
    <w:rsid w:val="001B76F7"/>
    <w:rsid w:val="001B79F0"/>
    <w:rsid w:val="001B7C4B"/>
    <w:rsid w:val="001B7E67"/>
    <w:rsid w:val="001C0952"/>
    <w:rsid w:val="001C1383"/>
    <w:rsid w:val="001C1577"/>
    <w:rsid w:val="001C184B"/>
    <w:rsid w:val="001C216A"/>
    <w:rsid w:val="001C26EC"/>
    <w:rsid w:val="001C2792"/>
    <w:rsid w:val="001C281B"/>
    <w:rsid w:val="001C3418"/>
    <w:rsid w:val="001C36C4"/>
    <w:rsid w:val="001C3A97"/>
    <w:rsid w:val="001C3E63"/>
    <w:rsid w:val="001C4259"/>
    <w:rsid w:val="001C4F85"/>
    <w:rsid w:val="001C563D"/>
    <w:rsid w:val="001C57D4"/>
    <w:rsid w:val="001C59DF"/>
    <w:rsid w:val="001C69FD"/>
    <w:rsid w:val="001C6AB7"/>
    <w:rsid w:val="001C7533"/>
    <w:rsid w:val="001C79D1"/>
    <w:rsid w:val="001C7A40"/>
    <w:rsid w:val="001D018F"/>
    <w:rsid w:val="001D084D"/>
    <w:rsid w:val="001D0A01"/>
    <w:rsid w:val="001D0B5C"/>
    <w:rsid w:val="001D13F1"/>
    <w:rsid w:val="001D1427"/>
    <w:rsid w:val="001D21E5"/>
    <w:rsid w:val="001D248F"/>
    <w:rsid w:val="001D3805"/>
    <w:rsid w:val="001D3F8F"/>
    <w:rsid w:val="001D3F9B"/>
    <w:rsid w:val="001D4182"/>
    <w:rsid w:val="001D43BB"/>
    <w:rsid w:val="001D4844"/>
    <w:rsid w:val="001D4C39"/>
    <w:rsid w:val="001D4EA5"/>
    <w:rsid w:val="001D4EF1"/>
    <w:rsid w:val="001D5942"/>
    <w:rsid w:val="001D5D86"/>
    <w:rsid w:val="001D6046"/>
    <w:rsid w:val="001D649A"/>
    <w:rsid w:val="001D6B0E"/>
    <w:rsid w:val="001D6E4B"/>
    <w:rsid w:val="001D6E94"/>
    <w:rsid w:val="001D6F6C"/>
    <w:rsid w:val="001D74ED"/>
    <w:rsid w:val="001D7780"/>
    <w:rsid w:val="001D7ABD"/>
    <w:rsid w:val="001E039D"/>
    <w:rsid w:val="001E041A"/>
    <w:rsid w:val="001E079E"/>
    <w:rsid w:val="001E0989"/>
    <w:rsid w:val="001E0CB4"/>
    <w:rsid w:val="001E0DB6"/>
    <w:rsid w:val="001E0F4E"/>
    <w:rsid w:val="001E1EDC"/>
    <w:rsid w:val="001E25B2"/>
    <w:rsid w:val="001E265D"/>
    <w:rsid w:val="001E2BD6"/>
    <w:rsid w:val="001E2C4A"/>
    <w:rsid w:val="001E2CD5"/>
    <w:rsid w:val="001E36AC"/>
    <w:rsid w:val="001E3809"/>
    <w:rsid w:val="001E394F"/>
    <w:rsid w:val="001E47B2"/>
    <w:rsid w:val="001E4E22"/>
    <w:rsid w:val="001E549B"/>
    <w:rsid w:val="001E5651"/>
    <w:rsid w:val="001E5711"/>
    <w:rsid w:val="001E5A06"/>
    <w:rsid w:val="001E5C1E"/>
    <w:rsid w:val="001E69AF"/>
    <w:rsid w:val="001E6CA5"/>
    <w:rsid w:val="001E70A7"/>
    <w:rsid w:val="001E711F"/>
    <w:rsid w:val="001E724C"/>
    <w:rsid w:val="001E7EF8"/>
    <w:rsid w:val="001F04F9"/>
    <w:rsid w:val="001F121F"/>
    <w:rsid w:val="001F12AE"/>
    <w:rsid w:val="001F148B"/>
    <w:rsid w:val="001F15FD"/>
    <w:rsid w:val="001F1F3A"/>
    <w:rsid w:val="001F1F9F"/>
    <w:rsid w:val="001F22AD"/>
    <w:rsid w:val="001F263C"/>
    <w:rsid w:val="001F28AA"/>
    <w:rsid w:val="001F2F51"/>
    <w:rsid w:val="001F34EB"/>
    <w:rsid w:val="001F3B56"/>
    <w:rsid w:val="001F3F4E"/>
    <w:rsid w:val="001F4029"/>
    <w:rsid w:val="001F4208"/>
    <w:rsid w:val="001F4267"/>
    <w:rsid w:val="001F4385"/>
    <w:rsid w:val="001F4C78"/>
    <w:rsid w:val="001F4FE4"/>
    <w:rsid w:val="001F55C4"/>
    <w:rsid w:val="001F5646"/>
    <w:rsid w:val="001F564A"/>
    <w:rsid w:val="001F5754"/>
    <w:rsid w:val="001F59B2"/>
    <w:rsid w:val="001F5B0E"/>
    <w:rsid w:val="001F5BD8"/>
    <w:rsid w:val="001F5E09"/>
    <w:rsid w:val="001F6093"/>
    <w:rsid w:val="001F685E"/>
    <w:rsid w:val="001F69C1"/>
    <w:rsid w:val="001F6B2C"/>
    <w:rsid w:val="001F6C65"/>
    <w:rsid w:val="001F6D14"/>
    <w:rsid w:val="001F6FAE"/>
    <w:rsid w:val="001F7CF1"/>
    <w:rsid w:val="0020030F"/>
    <w:rsid w:val="00200507"/>
    <w:rsid w:val="0020089B"/>
    <w:rsid w:val="00200BC2"/>
    <w:rsid w:val="00200D09"/>
    <w:rsid w:val="00200D6B"/>
    <w:rsid w:val="00200DCC"/>
    <w:rsid w:val="002013D5"/>
    <w:rsid w:val="0020150A"/>
    <w:rsid w:val="0020186D"/>
    <w:rsid w:val="00201DF3"/>
    <w:rsid w:val="002020CC"/>
    <w:rsid w:val="002028B0"/>
    <w:rsid w:val="00202BCA"/>
    <w:rsid w:val="00202E4F"/>
    <w:rsid w:val="0020347F"/>
    <w:rsid w:val="00203A48"/>
    <w:rsid w:val="00203F05"/>
    <w:rsid w:val="00203F78"/>
    <w:rsid w:val="002040F0"/>
    <w:rsid w:val="00204552"/>
    <w:rsid w:val="00204738"/>
    <w:rsid w:val="00205075"/>
    <w:rsid w:val="0020595F"/>
    <w:rsid w:val="00205ECD"/>
    <w:rsid w:val="00206386"/>
    <w:rsid w:val="002068C0"/>
    <w:rsid w:val="00206FDB"/>
    <w:rsid w:val="0020747D"/>
    <w:rsid w:val="00210AA6"/>
    <w:rsid w:val="00210AAF"/>
    <w:rsid w:val="00210D98"/>
    <w:rsid w:val="002110F5"/>
    <w:rsid w:val="00211A3E"/>
    <w:rsid w:val="00212A44"/>
    <w:rsid w:val="002139EC"/>
    <w:rsid w:val="00213C7C"/>
    <w:rsid w:val="00213EAF"/>
    <w:rsid w:val="00216868"/>
    <w:rsid w:val="0021688C"/>
    <w:rsid w:val="00216CEE"/>
    <w:rsid w:val="00216CF4"/>
    <w:rsid w:val="00216E51"/>
    <w:rsid w:val="00216EA8"/>
    <w:rsid w:val="00217334"/>
    <w:rsid w:val="002178FF"/>
    <w:rsid w:val="00221A16"/>
    <w:rsid w:val="00221B72"/>
    <w:rsid w:val="00221FDA"/>
    <w:rsid w:val="00222645"/>
    <w:rsid w:val="00222957"/>
    <w:rsid w:val="002229EC"/>
    <w:rsid w:val="00222A7D"/>
    <w:rsid w:val="00223624"/>
    <w:rsid w:val="00223725"/>
    <w:rsid w:val="0022394F"/>
    <w:rsid w:val="002239D5"/>
    <w:rsid w:val="00223D3F"/>
    <w:rsid w:val="0022423A"/>
    <w:rsid w:val="002243A0"/>
    <w:rsid w:val="0022480D"/>
    <w:rsid w:val="00224F68"/>
    <w:rsid w:val="00225247"/>
    <w:rsid w:val="002254F0"/>
    <w:rsid w:val="002258D1"/>
    <w:rsid w:val="00225DC9"/>
    <w:rsid w:val="00225E71"/>
    <w:rsid w:val="00225E87"/>
    <w:rsid w:val="002264B2"/>
    <w:rsid w:val="00226654"/>
    <w:rsid w:val="00226A36"/>
    <w:rsid w:val="00226AAD"/>
    <w:rsid w:val="00226CD5"/>
    <w:rsid w:val="00226EBA"/>
    <w:rsid w:val="0022771E"/>
    <w:rsid w:val="002278C4"/>
    <w:rsid w:val="00227D65"/>
    <w:rsid w:val="00227FDA"/>
    <w:rsid w:val="0023004B"/>
    <w:rsid w:val="002300E6"/>
    <w:rsid w:val="00230200"/>
    <w:rsid w:val="00230944"/>
    <w:rsid w:val="00230A2E"/>
    <w:rsid w:val="00230AAC"/>
    <w:rsid w:val="00230AB7"/>
    <w:rsid w:val="00230C9E"/>
    <w:rsid w:val="00231250"/>
    <w:rsid w:val="002315F3"/>
    <w:rsid w:val="00231654"/>
    <w:rsid w:val="00231F09"/>
    <w:rsid w:val="0023204F"/>
    <w:rsid w:val="0023205F"/>
    <w:rsid w:val="00232ACA"/>
    <w:rsid w:val="00232BB1"/>
    <w:rsid w:val="00232C47"/>
    <w:rsid w:val="00232CD7"/>
    <w:rsid w:val="0023313F"/>
    <w:rsid w:val="0023363D"/>
    <w:rsid w:val="00233CBA"/>
    <w:rsid w:val="00233DD0"/>
    <w:rsid w:val="00233F7E"/>
    <w:rsid w:val="00234996"/>
    <w:rsid w:val="00234C65"/>
    <w:rsid w:val="0023516A"/>
    <w:rsid w:val="002351F9"/>
    <w:rsid w:val="00235A4D"/>
    <w:rsid w:val="00235A65"/>
    <w:rsid w:val="00235BDD"/>
    <w:rsid w:val="00235EF6"/>
    <w:rsid w:val="002361DA"/>
    <w:rsid w:val="00236367"/>
    <w:rsid w:val="00236F71"/>
    <w:rsid w:val="00237263"/>
    <w:rsid w:val="002373B0"/>
    <w:rsid w:val="00237745"/>
    <w:rsid w:val="002405E7"/>
    <w:rsid w:val="00240B53"/>
    <w:rsid w:val="00240BD7"/>
    <w:rsid w:val="0024112D"/>
    <w:rsid w:val="00241486"/>
    <w:rsid w:val="00241566"/>
    <w:rsid w:val="00241900"/>
    <w:rsid w:val="00241C63"/>
    <w:rsid w:val="00242420"/>
    <w:rsid w:val="002425B3"/>
    <w:rsid w:val="002427AA"/>
    <w:rsid w:val="002428EF"/>
    <w:rsid w:val="002428FD"/>
    <w:rsid w:val="00242903"/>
    <w:rsid w:val="00242ED6"/>
    <w:rsid w:val="00243713"/>
    <w:rsid w:val="00243D58"/>
    <w:rsid w:val="00243DDB"/>
    <w:rsid w:val="00244101"/>
    <w:rsid w:val="0024430D"/>
    <w:rsid w:val="00244858"/>
    <w:rsid w:val="0024489C"/>
    <w:rsid w:val="00245103"/>
    <w:rsid w:val="0024534E"/>
    <w:rsid w:val="002457C4"/>
    <w:rsid w:val="002458E7"/>
    <w:rsid w:val="00245DC8"/>
    <w:rsid w:val="0024646D"/>
    <w:rsid w:val="00246B84"/>
    <w:rsid w:val="00246DD0"/>
    <w:rsid w:val="00246FA6"/>
    <w:rsid w:val="00247578"/>
    <w:rsid w:val="00247685"/>
    <w:rsid w:val="002476B9"/>
    <w:rsid w:val="0024774F"/>
    <w:rsid w:val="00247DFF"/>
    <w:rsid w:val="002504C4"/>
    <w:rsid w:val="00250669"/>
    <w:rsid w:val="00251105"/>
    <w:rsid w:val="0025119D"/>
    <w:rsid w:val="002518A5"/>
    <w:rsid w:val="00251CE5"/>
    <w:rsid w:val="00252186"/>
    <w:rsid w:val="002521BC"/>
    <w:rsid w:val="00252619"/>
    <w:rsid w:val="0025285A"/>
    <w:rsid w:val="00252E48"/>
    <w:rsid w:val="00253060"/>
    <w:rsid w:val="002530D4"/>
    <w:rsid w:val="002537FD"/>
    <w:rsid w:val="0025434B"/>
    <w:rsid w:val="0025456E"/>
    <w:rsid w:val="0025465F"/>
    <w:rsid w:val="00254819"/>
    <w:rsid w:val="002554DC"/>
    <w:rsid w:val="0025581C"/>
    <w:rsid w:val="00255D6A"/>
    <w:rsid w:val="002563F1"/>
    <w:rsid w:val="002564AC"/>
    <w:rsid w:val="00256956"/>
    <w:rsid w:val="00257128"/>
    <w:rsid w:val="002605D3"/>
    <w:rsid w:val="002607A1"/>
    <w:rsid w:val="00260B94"/>
    <w:rsid w:val="00260D6B"/>
    <w:rsid w:val="00260FF8"/>
    <w:rsid w:val="00261416"/>
    <w:rsid w:val="0026196A"/>
    <w:rsid w:val="002626CF"/>
    <w:rsid w:val="00262D17"/>
    <w:rsid w:val="00263793"/>
    <w:rsid w:val="002637ED"/>
    <w:rsid w:val="00263C1D"/>
    <w:rsid w:val="00263D6F"/>
    <w:rsid w:val="002640D8"/>
    <w:rsid w:val="00264B58"/>
    <w:rsid w:val="0026565E"/>
    <w:rsid w:val="00265A98"/>
    <w:rsid w:val="00265BD7"/>
    <w:rsid w:val="002661B8"/>
    <w:rsid w:val="00266335"/>
    <w:rsid w:val="00266393"/>
    <w:rsid w:val="002669AE"/>
    <w:rsid w:val="00266A9A"/>
    <w:rsid w:val="00266E6F"/>
    <w:rsid w:val="0026701F"/>
    <w:rsid w:val="0026768C"/>
    <w:rsid w:val="002676B4"/>
    <w:rsid w:val="00267826"/>
    <w:rsid w:val="00267945"/>
    <w:rsid w:val="00267A58"/>
    <w:rsid w:val="00267AF7"/>
    <w:rsid w:val="00267E13"/>
    <w:rsid w:val="00270571"/>
    <w:rsid w:val="00270C4E"/>
    <w:rsid w:val="0027193C"/>
    <w:rsid w:val="00271B49"/>
    <w:rsid w:val="002720E8"/>
    <w:rsid w:val="00272179"/>
    <w:rsid w:val="002722F2"/>
    <w:rsid w:val="00272956"/>
    <w:rsid w:val="0027358F"/>
    <w:rsid w:val="00273981"/>
    <w:rsid w:val="00274516"/>
    <w:rsid w:val="00274824"/>
    <w:rsid w:val="00274910"/>
    <w:rsid w:val="002749CA"/>
    <w:rsid w:val="00274F04"/>
    <w:rsid w:val="0027547F"/>
    <w:rsid w:val="0027583B"/>
    <w:rsid w:val="00275F72"/>
    <w:rsid w:val="0027659C"/>
    <w:rsid w:val="002765F3"/>
    <w:rsid w:val="00276998"/>
    <w:rsid w:val="00276BC0"/>
    <w:rsid w:val="0027700F"/>
    <w:rsid w:val="002771B0"/>
    <w:rsid w:val="00277853"/>
    <w:rsid w:val="00280126"/>
    <w:rsid w:val="00281660"/>
    <w:rsid w:val="00281ACB"/>
    <w:rsid w:val="00281EC9"/>
    <w:rsid w:val="0028208B"/>
    <w:rsid w:val="00282170"/>
    <w:rsid w:val="00283592"/>
    <w:rsid w:val="0028386B"/>
    <w:rsid w:val="00283871"/>
    <w:rsid w:val="0028389E"/>
    <w:rsid w:val="00283A5B"/>
    <w:rsid w:val="002843B8"/>
    <w:rsid w:val="00284F8E"/>
    <w:rsid w:val="00284FD6"/>
    <w:rsid w:val="0028578F"/>
    <w:rsid w:val="00285C29"/>
    <w:rsid w:val="002863A5"/>
    <w:rsid w:val="00286503"/>
    <w:rsid w:val="002878A4"/>
    <w:rsid w:val="00287DD7"/>
    <w:rsid w:val="002901BD"/>
    <w:rsid w:val="002902EF"/>
    <w:rsid w:val="00290357"/>
    <w:rsid w:val="002903A4"/>
    <w:rsid w:val="00290BF5"/>
    <w:rsid w:val="00291553"/>
    <w:rsid w:val="00291DBE"/>
    <w:rsid w:val="00291E21"/>
    <w:rsid w:val="002928F8"/>
    <w:rsid w:val="002936AC"/>
    <w:rsid w:val="00293DDC"/>
    <w:rsid w:val="0029401B"/>
    <w:rsid w:val="00294914"/>
    <w:rsid w:val="00294C3F"/>
    <w:rsid w:val="00294EA3"/>
    <w:rsid w:val="002951E4"/>
    <w:rsid w:val="00295896"/>
    <w:rsid w:val="00295F5C"/>
    <w:rsid w:val="0029626E"/>
    <w:rsid w:val="00296E2D"/>
    <w:rsid w:val="00297484"/>
    <w:rsid w:val="002975B6"/>
    <w:rsid w:val="00297C9D"/>
    <w:rsid w:val="002A00C6"/>
    <w:rsid w:val="002A06A3"/>
    <w:rsid w:val="002A0890"/>
    <w:rsid w:val="002A0F6B"/>
    <w:rsid w:val="002A0FA8"/>
    <w:rsid w:val="002A1018"/>
    <w:rsid w:val="002A121F"/>
    <w:rsid w:val="002A1E66"/>
    <w:rsid w:val="002A25EB"/>
    <w:rsid w:val="002A28AA"/>
    <w:rsid w:val="002A2940"/>
    <w:rsid w:val="002A2FEE"/>
    <w:rsid w:val="002A321D"/>
    <w:rsid w:val="002A35B5"/>
    <w:rsid w:val="002A38A1"/>
    <w:rsid w:val="002A470C"/>
    <w:rsid w:val="002A4729"/>
    <w:rsid w:val="002A491B"/>
    <w:rsid w:val="002A4E8C"/>
    <w:rsid w:val="002A4EA7"/>
    <w:rsid w:val="002A502F"/>
    <w:rsid w:val="002A5B49"/>
    <w:rsid w:val="002A6163"/>
    <w:rsid w:val="002A634C"/>
    <w:rsid w:val="002A6A04"/>
    <w:rsid w:val="002A6B4C"/>
    <w:rsid w:val="002A6C4D"/>
    <w:rsid w:val="002A6DF6"/>
    <w:rsid w:val="002A7047"/>
    <w:rsid w:val="002A719A"/>
    <w:rsid w:val="002A75EB"/>
    <w:rsid w:val="002A77CA"/>
    <w:rsid w:val="002A79B3"/>
    <w:rsid w:val="002A7D60"/>
    <w:rsid w:val="002A7F89"/>
    <w:rsid w:val="002B06D4"/>
    <w:rsid w:val="002B082F"/>
    <w:rsid w:val="002B0ACA"/>
    <w:rsid w:val="002B0D0B"/>
    <w:rsid w:val="002B1B2C"/>
    <w:rsid w:val="002B1C5F"/>
    <w:rsid w:val="002B257B"/>
    <w:rsid w:val="002B2949"/>
    <w:rsid w:val="002B299E"/>
    <w:rsid w:val="002B39B8"/>
    <w:rsid w:val="002B3C51"/>
    <w:rsid w:val="002B3D9C"/>
    <w:rsid w:val="002B4299"/>
    <w:rsid w:val="002B43B0"/>
    <w:rsid w:val="002B443D"/>
    <w:rsid w:val="002B4E0A"/>
    <w:rsid w:val="002B5190"/>
    <w:rsid w:val="002B573C"/>
    <w:rsid w:val="002B58B9"/>
    <w:rsid w:val="002B5F70"/>
    <w:rsid w:val="002B60D7"/>
    <w:rsid w:val="002B635E"/>
    <w:rsid w:val="002B6DF8"/>
    <w:rsid w:val="002B6E74"/>
    <w:rsid w:val="002B72CB"/>
    <w:rsid w:val="002B761B"/>
    <w:rsid w:val="002B795D"/>
    <w:rsid w:val="002B7A85"/>
    <w:rsid w:val="002B7B9A"/>
    <w:rsid w:val="002B7F95"/>
    <w:rsid w:val="002C0AE3"/>
    <w:rsid w:val="002C0F62"/>
    <w:rsid w:val="002C1171"/>
    <w:rsid w:val="002C12C3"/>
    <w:rsid w:val="002C13B2"/>
    <w:rsid w:val="002C1521"/>
    <w:rsid w:val="002C1816"/>
    <w:rsid w:val="002C18E2"/>
    <w:rsid w:val="002C1C30"/>
    <w:rsid w:val="002C1ED8"/>
    <w:rsid w:val="002C1FA6"/>
    <w:rsid w:val="002C2421"/>
    <w:rsid w:val="002C24FD"/>
    <w:rsid w:val="002C295E"/>
    <w:rsid w:val="002C2B21"/>
    <w:rsid w:val="002C2EC7"/>
    <w:rsid w:val="002C31B4"/>
    <w:rsid w:val="002C32C4"/>
    <w:rsid w:val="002C365A"/>
    <w:rsid w:val="002C37E3"/>
    <w:rsid w:val="002C3FB7"/>
    <w:rsid w:val="002C4696"/>
    <w:rsid w:val="002C4916"/>
    <w:rsid w:val="002C4917"/>
    <w:rsid w:val="002C496A"/>
    <w:rsid w:val="002C5292"/>
    <w:rsid w:val="002C550E"/>
    <w:rsid w:val="002C5ABA"/>
    <w:rsid w:val="002C5BBF"/>
    <w:rsid w:val="002C6052"/>
    <w:rsid w:val="002C611F"/>
    <w:rsid w:val="002C6216"/>
    <w:rsid w:val="002C6373"/>
    <w:rsid w:val="002C67F6"/>
    <w:rsid w:val="002C6DB9"/>
    <w:rsid w:val="002C708F"/>
    <w:rsid w:val="002C7BAF"/>
    <w:rsid w:val="002C7FA8"/>
    <w:rsid w:val="002D032C"/>
    <w:rsid w:val="002D06C7"/>
    <w:rsid w:val="002D0E3A"/>
    <w:rsid w:val="002D14C7"/>
    <w:rsid w:val="002D166D"/>
    <w:rsid w:val="002D2212"/>
    <w:rsid w:val="002D273E"/>
    <w:rsid w:val="002D2B58"/>
    <w:rsid w:val="002D2DFD"/>
    <w:rsid w:val="002D3463"/>
    <w:rsid w:val="002D3B6C"/>
    <w:rsid w:val="002D3CCD"/>
    <w:rsid w:val="002D4057"/>
    <w:rsid w:val="002D413C"/>
    <w:rsid w:val="002D4343"/>
    <w:rsid w:val="002D4F17"/>
    <w:rsid w:val="002D599C"/>
    <w:rsid w:val="002D5B51"/>
    <w:rsid w:val="002D5F6B"/>
    <w:rsid w:val="002D6173"/>
    <w:rsid w:val="002D6372"/>
    <w:rsid w:val="002D6D33"/>
    <w:rsid w:val="002D730F"/>
    <w:rsid w:val="002D73EE"/>
    <w:rsid w:val="002D7763"/>
    <w:rsid w:val="002D790A"/>
    <w:rsid w:val="002D7F9B"/>
    <w:rsid w:val="002E018B"/>
    <w:rsid w:val="002E02B6"/>
    <w:rsid w:val="002E03D6"/>
    <w:rsid w:val="002E0C6C"/>
    <w:rsid w:val="002E0DAD"/>
    <w:rsid w:val="002E1669"/>
    <w:rsid w:val="002E18FF"/>
    <w:rsid w:val="002E1AAC"/>
    <w:rsid w:val="002E1D19"/>
    <w:rsid w:val="002E215B"/>
    <w:rsid w:val="002E25A2"/>
    <w:rsid w:val="002E2CB1"/>
    <w:rsid w:val="002E2D29"/>
    <w:rsid w:val="002E3111"/>
    <w:rsid w:val="002E344E"/>
    <w:rsid w:val="002E345C"/>
    <w:rsid w:val="002E38AB"/>
    <w:rsid w:val="002E3A9E"/>
    <w:rsid w:val="002E3FB4"/>
    <w:rsid w:val="002E40F4"/>
    <w:rsid w:val="002E4A47"/>
    <w:rsid w:val="002E4B0E"/>
    <w:rsid w:val="002E4C92"/>
    <w:rsid w:val="002E4F0F"/>
    <w:rsid w:val="002E5978"/>
    <w:rsid w:val="002E5A03"/>
    <w:rsid w:val="002E5B60"/>
    <w:rsid w:val="002E632D"/>
    <w:rsid w:val="002E67E2"/>
    <w:rsid w:val="002E686E"/>
    <w:rsid w:val="002E6B1B"/>
    <w:rsid w:val="002E6E88"/>
    <w:rsid w:val="002E70D1"/>
    <w:rsid w:val="002E7231"/>
    <w:rsid w:val="002E7586"/>
    <w:rsid w:val="002E7A00"/>
    <w:rsid w:val="002E7C61"/>
    <w:rsid w:val="002E7CBE"/>
    <w:rsid w:val="002F03A1"/>
    <w:rsid w:val="002F10E5"/>
    <w:rsid w:val="002F15A7"/>
    <w:rsid w:val="002F1FD6"/>
    <w:rsid w:val="002F2925"/>
    <w:rsid w:val="002F2D60"/>
    <w:rsid w:val="002F2FB4"/>
    <w:rsid w:val="002F310F"/>
    <w:rsid w:val="002F381C"/>
    <w:rsid w:val="002F3EF4"/>
    <w:rsid w:val="002F4070"/>
    <w:rsid w:val="002F44B5"/>
    <w:rsid w:val="002F4508"/>
    <w:rsid w:val="002F47E8"/>
    <w:rsid w:val="002F4877"/>
    <w:rsid w:val="002F5182"/>
    <w:rsid w:val="002F56E1"/>
    <w:rsid w:val="002F5CB7"/>
    <w:rsid w:val="002F71A8"/>
    <w:rsid w:val="002F7A02"/>
    <w:rsid w:val="00300145"/>
    <w:rsid w:val="003001A6"/>
    <w:rsid w:val="00300296"/>
    <w:rsid w:val="003003BA"/>
    <w:rsid w:val="00300827"/>
    <w:rsid w:val="00301253"/>
    <w:rsid w:val="0030141C"/>
    <w:rsid w:val="00301546"/>
    <w:rsid w:val="003017F9"/>
    <w:rsid w:val="0030185E"/>
    <w:rsid w:val="00301A1D"/>
    <w:rsid w:val="00301BD2"/>
    <w:rsid w:val="00301CC9"/>
    <w:rsid w:val="00301D5C"/>
    <w:rsid w:val="00301E18"/>
    <w:rsid w:val="00302332"/>
    <w:rsid w:val="00302CAE"/>
    <w:rsid w:val="00302FDD"/>
    <w:rsid w:val="00303425"/>
    <w:rsid w:val="003036F6"/>
    <w:rsid w:val="00303B30"/>
    <w:rsid w:val="00303CDC"/>
    <w:rsid w:val="00303F37"/>
    <w:rsid w:val="003047FC"/>
    <w:rsid w:val="003050A7"/>
    <w:rsid w:val="00305400"/>
    <w:rsid w:val="0030544D"/>
    <w:rsid w:val="003057C3"/>
    <w:rsid w:val="0030583B"/>
    <w:rsid w:val="00305B35"/>
    <w:rsid w:val="00306370"/>
    <w:rsid w:val="0030659C"/>
    <w:rsid w:val="00306A62"/>
    <w:rsid w:val="00306B65"/>
    <w:rsid w:val="00306ECE"/>
    <w:rsid w:val="00306F87"/>
    <w:rsid w:val="00307C00"/>
    <w:rsid w:val="00307F14"/>
    <w:rsid w:val="00310349"/>
    <w:rsid w:val="003104F4"/>
    <w:rsid w:val="00310702"/>
    <w:rsid w:val="00310865"/>
    <w:rsid w:val="003108AA"/>
    <w:rsid w:val="003108C1"/>
    <w:rsid w:val="00310F12"/>
    <w:rsid w:val="00310F14"/>
    <w:rsid w:val="00310F4F"/>
    <w:rsid w:val="0031149A"/>
    <w:rsid w:val="003116F7"/>
    <w:rsid w:val="00312116"/>
    <w:rsid w:val="0031227E"/>
    <w:rsid w:val="00312379"/>
    <w:rsid w:val="00312775"/>
    <w:rsid w:val="00312C4C"/>
    <w:rsid w:val="00313205"/>
    <w:rsid w:val="003133C2"/>
    <w:rsid w:val="0031359B"/>
    <w:rsid w:val="00313935"/>
    <w:rsid w:val="00313CFA"/>
    <w:rsid w:val="0031430C"/>
    <w:rsid w:val="0031457B"/>
    <w:rsid w:val="0031458E"/>
    <w:rsid w:val="00314877"/>
    <w:rsid w:val="00314FBA"/>
    <w:rsid w:val="003151FC"/>
    <w:rsid w:val="003152C8"/>
    <w:rsid w:val="00315A7C"/>
    <w:rsid w:val="00315B08"/>
    <w:rsid w:val="00315B7F"/>
    <w:rsid w:val="0031613E"/>
    <w:rsid w:val="00316BA5"/>
    <w:rsid w:val="00317139"/>
    <w:rsid w:val="00317353"/>
    <w:rsid w:val="003174D8"/>
    <w:rsid w:val="003175DC"/>
    <w:rsid w:val="00317A3B"/>
    <w:rsid w:val="003207E3"/>
    <w:rsid w:val="00320CD3"/>
    <w:rsid w:val="00320D6A"/>
    <w:rsid w:val="00320EED"/>
    <w:rsid w:val="00320F99"/>
    <w:rsid w:val="0032157F"/>
    <w:rsid w:val="003215A6"/>
    <w:rsid w:val="003221FE"/>
    <w:rsid w:val="00322736"/>
    <w:rsid w:val="00322838"/>
    <w:rsid w:val="00322EC7"/>
    <w:rsid w:val="00322F0D"/>
    <w:rsid w:val="00323071"/>
    <w:rsid w:val="0032326C"/>
    <w:rsid w:val="003233E2"/>
    <w:rsid w:val="00323420"/>
    <w:rsid w:val="0032426B"/>
    <w:rsid w:val="00324296"/>
    <w:rsid w:val="003248D3"/>
    <w:rsid w:val="00324C21"/>
    <w:rsid w:val="00324D2F"/>
    <w:rsid w:val="00324FD4"/>
    <w:rsid w:val="0032508D"/>
    <w:rsid w:val="003252BC"/>
    <w:rsid w:val="0032531A"/>
    <w:rsid w:val="00325C73"/>
    <w:rsid w:val="00325FA2"/>
    <w:rsid w:val="003267D6"/>
    <w:rsid w:val="00326967"/>
    <w:rsid w:val="00326C79"/>
    <w:rsid w:val="00326CAD"/>
    <w:rsid w:val="00326F56"/>
    <w:rsid w:val="00326FB4"/>
    <w:rsid w:val="00327255"/>
    <w:rsid w:val="00327987"/>
    <w:rsid w:val="00330059"/>
    <w:rsid w:val="00330276"/>
    <w:rsid w:val="00330C5C"/>
    <w:rsid w:val="00330D6D"/>
    <w:rsid w:val="00330FFC"/>
    <w:rsid w:val="003317A5"/>
    <w:rsid w:val="0033180A"/>
    <w:rsid w:val="00331B6D"/>
    <w:rsid w:val="00331CD2"/>
    <w:rsid w:val="00331F0A"/>
    <w:rsid w:val="00332111"/>
    <w:rsid w:val="00332CE9"/>
    <w:rsid w:val="003330EA"/>
    <w:rsid w:val="003332B7"/>
    <w:rsid w:val="00333D0D"/>
    <w:rsid w:val="00333DF6"/>
    <w:rsid w:val="0033459A"/>
    <w:rsid w:val="0033467D"/>
    <w:rsid w:val="003359FA"/>
    <w:rsid w:val="00335C0D"/>
    <w:rsid w:val="00335C7D"/>
    <w:rsid w:val="00335F95"/>
    <w:rsid w:val="00336039"/>
    <w:rsid w:val="0033606A"/>
    <w:rsid w:val="003364A6"/>
    <w:rsid w:val="00336B73"/>
    <w:rsid w:val="003370E1"/>
    <w:rsid w:val="00337250"/>
    <w:rsid w:val="00337CCB"/>
    <w:rsid w:val="003405AE"/>
    <w:rsid w:val="003407D8"/>
    <w:rsid w:val="0034080E"/>
    <w:rsid w:val="00340DD2"/>
    <w:rsid w:val="00341518"/>
    <w:rsid w:val="003417B6"/>
    <w:rsid w:val="00341886"/>
    <w:rsid w:val="003418B7"/>
    <w:rsid w:val="00341EB2"/>
    <w:rsid w:val="003426F4"/>
    <w:rsid w:val="0034278B"/>
    <w:rsid w:val="003429D3"/>
    <w:rsid w:val="00342A84"/>
    <w:rsid w:val="00342E42"/>
    <w:rsid w:val="00342F41"/>
    <w:rsid w:val="00343642"/>
    <w:rsid w:val="00344031"/>
    <w:rsid w:val="0034411B"/>
    <w:rsid w:val="003449F8"/>
    <w:rsid w:val="00344A90"/>
    <w:rsid w:val="00345305"/>
    <w:rsid w:val="003453C2"/>
    <w:rsid w:val="003456D8"/>
    <w:rsid w:val="00345809"/>
    <w:rsid w:val="00345C6A"/>
    <w:rsid w:val="00345F51"/>
    <w:rsid w:val="003468C7"/>
    <w:rsid w:val="00346B84"/>
    <w:rsid w:val="00346FD3"/>
    <w:rsid w:val="00347B16"/>
    <w:rsid w:val="00347C46"/>
    <w:rsid w:val="00347CFA"/>
    <w:rsid w:val="00347EED"/>
    <w:rsid w:val="003500C6"/>
    <w:rsid w:val="003504CB"/>
    <w:rsid w:val="003504EC"/>
    <w:rsid w:val="00350748"/>
    <w:rsid w:val="00350F6B"/>
    <w:rsid w:val="003517AF"/>
    <w:rsid w:val="0035184C"/>
    <w:rsid w:val="003519B7"/>
    <w:rsid w:val="00351A48"/>
    <w:rsid w:val="00351C12"/>
    <w:rsid w:val="00351C86"/>
    <w:rsid w:val="00351CD6"/>
    <w:rsid w:val="00351F82"/>
    <w:rsid w:val="00352370"/>
    <w:rsid w:val="0035251D"/>
    <w:rsid w:val="00352797"/>
    <w:rsid w:val="0035382D"/>
    <w:rsid w:val="00353D7A"/>
    <w:rsid w:val="003542D8"/>
    <w:rsid w:val="003546CC"/>
    <w:rsid w:val="00354A4F"/>
    <w:rsid w:val="00355649"/>
    <w:rsid w:val="003558C0"/>
    <w:rsid w:val="0035593C"/>
    <w:rsid w:val="00356003"/>
    <w:rsid w:val="00356364"/>
    <w:rsid w:val="003568FC"/>
    <w:rsid w:val="00356C1E"/>
    <w:rsid w:val="00356C9A"/>
    <w:rsid w:val="00357815"/>
    <w:rsid w:val="00360060"/>
    <w:rsid w:val="00360695"/>
    <w:rsid w:val="00360776"/>
    <w:rsid w:val="00361010"/>
    <w:rsid w:val="0036139D"/>
    <w:rsid w:val="003613EA"/>
    <w:rsid w:val="00361B97"/>
    <w:rsid w:val="00361FD7"/>
    <w:rsid w:val="003622A5"/>
    <w:rsid w:val="00362421"/>
    <w:rsid w:val="00362835"/>
    <w:rsid w:val="00363095"/>
    <w:rsid w:val="0036324B"/>
    <w:rsid w:val="0036391F"/>
    <w:rsid w:val="00363B3D"/>
    <w:rsid w:val="00363CBA"/>
    <w:rsid w:val="00363DAE"/>
    <w:rsid w:val="00363E67"/>
    <w:rsid w:val="00364682"/>
    <w:rsid w:val="003647E5"/>
    <w:rsid w:val="00364AD0"/>
    <w:rsid w:val="00364E3B"/>
    <w:rsid w:val="003650AF"/>
    <w:rsid w:val="00365293"/>
    <w:rsid w:val="00365477"/>
    <w:rsid w:val="003666DD"/>
    <w:rsid w:val="00367485"/>
    <w:rsid w:val="003677CC"/>
    <w:rsid w:val="00367864"/>
    <w:rsid w:val="00367A16"/>
    <w:rsid w:val="00367B61"/>
    <w:rsid w:val="003700B9"/>
    <w:rsid w:val="003700EE"/>
    <w:rsid w:val="0037020E"/>
    <w:rsid w:val="0037035B"/>
    <w:rsid w:val="00370787"/>
    <w:rsid w:val="0037082D"/>
    <w:rsid w:val="003714DE"/>
    <w:rsid w:val="00372C66"/>
    <w:rsid w:val="003737D5"/>
    <w:rsid w:val="00373BEB"/>
    <w:rsid w:val="00373D0E"/>
    <w:rsid w:val="00373E21"/>
    <w:rsid w:val="003741C2"/>
    <w:rsid w:val="00374234"/>
    <w:rsid w:val="003743BE"/>
    <w:rsid w:val="00374E2B"/>
    <w:rsid w:val="00374E9F"/>
    <w:rsid w:val="003754AA"/>
    <w:rsid w:val="00375813"/>
    <w:rsid w:val="00375A24"/>
    <w:rsid w:val="00375E0B"/>
    <w:rsid w:val="00375EC5"/>
    <w:rsid w:val="00376FA0"/>
    <w:rsid w:val="003770AD"/>
    <w:rsid w:val="00377268"/>
    <w:rsid w:val="003777EC"/>
    <w:rsid w:val="00377CA4"/>
    <w:rsid w:val="00380132"/>
    <w:rsid w:val="00380451"/>
    <w:rsid w:val="003806C0"/>
    <w:rsid w:val="003811C4"/>
    <w:rsid w:val="00381674"/>
    <w:rsid w:val="00381EB8"/>
    <w:rsid w:val="00382018"/>
    <w:rsid w:val="00382050"/>
    <w:rsid w:val="00382287"/>
    <w:rsid w:val="0038272C"/>
    <w:rsid w:val="00382AAF"/>
    <w:rsid w:val="00382FD3"/>
    <w:rsid w:val="003832F9"/>
    <w:rsid w:val="0038333A"/>
    <w:rsid w:val="00383501"/>
    <w:rsid w:val="0038357B"/>
    <w:rsid w:val="00384045"/>
    <w:rsid w:val="00384723"/>
    <w:rsid w:val="00385095"/>
    <w:rsid w:val="00387476"/>
    <w:rsid w:val="00387A29"/>
    <w:rsid w:val="00387E93"/>
    <w:rsid w:val="00390761"/>
    <w:rsid w:val="00391A5A"/>
    <w:rsid w:val="00391D7A"/>
    <w:rsid w:val="00391DD7"/>
    <w:rsid w:val="00391EE9"/>
    <w:rsid w:val="0039223A"/>
    <w:rsid w:val="0039237C"/>
    <w:rsid w:val="0039256E"/>
    <w:rsid w:val="00392674"/>
    <w:rsid w:val="00392A9A"/>
    <w:rsid w:val="00392E66"/>
    <w:rsid w:val="0039325C"/>
    <w:rsid w:val="00393431"/>
    <w:rsid w:val="00393940"/>
    <w:rsid w:val="00393D40"/>
    <w:rsid w:val="00394726"/>
    <w:rsid w:val="0039487F"/>
    <w:rsid w:val="00394C7C"/>
    <w:rsid w:val="003956E4"/>
    <w:rsid w:val="0039581A"/>
    <w:rsid w:val="003958D5"/>
    <w:rsid w:val="00395A50"/>
    <w:rsid w:val="00395DFD"/>
    <w:rsid w:val="003960D7"/>
    <w:rsid w:val="003963C6"/>
    <w:rsid w:val="00397787"/>
    <w:rsid w:val="00397FB2"/>
    <w:rsid w:val="003A01B8"/>
    <w:rsid w:val="003A0BED"/>
    <w:rsid w:val="003A0C57"/>
    <w:rsid w:val="003A0E55"/>
    <w:rsid w:val="003A13A4"/>
    <w:rsid w:val="003A1D94"/>
    <w:rsid w:val="003A20F2"/>
    <w:rsid w:val="003A2521"/>
    <w:rsid w:val="003A25B8"/>
    <w:rsid w:val="003A2B4D"/>
    <w:rsid w:val="003A2D7D"/>
    <w:rsid w:val="003A2E36"/>
    <w:rsid w:val="003A2E87"/>
    <w:rsid w:val="003A2EFE"/>
    <w:rsid w:val="003A30AF"/>
    <w:rsid w:val="003A313F"/>
    <w:rsid w:val="003A3226"/>
    <w:rsid w:val="003A3834"/>
    <w:rsid w:val="003A3A35"/>
    <w:rsid w:val="003A50F0"/>
    <w:rsid w:val="003A5885"/>
    <w:rsid w:val="003A5C91"/>
    <w:rsid w:val="003A5F2D"/>
    <w:rsid w:val="003A6360"/>
    <w:rsid w:val="003A63C0"/>
    <w:rsid w:val="003A68AD"/>
    <w:rsid w:val="003A6F6A"/>
    <w:rsid w:val="003A7137"/>
    <w:rsid w:val="003A756E"/>
    <w:rsid w:val="003A7B9F"/>
    <w:rsid w:val="003A7D32"/>
    <w:rsid w:val="003A7EEC"/>
    <w:rsid w:val="003B03A6"/>
    <w:rsid w:val="003B13E4"/>
    <w:rsid w:val="003B17D2"/>
    <w:rsid w:val="003B1C31"/>
    <w:rsid w:val="003B1D97"/>
    <w:rsid w:val="003B2E47"/>
    <w:rsid w:val="003B31C3"/>
    <w:rsid w:val="003B395A"/>
    <w:rsid w:val="003B3E28"/>
    <w:rsid w:val="003B3E56"/>
    <w:rsid w:val="003B43E8"/>
    <w:rsid w:val="003B482D"/>
    <w:rsid w:val="003B4A06"/>
    <w:rsid w:val="003B4E15"/>
    <w:rsid w:val="003B5490"/>
    <w:rsid w:val="003B5CAE"/>
    <w:rsid w:val="003B64EC"/>
    <w:rsid w:val="003B661D"/>
    <w:rsid w:val="003B7344"/>
    <w:rsid w:val="003C0322"/>
    <w:rsid w:val="003C07D2"/>
    <w:rsid w:val="003C0AB2"/>
    <w:rsid w:val="003C0CB7"/>
    <w:rsid w:val="003C0D7E"/>
    <w:rsid w:val="003C11CC"/>
    <w:rsid w:val="003C169E"/>
    <w:rsid w:val="003C1774"/>
    <w:rsid w:val="003C17FF"/>
    <w:rsid w:val="003C1D47"/>
    <w:rsid w:val="003C1D75"/>
    <w:rsid w:val="003C2048"/>
    <w:rsid w:val="003C2131"/>
    <w:rsid w:val="003C2223"/>
    <w:rsid w:val="003C26F5"/>
    <w:rsid w:val="003C2EA4"/>
    <w:rsid w:val="003C3B1C"/>
    <w:rsid w:val="003C3C24"/>
    <w:rsid w:val="003C3DB2"/>
    <w:rsid w:val="003C52B5"/>
    <w:rsid w:val="003C573C"/>
    <w:rsid w:val="003C5B2D"/>
    <w:rsid w:val="003C5DCF"/>
    <w:rsid w:val="003C6294"/>
    <w:rsid w:val="003C6ACF"/>
    <w:rsid w:val="003C7515"/>
    <w:rsid w:val="003C77EA"/>
    <w:rsid w:val="003C780C"/>
    <w:rsid w:val="003C78A4"/>
    <w:rsid w:val="003D0185"/>
    <w:rsid w:val="003D0338"/>
    <w:rsid w:val="003D04A8"/>
    <w:rsid w:val="003D08E8"/>
    <w:rsid w:val="003D0DDB"/>
    <w:rsid w:val="003D1293"/>
    <w:rsid w:val="003D14F0"/>
    <w:rsid w:val="003D1AA7"/>
    <w:rsid w:val="003D1DA1"/>
    <w:rsid w:val="003D1F68"/>
    <w:rsid w:val="003D2542"/>
    <w:rsid w:val="003D34CC"/>
    <w:rsid w:val="003D37A3"/>
    <w:rsid w:val="003D39B0"/>
    <w:rsid w:val="003D3CA8"/>
    <w:rsid w:val="003D4333"/>
    <w:rsid w:val="003D461D"/>
    <w:rsid w:val="003D49B4"/>
    <w:rsid w:val="003D4BFD"/>
    <w:rsid w:val="003D50A6"/>
    <w:rsid w:val="003D52F8"/>
    <w:rsid w:val="003D54B1"/>
    <w:rsid w:val="003D5AFB"/>
    <w:rsid w:val="003D5B05"/>
    <w:rsid w:val="003D5E5F"/>
    <w:rsid w:val="003D6133"/>
    <w:rsid w:val="003D6503"/>
    <w:rsid w:val="003D6D2A"/>
    <w:rsid w:val="003D719D"/>
    <w:rsid w:val="003D71B0"/>
    <w:rsid w:val="003D72B5"/>
    <w:rsid w:val="003D747A"/>
    <w:rsid w:val="003D7668"/>
    <w:rsid w:val="003D7B6B"/>
    <w:rsid w:val="003D7C3E"/>
    <w:rsid w:val="003E0153"/>
    <w:rsid w:val="003E05AF"/>
    <w:rsid w:val="003E0C3F"/>
    <w:rsid w:val="003E1360"/>
    <w:rsid w:val="003E1466"/>
    <w:rsid w:val="003E186C"/>
    <w:rsid w:val="003E18D9"/>
    <w:rsid w:val="003E22BF"/>
    <w:rsid w:val="003E23AA"/>
    <w:rsid w:val="003E23E4"/>
    <w:rsid w:val="003E2435"/>
    <w:rsid w:val="003E26FC"/>
    <w:rsid w:val="003E272B"/>
    <w:rsid w:val="003E29CF"/>
    <w:rsid w:val="003E2ED7"/>
    <w:rsid w:val="003E31BE"/>
    <w:rsid w:val="003E33C1"/>
    <w:rsid w:val="003E3DF2"/>
    <w:rsid w:val="003E411D"/>
    <w:rsid w:val="003E5857"/>
    <w:rsid w:val="003E586C"/>
    <w:rsid w:val="003E5DEA"/>
    <w:rsid w:val="003E5E1C"/>
    <w:rsid w:val="003E5EA3"/>
    <w:rsid w:val="003E5EFB"/>
    <w:rsid w:val="003E5FC7"/>
    <w:rsid w:val="003E64AC"/>
    <w:rsid w:val="003E67FD"/>
    <w:rsid w:val="003E701E"/>
    <w:rsid w:val="003E70AC"/>
    <w:rsid w:val="003E7379"/>
    <w:rsid w:val="003E75AE"/>
    <w:rsid w:val="003E78C1"/>
    <w:rsid w:val="003E7919"/>
    <w:rsid w:val="003F0B3F"/>
    <w:rsid w:val="003F0FC7"/>
    <w:rsid w:val="003F11BF"/>
    <w:rsid w:val="003F14FC"/>
    <w:rsid w:val="003F1BFF"/>
    <w:rsid w:val="003F1DEA"/>
    <w:rsid w:val="003F2027"/>
    <w:rsid w:val="003F20C0"/>
    <w:rsid w:val="003F2189"/>
    <w:rsid w:val="003F21D7"/>
    <w:rsid w:val="003F25F5"/>
    <w:rsid w:val="003F2646"/>
    <w:rsid w:val="003F2739"/>
    <w:rsid w:val="003F2C2D"/>
    <w:rsid w:val="003F2DB5"/>
    <w:rsid w:val="003F2DBA"/>
    <w:rsid w:val="003F3577"/>
    <w:rsid w:val="003F3D84"/>
    <w:rsid w:val="003F449E"/>
    <w:rsid w:val="003F45E2"/>
    <w:rsid w:val="003F4BA7"/>
    <w:rsid w:val="003F4D11"/>
    <w:rsid w:val="003F5131"/>
    <w:rsid w:val="003F56B1"/>
    <w:rsid w:val="003F5B29"/>
    <w:rsid w:val="003F5C4C"/>
    <w:rsid w:val="003F5D31"/>
    <w:rsid w:val="003F5E17"/>
    <w:rsid w:val="003F6044"/>
    <w:rsid w:val="003F6334"/>
    <w:rsid w:val="003F6722"/>
    <w:rsid w:val="003F694C"/>
    <w:rsid w:val="003F6B4E"/>
    <w:rsid w:val="003F7458"/>
    <w:rsid w:val="003F7A4F"/>
    <w:rsid w:val="003F7A5E"/>
    <w:rsid w:val="003F7F68"/>
    <w:rsid w:val="004001CC"/>
    <w:rsid w:val="004005F5"/>
    <w:rsid w:val="00400B49"/>
    <w:rsid w:val="004012A1"/>
    <w:rsid w:val="004012FE"/>
    <w:rsid w:val="0040178C"/>
    <w:rsid w:val="004017FD"/>
    <w:rsid w:val="0040191D"/>
    <w:rsid w:val="00401CA5"/>
    <w:rsid w:val="00401F81"/>
    <w:rsid w:val="0040247D"/>
    <w:rsid w:val="00402906"/>
    <w:rsid w:val="00402B91"/>
    <w:rsid w:val="00402F3E"/>
    <w:rsid w:val="00402FBC"/>
    <w:rsid w:val="0040313D"/>
    <w:rsid w:val="00403301"/>
    <w:rsid w:val="0040357E"/>
    <w:rsid w:val="00403B39"/>
    <w:rsid w:val="00403E4C"/>
    <w:rsid w:val="00404238"/>
    <w:rsid w:val="004042A4"/>
    <w:rsid w:val="00404577"/>
    <w:rsid w:val="00404631"/>
    <w:rsid w:val="004054D6"/>
    <w:rsid w:val="00405706"/>
    <w:rsid w:val="0040573A"/>
    <w:rsid w:val="00405F38"/>
    <w:rsid w:val="00406100"/>
    <w:rsid w:val="0040655C"/>
    <w:rsid w:val="004068A2"/>
    <w:rsid w:val="00407578"/>
    <w:rsid w:val="004076F3"/>
    <w:rsid w:val="00407B19"/>
    <w:rsid w:val="00407CB9"/>
    <w:rsid w:val="0041052B"/>
    <w:rsid w:val="0041058B"/>
    <w:rsid w:val="0041087C"/>
    <w:rsid w:val="00410A2C"/>
    <w:rsid w:val="00410C2A"/>
    <w:rsid w:val="00410FF8"/>
    <w:rsid w:val="0041102B"/>
    <w:rsid w:val="00411292"/>
    <w:rsid w:val="00411426"/>
    <w:rsid w:val="00411641"/>
    <w:rsid w:val="004116BF"/>
    <w:rsid w:val="00411A15"/>
    <w:rsid w:val="00411B28"/>
    <w:rsid w:val="00411FC1"/>
    <w:rsid w:val="0041239F"/>
    <w:rsid w:val="00412B87"/>
    <w:rsid w:val="00412D6D"/>
    <w:rsid w:val="004145CB"/>
    <w:rsid w:val="00414AE4"/>
    <w:rsid w:val="00414BB0"/>
    <w:rsid w:val="00414E02"/>
    <w:rsid w:val="00414E86"/>
    <w:rsid w:val="004151D2"/>
    <w:rsid w:val="00415642"/>
    <w:rsid w:val="00415AAC"/>
    <w:rsid w:val="00415EF0"/>
    <w:rsid w:val="00416074"/>
    <w:rsid w:val="0041651B"/>
    <w:rsid w:val="004166C8"/>
    <w:rsid w:val="004166F8"/>
    <w:rsid w:val="004169A1"/>
    <w:rsid w:val="00416A15"/>
    <w:rsid w:val="00416ABD"/>
    <w:rsid w:val="00416D1D"/>
    <w:rsid w:val="004172DA"/>
    <w:rsid w:val="004177C7"/>
    <w:rsid w:val="00417EDA"/>
    <w:rsid w:val="004203E4"/>
    <w:rsid w:val="00420519"/>
    <w:rsid w:val="004205C2"/>
    <w:rsid w:val="004208E6"/>
    <w:rsid w:val="00420CCF"/>
    <w:rsid w:val="00420DFD"/>
    <w:rsid w:val="0042121F"/>
    <w:rsid w:val="00421391"/>
    <w:rsid w:val="004213EE"/>
    <w:rsid w:val="00421484"/>
    <w:rsid w:val="00421955"/>
    <w:rsid w:val="004219DB"/>
    <w:rsid w:val="00421EE2"/>
    <w:rsid w:val="004222F4"/>
    <w:rsid w:val="00422431"/>
    <w:rsid w:val="00422540"/>
    <w:rsid w:val="00422A3A"/>
    <w:rsid w:val="00422E7C"/>
    <w:rsid w:val="0042317D"/>
    <w:rsid w:val="00423244"/>
    <w:rsid w:val="00423693"/>
    <w:rsid w:val="00423EB7"/>
    <w:rsid w:val="00425E5B"/>
    <w:rsid w:val="00425EEB"/>
    <w:rsid w:val="004265A9"/>
    <w:rsid w:val="004274D5"/>
    <w:rsid w:val="00427EB9"/>
    <w:rsid w:val="004313BC"/>
    <w:rsid w:val="0043188C"/>
    <w:rsid w:val="00431F9F"/>
    <w:rsid w:val="00432053"/>
    <w:rsid w:val="0043250D"/>
    <w:rsid w:val="004325DE"/>
    <w:rsid w:val="004329FA"/>
    <w:rsid w:val="00432D72"/>
    <w:rsid w:val="00432E0A"/>
    <w:rsid w:val="00432EFE"/>
    <w:rsid w:val="004338C7"/>
    <w:rsid w:val="00433989"/>
    <w:rsid w:val="00433BAB"/>
    <w:rsid w:val="00433F8B"/>
    <w:rsid w:val="00434614"/>
    <w:rsid w:val="0043463F"/>
    <w:rsid w:val="00434807"/>
    <w:rsid w:val="00434B45"/>
    <w:rsid w:val="00434DF4"/>
    <w:rsid w:val="00434E06"/>
    <w:rsid w:val="004357D6"/>
    <w:rsid w:val="00435875"/>
    <w:rsid w:val="00435D20"/>
    <w:rsid w:val="00435EAA"/>
    <w:rsid w:val="004360D7"/>
    <w:rsid w:val="0043627F"/>
    <w:rsid w:val="004362F0"/>
    <w:rsid w:val="004362F2"/>
    <w:rsid w:val="00436F0B"/>
    <w:rsid w:val="0043725A"/>
    <w:rsid w:val="0043749C"/>
    <w:rsid w:val="00437B50"/>
    <w:rsid w:val="00437B82"/>
    <w:rsid w:val="004405C4"/>
    <w:rsid w:val="00440C95"/>
    <w:rsid w:val="00440F56"/>
    <w:rsid w:val="00441298"/>
    <w:rsid w:val="00441616"/>
    <w:rsid w:val="00441637"/>
    <w:rsid w:val="004417AD"/>
    <w:rsid w:val="00441C2E"/>
    <w:rsid w:val="00442441"/>
    <w:rsid w:val="0044299C"/>
    <w:rsid w:val="00442E42"/>
    <w:rsid w:val="00443106"/>
    <w:rsid w:val="004432D9"/>
    <w:rsid w:val="004433D9"/>
    <w:rsid w:val="00443735"/>
    <w:rsid w:val="0044444C"/>
    <w:rsid w:val="004457FA"/>
    <w:rsid w:val="00445869"/>
    <w:rsid w:val="00445AE4"/>
    <w:rsid w:val="00446025"/>
    <w:rsid w:val="004467BF"/>
    <w:rsid w:val="004468F2"/>
    <w:rsid w:val="00446C00"/>
    <w:rsid w:val="00446EF2"/>
    <w:rsid w:val="00446F3F"/>
    <w:rsid w:val="0044711C"/>
    <w:rsid w:val="004472E8"/>
    <w:rsid w:val="00447352"/>
    <w:rsid w:val="004473F9"/>
    <w:rsid w:val="00447688"/>
    <w:rsid w:val="004476A4"/>
    <w:rsid w:val="00447759"/>
    <w:rsid w:val="00447D8A"/>
    <w:rsid w:val="00450060"/>
    <w:rsid w:val="00450621"/>
    <w:rsid w:val="00450803"/>
    <w:rsid w:val="00451380"/>
    <w:rsid w:val="004513A4"/>
    <w:rsid w:val="0045150E"/>
    <w:rsid w:val="004516C2"/>
    <w:rsid w:val="00451BBB"/>
    <w:rsid w:val="00451C14"/>
    <w:rsid w:val="00451D0F"/>
    <w:rsid w:val="00452A59"/>
    <w:rsid w:val="004530AD"/>
    <w:rsid w:val="00453575"/>
    <w:rsid w:val="00453657"/>
    <w:rsid w:val="00453970"/>
    <w:rsid w:val="00453C28"/>
    <w:rsid w:val="00453C6D"/>
    <w:rsid w:val="00454681"/>
    <w:rsid w:val="00454D42"/>
    <w:rsid w:val="00455471"/>
    <w:rsid w:val="0045577D"/>
    <w:rsid w:val="004558C6"/>
    <w:rsid w:val="00455B04"/>
    <w:rsid w:val="00455EFE"/>
    <w:rsid w:val="00455FF1"/>
    <w:rsid w:val="00456529"/>
    <w:rsid w:val="00456B9C"/>
    <w:rsid w:val="00456E2A"/>
    <w:rsid w:val="00456E33"/>
    <w:rsid w:val="00457660"/>
    <w:rsid w:val="00457A0C"/>
    <w:rsid w:val="00457C9E"/>
    <w:rsid w:val="0046018E"/>
    <w:rsid w:val="004601A7"/>
    <w:rsid w:val="0046060A"/>
    <w:rsid w:val="00460A97"/>
    <w:rsid w:val="004613EA"/>
    <w:rsid w:val="0046143A"/>
    <w:rsid w:val="00462091"/>
    <w:rsid w:val="0046242C"/>
    <w:rsid w:val="00462A26"/>
    <w:rsid w:val="00462E58"/>
    <w:rsid w:val="00463209"/>
    <w:rsid w:val="00463A32"/>
    <w:rsid w:val="00463B40"/>
    <w:rsid w:val="00463DDD"/>
    <w:rsid w:val="00464632"/>
    <w:rsid w:val="0046519C"/>
    <w:rsid w:val="00465510"/>
    <w:rsid w:val="00465561"/>
    <w:rsid w:val="00465800"/>
    <w:rsid w:val="00465930"/>
    <w:rsid w:val="00465C02"/>
    <w:rsid w:val="00465F78"/>
    <w:rsid w:val="00466153"/>
    <w:rsid w:val="004662F6"/>
    <w:rsid w:val="00466F60"/>
    <w:rsid w:val="004670D1"/>
    <w:rsid w:val="004671D9"/>
    <w:rsid w:val="004672B7"/>
    <w:rsid w:val="004676FA"/>
    <w:rsid w:val="00467802"/>
    <w:rsid w:val="004701D5"/>
    <w:rsid w:val="004703FD"/>
    <w:rsid w:val="004704AD"/>
    <w:rsid w:val="004704B9"/>
    <w:rsid w:val="0047058C"/>
    <w:rsid w:val="00470EF1"/>
    <w:rsid w:val="004710A9"/>
    <w:rsid w:val="004713EB"/>
    <w:rsid w:val="004716D3"/>
    <w:rsid w:val="00472183"/>
    <w:rsid w:val="00472A57"/>
    <w:rsid w:val="00472F72"/>
    <w:rsid w:val="00473017"/>
    <w:rsid w:val="004730DF"/>
    <w:rsid w:val="00473CCA"/>
    <w:rsid w:val="004744F0"/>
    <w:rsid w:val="00474AE1"/>
    <w:rsid w:val="00474B15"/>
    <w:rsid w:val="00474DD4"/>
    <w:rsid w:val="00474E10"/>
    <w:rsid w:val="004751B6"/>
    <w:rsid w:val="00475AA7"/>
    <w:rsid w:val="0047625D"/>
    <w:rsid w:val="00476392"/>
    <w:rsid w:val="00476878"/>
    <w:rsid w:val="00476C2A"/>
    <w:rsid w:val="00476F68"/>
    <w:rsid w:val="00480143"/>
    <w:rsid w:val="00480447"/>
    <w:rsid w:val="004804DF"/>
    <w:rsid w:val="004806A9"/>
    <w:rsid w:val="004807D4"/>
    <w:rsid w:val="00480F5F"/>
    <w:rsid w:val="004818BB"/>
    <w:rsid w:val="00481909"/>
    <w:rsid w:val="00481B17"/>
    <w:rsid w:val="00481DAE"/>
    <w:rsid w:val="00481E14"/>
    <w:rsid w:val="004825D1"/>
    <w:rsid w:val="004826BB"/>
    <w:rsid w:val="0048298D"/>
    <w:rsid w:val="0048311E"/>
    <w:rsid w:val="00483268"/>
    <w:rsid w:val="00483564"/>
    <w:rsid w:val="00483787"/>
    <w:rsid w:val="00484323"/>
    <w:rsid w:val="00484F62"/>
    <w:rsid w:val="00485293"/>
    <w:rsid w:val="00485390"/>
    <w:rsid w:val="0048539E"/>
    <w:rsid w:val="00485BFF"/>
    <w:rsid w:val="00486C18"/>
    <w:rsid w:val="00486C65"/>
    <w:rsid w:val="00486EB8"/>
    <w:rsid w:val="004874EC"/>
    <w:rsid w:val="00487AE5"/>
    <w:rsid w:val="00487C78"/>
    <w:rsid w:val="00487D6A"/>
    <w:rsid w:val="0049020B"/>
    <w:rsid w:val="004905DC"/>
    <w:rsid w:val="004909AB"/>
    <w:rsid w:val="00490BE5"/>
    <w:rsid w:val="004915D5"/>
    <w:rsid w:val="004921B4"/>
    <w:rsid w:val="00492372"/>
    <w:rsid w:val="00492844"/>
    <w:rsid w:val="00492910"/>
    <w:rsid w:val="00492AC1"/>
    <w:rsid w:val="00492E96"/>
    <w:rsid w:val="0049300D"/>
    <w:rsid w:val="004939AC"/>
    <w:rsid w:val="00493C93"/>
    <w:rsid w:val="0049436E"/>
    <w:rsid w:val="00494B41"/>
    <w:rsid w:val="00494EF0"/>
    <w:rsid w:val="00494F63"/>
    <w:rsid w:val="0049509B"/>
    <w:rsid w:val="00495331"/>
    <w:rsid w:val="00495830"/>
    <w:rsid w:val="00495CF6"/>
    <w:rsid w:val="004961D2"/>
    <w:rsid w:val="00496353"/>
    <w:rsid w:val="0049636E"/>
    <w:rsid w:val="00496598"/>
    <w:rsid w:val="00497055"/>
    <w:rsid w:val="0049709D"/>
    <w:rsid w:val="0049734B"/>
    <w:rsid w:val="00497477"/>
    <w:rsid w:val="004977F8"/>
    <w:rsid w:val="004979E9"/>
    <w:rsid w:val="00497CA8"/>
    <w:rsid w:val="00497CEF"/>
    <w:rsid w:val="00497E48"/>
    <w:rsid w:val="00497F49"/>
    <w:rsid w:val="004A0344"/>
    <w:rsid w:val="004A0685"/>
    <w:rsid w:val="004A07A1"/>
    <w:rsid w:val="004A0BFC"/>
    <w:rsid w:val="004A0C2D"/>
    <w:rsid w:val="004A0F1E"/>
    <w:rsid w:val="004A0F33"/>
    <w:rsid w:val="004A127E"/>
    <w:rsid w:val="004A158C"/>
    <w:rsid w:val="004A18D7"/>
    <w:rsid w:val="004A1B1C"/>
    <w:rsid w:val="004A1D7C"/>
    <w:rsid w:val="004A292A"/>
    <w:rsid w:val="004A2D69"/>
    <w:rsid w:val="004A34DC"/>
    <w:rsid w:val="004A3711"/>
    <w:rsid w:val="004A3728"/>
    <w:rsid w:val="004A3987"/>
    <w:rsid w:val="004A3C4B"/>
    <w:rsid w:val="004A3FD5"/>
    <w:rsid w:val="004A40B8"/>
    <w:rsid w:val="004A41CE"/>
    <w:rsid w:val="004A44CA"/>
    <w:rsid w:val="004A4A4E"/>
    <w:rsid w:val="004A54DE"/>
    <w:rsid w:val="004A608B"/>
    <w:rsid w:val="004A6253"/>
    <w:rsid w:val="004A63A9"/>
    <w:rsid w:val="004A64EE"/>
    <w:rsid w:val="004A6638"/>
    <w:rsid w:val="004A6738"/>
    <w:rsid w:val="004A77FD"/>
    <w:rsid w:val="004A7CE9"/>
    <w:rsid w:val="004B00B2"/>
    <w:rsid w:val="004B0553"/>
    <w:rsid w:val="004B0730"/>
    <w:rsid w:val="004B07A6"/>
    <w:rsid w:val="004B0811"/>
    <w:rsid w:val="004B0DFA"/>
    <w:rsid w:val="004B2BDE"/>
    <w:rsid w:val="004B375F"/>
    <w:rsid w:val="004B3BB9"/>
    <w:rsid w:val="004B3C72"/>
    <w:rsid w:val="004B42E2"/>
    <w:rsid w:val="004B48B7"/>
    <w:rsid w:val="004B48C2"/>
    <w:rsid w:val="004B5CD6"/>
    <w:rsid w:val="004B663F"/>
    <w:rsid w:val="004B6680"/>
    <w:rsid w:val="004B6683"/>
    <w:rsid w:val="004B681C"/>
    <w:rsid w:val="004B686C"/>
    <w:rsid w:val="004B6CAB"/>
    <w:rsid w:val="004B7430"/>
    <w:rsid w:val="004B76D0"/>
    <w:rsid w:val="004B7A58"/>
    <w:rsid w:val="004C015B"/>
    <w:rsid w:val="004C0472"/>
    <w:rsid w:val="004C05E8"/>
    <w:rsid w:val="004C0667"/>
    <w:rsid w:val="004C0845"/>
    <w:rsid w:val="004C094A"/>
    <w:rsid w:val="004C09AB"/>
    <w:rsid w:val="004C0AE8"/>
    <w:rsid w:val="004C0BB2"/>
    <w:rsid w:val="004C12EA"/>
    <w:rsid w:val="004C17A3"/>
    <w:rsid w:val="004C23EF"/>
    <w:rsid w:val="004C2843"/>
    <w:rsid w:val="004C2C7B"/>
    <w:rsid w:val="004C2C97"/>
    <w:rsid w:val="004C2E46"/>
    <w:rsid w:val="004C2EFC"/>
    <w:rsid w:val="004C2FFC"/>
    <w:rsid w:val="004C36AC"/>
    <w:rsid w:val="004C39B6"/>
    <w:rsid w:val="004C4B16"/>
    <w:rsid w:val="004C4BE7"/>
    <w:rsid w:val="004C657B"/>
    <w:rsid w:val="004C6713"/>
    <w:rsid w:val="004D023F"/>
    <w:rsid w:val="004D04D2"/>
    <w:rsid w:val="004D0E43"/>
    <w:rsid w:val="004D16E5"/>
    <w:rsid w:val="004D204F"/>
    <w:rsid w:val="004D2EDD"/>
    <w:rsid w:val="004D2F93"/>
    <w:rsid w:val="004D3039"/>
    <w:rsid w:val="004D3C98"/>
    <w:rsid w:val="004D3F44"/>
    <w:rsid w:val="004D42E7"/>
    <w:rsid w:val="004D43B1"/>
    <w:rsid w:val="004D46CA"/>
    <w:rsid w:val="004D48ED"/>
    <w:rsid w:val="004D4989"/>
    <w:rsid w:val="004D4E1A"/>
    <w:rsid w:val="004D4E55"/>
    <w:rsid w:val="004D4E7E"/>
    <w:rsid w:val="004D5185"/>
    <w:rsid w:val="004D552D"/>
    <w:rsid w:val="004D59DF"/>
    <w:rsid w:val="004D5C81"/>
    <w:rsid w:val="004D6305"/>
    <w:rsid w:val="004D6764"/>
    <w:rsid w:val="004D6881"/>
    <w:rsid w:val="004D69F7"/>
    <w:rsid w:val="004D6E96"/>
    <w:rsid w:val="004D72C6"/>
    <w:rsid w:val="004D778A"/>
    <w:rsid w:val="004D78CC"/>
    <w:rsid w:val="004D7DA1"/>
    <w:rsid w:val="004E0227"/>
    <w:rsid w:val="004E03AF"/>
    <w:rsid w:val="004E04DB"/>
    <w:rsid w:val="004E065D"/>
    <w:rsid w:val="004E0F12"/>
    <w:rsid w:val="004E104A"/>
    <w:rsid w:val="004E1532"/>
    <w:rsid w:val="004E23CF"/>
    <w:rsid w:val="004E2E28"/>
    <w:rsid w:val="004E2EDA"/>
    <w:rsid w:val="004E31D0"/>
    <w:rsid w:val="004E3AB2"/>
    <w:rsid w:val="004E3B8A"/>
    <w:rsid w:val="004E3CAD"/>
    <w:rsid w:val="004E3E1E"/>
    <w:rsid w:val="004E4427"/>
    <w:rsid w:val="004E487D"/>
    <w:rsid w:val="004E4C64"/>
    <w:rsid w:val="004E4CE1"/>
    <w:rsid w:val="004E4CFC"/>
    <w:rsid w:val="004E503C"/>
    <w:rsid w:val="004E5379"/>
    <w:rsid w:val="004E58DE"/>
    <w:rsid w:val="004E617C"/>
    <w:rsid w:val="004E6296"/>
    <w:rsid w:val="004E6396"/>
    <w:rsid w:val="004E6C20"/>
    <w:rsid w:val="004E6C34"/>
    <w:rsid w:val="004E6EB0"/>
    <w:rsid w:val="004E7159"/>
    <w:rsid w:val="004E7B33"/>
    <w:rsid w:val="004E7BFC"/>
    <w:rsid w:val="004F0032"/>
    <w:rsid w:val="004F0342"/>
    <w:rsid w:val="004F0F2C"/>
    <w:rsid w:val="004F1472"/>
    <w:rsid w:val="004F16DF"/>
    <w:rsid w:val="004F1783"/>
    <w:rsid w:val="004F1B09"/>
    <w:rsid w:val="004F1BA3"/>
    <w:rsid w:val="004F1D59"/>
    <w:rsid w:val="004F1FF7"/>
    <w:rsid w:val="004F295E"/>
    <w:rsid w:val="004F29FD"/>
    <w:rsid w:val="004F2CDF"/>
    <w:rsid w:val="004F30BA"/>
    <w:rsid w:val="004F3149"/>
    <w:rsid w:val="004F364F"/>
    <w:rsid w:val="004F423A"/>
    <w:rsid w:val="004F45AA"/>
    <w:rsid w:val="004F4676"/>
    <w:rsid w:val="004F497A"/>
    <w:rsid w:val="004F4FDF"/>
    <w:rsid w:val="004F5411"/>
    <w:rsid w:val="004F5B25"/>
    <w:rsid w:val="004F5C7D"/>
    <w:rsid w:val="004F6078"/>
    <w:rsid w:val="004F639C"/>
    <w:rsid w:val="004F6862"/>
    <w:rsid w:val="004F76BF"/>
    <w:rsid w:val="004F7B72"/>
    <w:rsid w:val="004F7DA8"/>
    <w:rsid w:val="00500256"/>
    <w:rsid w:val="00500523"/>
    <w:rsid w:val="00500888"/>
    <w:rsid w:val="00500B16"/>
    <w:rsid w:val="00501043"/>
    <w:rsid w:val="00501240"/>
    <w:rsid w:val="005012D2"/>
    <w:rsid w:val="00501AC6"/>
    <w:rsid w:val="00502226"/>
    <w:rsid w:val="00502520"/>
    <w:rsid w:val="00502DB0"/>
    <w:rsid w:val="0050335C"/>
    <w:rsid w:val="005042C0"/>
    <w:rsid w:val="00504875"/>
    <w:rsid w:val="00504A53"/>
    <w:rsid w:val="00504AC1"/>
    <w:rsid w:val="00504E74"/>
    <w:rsid w:val="00505433"/>
    <w:rsid w:val="0050560E"/>
    <w:rsid w:val="0050566C"/>
    <w:rsid w:val="00505704"/>
    <w:rsid w:val="005059DB"/>
    <w:rsid w:val="00505FD8"/>
    <w:rsid w:val="00506112"/>
    <w:rsid w:val="005061D8"/>
    <w:rsid w:val="005063C4"/>
    <w:rsid w:val="005065CB"/>
    <w:rsid w:val="00507116"/>
    <w:rsid w:val="005071F7"/>
    <w:rsid w:val="0050746D"/>
    <w:rsid w:val="00507B11"/>
    <w:rsid w:val="00507C1A"/>
    <w:rsid w:val="00507DED"/>
    <w:rsid w:val="00507FDF"/>
    <w:rsid w:val="0051013A"/>
    <w:rsid w:val="005103E4"/>
    <w:rsid w:val="005105C0"/>
    <w:rsid w:val="00510D89"/>
    <w:rsid w:val="005115F0"/>
    <w:rsid w:val="00511EEE"/>
    <w:rsid w:val="00512D71"/>
    <w:rsid w:val="00512E3B"/>
    <w:rsid w:val="00512FCD"/>
    <w:rsid w:val="0051358D"/>
    <w:rsid w:val="005136A8"/>
    <w:rsid w:val="00513A4E"/>
    <w:rsid w:val="00513B65"/>
    <w:rsid w:val="00513DF9"/>
    <w:rsid w:val="0051440A"/>
    <w:rsid w:val="00515000"/>
    <w:rsid w:val="00515183"/>
    <w:rsid w:val="00515656"/>
    <w:rsid w:val="005157CF"/>
    <w:rsid w:val="005168DE"/>
    <w:rsid w:val="00516DC8"/>
    <w:rsid w:val="00517240"/>
    <w:rsid w:val="00517395"/>
    <w:rsid w:val="0051739A"/>
    <w:rsid w:val="005174D4"/>
    <w:rsid w:val="00517750"/>
    <w:rsid w:val="00517E7E"/>
    <w:rsid w:val="00517F79"/>
    <w:rsid w:val="00520477"/>
    <w:rsid w:val="00520ECA"/>
    <w:rsid w:val="00520FDF"/>
    <w:rsid w:val="00521388"/>
    <w:rsid w:val="005214C1"/>
    <w:rsid w:val="00521964"/>
    <w:rsid w:val="00521E07"/>
    <w:rsid w:val="00522E3F"/>
    <w:rsid w:val="005233F6"/>
    <w:rsid w:val="0052344E"/>
    <w:rsid w:val="00523495"/>
    <w:rsid w:val="00524A0D"/>
    <w:rsid w:val="005250B6"/>
    <w:rsid w:val="005252EF"/>
    <w:rsid w:val="00525507"/>
    <w:rsid w:val="005270BA"/>
    <w:rsid w:val="005271A4"/>
    <w:rsid w:val="005271B4"/>
    <w:rsid w:val="0052747D"/>
    <w:rsid w:val="005274DD"/>
    <w:rsid w:val="00527A17"/>
    <w:rsid w:val="00527C48"/>
    <w:rsid w:val="005300FE"/>
    <w:rsid w:val="0053044A"/>
    <w:rsid w:val="005304D0"/>
    <w:rsid w:val="0053055B"/>
    <w:rsid w:val="0053057C"/>
    <w:rsid w:val="00530AFA"/>
    <w:rsid w:val="00530E4D"/>
    <w:rsid w:val="00530FFD"/>
    <w:rsid w:val="005310E2"/>
    <w:rsid w:val="00531463"/>
    <w:rsid w:val="00531A7A"/>
    <w:rsid w:val="0053202A"/>
    <w:rsid w:val="005323D1"/>
    <w:rsid w:val="005328DA"/>
    <w:rsid w:val="00532CCE"/>
    <w:rsid w:val="00532E91"/>
    <w:rsid w:val="005332FA"/>
    <w:rsid w:val="005334F5"/>
    <w:rsid w:val="00533BFA"/>
    <w:rsid w:val="005344F5"/>
    <w:rsid w:val="005348F7"/>
    <w:rsid w:val="005351FE"/>
    <w:rsid w:val="0053528E"/>
    <w:rsid w:val="005354AB"/>
    <w:rsid w:val="00535532"/>
    <w:rsid w:val="00535CD1"/>
    <w:rsid w:val="005360BC"/>
    <w:rsid w:val="0053621C"/>
    <w:rsid w:val="005366E8"/>
    <w:rsid w:val="00536757"/>
    <w:rsid w:val="0053789C"/>
    <w:rsid w:val="00537C3F"/>
    <w:rsid w:val="0054000D"/>
    <w:rsid w:val="0054002B"/>
    <w:rsid w:val="00540264"/>
    <w:rsid w:val="00540534"/>
    <w:rsid w:val="00540882"/>
    <w:rsid w:val="005408F9"/>
    <w:rsid w:val="00540CB7"/>
    <w:rsid w:val="00540DE0"/>
    <w:rsid w:val="005414BD"/>
    <w:rsid w:val="00542555"/>
    <w:rsid w:val="00542711"/>
    <w:rsid w:val="00542D08"/>
    <w:rsid w:val="005434A9"/>
    <w:rsid w:val="005435A4"/>
    <w:rsid w:val="00544375"/>
    <w:rsid w:val="005448FC"/>
    <w:rsid w:val="00544CC1"/>
    <w:rsid w:val="00546021"/>
    <w:rsid w:val="005465A0"/>
    <w:rsid w:val="005469ED"/>
    <w:rsid w:val="00550281"/>
    <w:rsid w:val="00550977"/>
    <w:rsid w:val="0055097B"/>
    <w:rsid w:val="00550F5B"/>
    <w:rsid w:val="00551836"/>
    <w:rsid w:val="00551A5E"/>
    <w:rsid w:val="00551B85"/>
    <w:rsid w:val="0055288B"/>
    <w:rsid w:val="00552A9A"/>
    <w:rsid w:val="0055385D"/>
    <w:rsid w:val="00553886"/>
    <w:rsid w:val="00553FA5"/>
    <w:rsid w:val="0055489C"/>
    <w:rsid w:val="005549AB"/>
    <w:rsid w:val="005549D1"/>
    <w:rsid w:val="00554FC7"/>
    <w:rsid w:val="0055553A"/>
    <w:rsid w:val="005556C0"/>
    <w:rsid w:val="005557EE"/>
    <w:rsid w:val="00555C2D"/>
    <w:rsid w:val="00555F7B"/>
    <w:rsid w:val="00556442"/>
    <w:rsid w:val="00556D4F"/>
    <w:rsid w:val="00560000"/>
    <w:rsid w:val="005605F8"/>
    <w:rsid w:val="0056174F"/>
    <w:rsid w:val="005618C8"/>
    <w:rsid w:val="00561AC0"/>
    <w:rsid w:val="00562286"/>
    <w:rsid w:val="005628D4"/>
    <w:rsid w:val="00562DF0"/>
    <w:rsid w:val="00563072"/>
    <w:rsid w:val="005631F0"/>
    <w:rsid w:val="00563525"/>
    <w:rsid w:val="005638C4"/>
    <w:rsid w:val="00563AC8"/>
    <w:rsid w:val="00563ED9"/>
    <w:rsid w:val="005643E5"/>
    <w:rsid w:val="0056456A"/>
    <w:rsid w:val="00564A22"/>
    <w:rsid w:val="00564F74"/>
    <w:rsid w:val="0056529A"/>
    <w:rsid w:val="00565F63"/>
    <w:rsid w:val="00566693"/>
    <w:rsid w:val="005669FA"/>
    <w:rsid w:val="00566BB9"/>
    <w:rsid w:val="005672F9"/>
    <w:rsid w:val="0056795A"/>
    <w:rsid w:val="00567BC3"/>
    <w:rsid w:val="00567D31"/>
    <w:rsid w:val="00567D9A"/>
    <w:rsid w:val="00570140"/>
    <w:rsid w:val="00570304"/>
    <w:rsid w:val="005705D3"/>
    <w:rsid w:val="00571F4A"/>
    <w:rsid w:val="00572018"/>
    <w:rsid w:val="00572646"/>
    <w:rsid w:val="00572B43"/>
    <w:rsid w:val="005737BB"/>
    <w:rsid w:val="00574245"/>
    <w:rsid w:val="0057430C"/>
    <w:rsid w:val="0057512D"/>
    <w:rsid w:val="005754FE"/>
    <w:rsid w:val="00575563"/>
    <w:rsid w:val="00575801"/>
    <w:rsid w:val="00575992"/>
    <w:rsid w:val="0057607E"/>
    <w:rsid w:val="005761A3"/>
    <w:rsid w:val="0057646A"/>
    <w:rsid w:val="005768BA"/>
    <w:rsid w:val="005768C5"/>
    <w:rsid w:val="00576F64"/>
    <w:rsid w:val="00576FF1"/>
    <w:rsid w:val="005773F4"/>
    <w:rsid w:val="00577732"/>
    <w:rsid w:val="0057783B"/>
    <w:rsid w:val="00577A74"/>
    <w:rsid w:val="0058088C"/>
    <w:rsid w:val="00580991"/>
    <w:rsid w:val="00580A30"/>
    <w:rsid w:val="00580CC4"/>
    <w:rsid w:val="005811FE"/>
    <w:rsid w:val="00581286"/>
    <w:rsid w:val="005815F3"/>
    <w:rsid w:val="00581D51"/>
    <w:rsid w:val="005828A4"/>
    <w:rsid w:val="0058325C"/>
    <w:rsid w:val="0058333B"/>
    <w:rsid w:val="0058340D"/>
    <w:rsid w:val="00583527"/>
    <w:rsid w:val="00583A37"/>
    <w:rsid w:val="00583AD5"/>
    <w:rsid w:val="00584048"/>
    <w:rsid w:val="005840C9"/>
    <w:rsid w:val="00584314"/>
    <w:rsid w:val="0058464F"/>
    <w:rsid w:val="005846BE"/>
    <w:rsid w:val="00584B59"/>
    <w:rsid w:val="00584B67"/>
    <w:rsid w:val="00585072"/>
    <w:rsid w:val="0058518D"/>
    <w:rsid w:val="00585B93"/>
    <w:rsid w:val="00585C98"/>
    <w:rsid w:val="00585CEC"/>
    <w:rsid w:val="00585CED"/>
    <w:rsid w:val="005863FD"/>
    <w:rsid w:val="00586A12"/>
    <w:rsid w:val="00586FBF"/>
    <w:rsid w:val="00587045"/>
    <w:rsid w:val="0058718C"/>
    <w:rsid w:val="005878C6"/>
    <w:rsid w:val="00587946"/>
    <w:rsid w:val="00587B2C"/>
    <w:rsid w:val="00587C5F"/>
    <w:rsid w:val="005900B9"/>
    <w:rsid w:val="005900C3"/>
    <w:rsid w:val="00590121"/>
    <w:rsid w:val="005906C7"/>
    <w:rsid w:val="00590864"/>
    <w:rsid w:val="00590D77"/>
    <w:rsid w:val="005911E3"/>
    <w:rsid w:val="00591FC3"/>
    <w:rsid w:val="0059304A"/>
    <w:rsid w:val="00593509"/>
    <w:rsid w:val="0059441F"/>
    <w:rsid w:val="00594EDD"/>
    <w:rsid w:val="00595238"/>
    <w:rsid w:val="00595483"/>
    <w:rsid w:val="0059551C"/>
    <w:rsid w:val="00595C50"/>
    <w:rsid w:val="00595D92"/>
    <w:rsid w:val="0059605D"/>
    <w:rsid w:val="005961F0"/>
    <w:rsid w:val="00596573"/>
    <w:rsid w:val="005965AD"/>
    <w:rsid w:val="005965FF"/>
    <w:rsid w:val="0059660C"/>
    <w:rsid w:val="0059682F"/>
    <w:rsid w:val="0059704A"/>
    <w:rsid w:val="00597090"/>
    <w:rsid w:val="00597439"/>
    <w:rsid w:val="00597C24"/>
    <w:rsid w:val="005A0782"/>
    <w:rsid w:val="005A0AEE"/>
    <w:rsid w:val="005A0F85"/>
    <w:rsid w:val="005A1921"/>
    <w:rsid w:val="005A1BB4"/>
    <w:rsid w:val="005A201C"/>
    <w:rsid w:val="005A27E2"/>
    <w:rsid w:val="005A2809"/>
    <w:rsid w:val="005A28B7"/>
    <w:rsid w:val="005A2B5F"/>
    <w:rsid w:val="005A2C3A"/>
    <w:rsid w:val="005A2EB7"/>
    <w:rsid w:val="005A306D"/>
    <w:rsid w:val="005A319B"/>
    <w:rsid w:val="005A32E3"/>
    <w:rsid w:val="005A3BD6"/>
    <w:rsid w:val="005A3E87"/>
    <w:rsid w:val="005A44C1"/>
    <w:rsid w:val="005A4665"/>
    <w:rsid w:val="005A5150"/>
    <w:rsid w:val="005A5238"/>
    <w:rsid w:val="005A53D0"/>
    <w:rsid w:val="005A56A4"/>
    <w:rsid w:val="005A5AA3"/>
    <w:rsid w:val="005A5AF4"/>
    <w:rsid w:val="005A5F6C"/>
    <w:rsid w:val="005A638F"/>
    <w:rsid w:val="005A6514"/>
    <w:rsid w:val="005A65E7"/>
    <w:rsid w:val="005A7100"/>
    <w:rsid w:val="005A7268"/>
    <w:rsid w:val="005A7D76"/>
    <w:rsid w:val="005B0673"/>
    <w:rsid w:val="005B0B6C"/>
    <w:rsid w:val="005B187D"/>
    <w:rsid w:val="005B1F4C"/>
    <w:rsid w:val="005B228A"/>
    <w:rsid w:val="005B22C3"/>
    <w:rsid w:val="005B2982"/>
    <w:rsid w:val="005B33C2"/>
    <w:rsid w:val="005B459B"/>
    <w:rsid w:val="005B4B22"/>
    <w:rsid w:val="005B4C0E"/>
    <w:rsid w:val="005B4CFD"/>
    <w:rsid w:val="005B4DF1"/>
    <w:rsid w:val="005B5523"/>
    <w:rsid w:val="005B65C6"/>
    <w:rsid w:val="005B680A"/>
    <w:rsid w:val="005B6AE8"/>
    <w:rsid w:val="005B6D77"/>
    <w:rsid w:val="005B71A4"/>
    <w:rsid w:val="005B732B"/>
    <w:rsid w:val="005B739C"/>
    <w:rsid w:val="005B79E4"/>
    <w:rsid w:val="005B79FE"/>
    <w:rsid w:val="005B7CA2"/>
    <w:rsid w:val="005B7F4E"/>
    <w:rsid w:val="005C0766"/>
    <w:rsid w:val="005C07C3"/>
    <w:rsid w:val="005C0874"/>
    <w:rsid w:val="005C0E6B"/>
    <w:rsid w:val="005C142A"/>
    <w:rsid w:val="005C18E4"/>
    <w:rsid w:val="005C1D42"/>
    <w:rsid w:val="005C21E4"/>
    <w:rsid w:val="005C2246"/>
    <w:rsid w:val="005C2273"/>
    <w:rsid w:val="005C22B8"/>
    <w:rsid w:val="005C2842"/>
    <w:rsid w:val="005C2C7D"/>
    <w:rsid w:val="005C2DEA"/>
    <w:rsid w:val="005C3462"/>
    <w:rsid w:val="005C38A5"/>
    <w:rsid w:val="005C3C95"/>
    <w:rsid w:val="005C434B"/>
    <w:rsid w:val="005C43F0"/>
    <w:rsid w:val="005C454E"/>
    <w:rsid w:val="005C4B15"/>
    <w:rsid w:val="005C503D"/>
    <w:rsid w:val="005C5789"/>
    <w:rsid w:val="005C6011"/>
    <w:rsid w:val="005C61E5"/>
    <w:rsid w:val="005C621A"/>
    <w:rsid w:val="005C62A5"/>
    <w:rsid w:val="005C6556"/>
    <w:rsid w:val="005C67CE"/>
    <w:rsid w:val="005C6C8D"/>
    <w:rsid w:val="005C6DF3"/>
    <w:rsid w:val="005C7025"/>
    <w:rsid w:val="005C75B7"/>
    <w:rsid w:val="005C7AB4"/>
    <w:rsid w:val="005D01FD"/>
    <w:rsid w:val="005D07B3"/>
    <w:rsid w:val="005D0DF7"/>
    <w:rsid w:val="005D13FA"/>
    <w:rsid w:val="005D1EBE"/>
    <w:rsid w:val="005D263E"/>
    <w:rsid w:val="005D284A"/>
    <w:rsid w:val="005D2AD4"/>
    <w:rsid w:val="005D2F60"/>
    <w:rsid w:val="005D3114"/>
    <w:rsid w:val="005D32A6"/>
    <w:rsid w:val="005D3504"/>
    <w:rsid w:val="005D351A"/>
    <w:rsid w:val="005D3D10"/>
    <w:rsid w:val="005D3DB0"/>
    <w:rsid w:val="005D400A"/>
    <w:rsid w:val="005D4358"/>
    <w:rsid w:val="005D45E4"/>
    <w:rsid w:val="005D469A"/>
    <w:rsid w:val="005D4C81"/>
    <w:rsid w:val="005D4F64"/>
    <w:rsid w:val="005D54B1"/>
    <w:rsid w:val="005D54BD"/>
    <w:rsid w:val="005D55BE"/>
    <w:rsid w:val="005D578C"/>
    <w:rsid w:val="005D57E1"/>
    <w:rsid w:val="005D5DC2"/>
    <w:rsid w:val="005D5E89"/>
    <w:rsid w:val="005D6057"/>
    <w:rsid w:val="005D620A"/>
    <w:rsid w:val="005D632B"/>
    <w:rsid w:val="005D65C4"/>
    <w:rsid w:val="005D681D"/>
    <w:rsid w:val="005D7012"/>
    <w:rsid w:val="005D729D"/>
    <w:rsid w:val="005D730D"/>
    <w:rsid w:val="005D7BAB"/>
    <w:rsid w:val="005E020A"/>
    <w:rsid w:val="005E020B"/>
    <w:rsid w:val="005E0926"/>
    <w:rsid w:val="005E099B"/>
    <w:rsid w:val="005E0A75"/>
    <w:rsid w:val="005E0B99"/>
    <w:rsid w:val="005E132C"/>
    <w:rsid w:val="005E1536"/>
    <w:rsid w:val="005E1A3A"/>
    <w:rsid w:val="005E2C00"/>
    <w:rsid w:val="005E390E"/>
    <w:rsid w:val="005E3A82"/>
    <w:rsid w:val="005E3EF9"/>
    <w:rsid w:val="005E437D"/>
    <w:rsid w:val="005E43C2"/>
    <w:rsid w:val="005E479A"/>
    <w:rsid w:val="005E4A8B"/>
    <w:rsid w:val="005E4F78"/>
    <w:rsid w:val="005E5163"/>
    <w:rsid w:val="005E51E7"/>
    <w:rsid w:val="005E617A"/>
    <w:rsid w:val="005E6193"/>
    <w:rsid w:val="005E6EA8"/>
    <w:rsid w:val="005E789C"/>
    <w:rsid w:val="005F049B"/>
    <w:rsid w:val="005F04DD"/>
    <w:rsid w:val="005F0AFE"/>
    <w:rsid w:val="005F0B33"/>
    <w:rsid w:val="005F0C66"/>
    <w:rsid w:val="005F0CAF"/>
    <w:rsid w:val="005F13D8"/>
    <w:rsid w:val="005F176F"/>
    <w:rsid w:val="005F1928"/>
    <w:rsid w:val="005F242A"/>
    <w:rsid w:val="005F3C33"/>
    <w:rsid w:val="005F3CC4"/>
    <w:rsid w:val="005F4273"/>
    <w:rsid w:val="005F488E"/>
    <w:rsid w:val="005F4DF7"/>
    <w:rsid w:val="005F53B9"/>
    <w:rsid w:val="005F5DD1"/>
    <w:rsid w:val="005F5E43"/>
    <w:rsid w:val="005F6795"/>
    <w:rsid w:val="005F67CD"/>
    <w:rsid w:val="005F70FC"/>
    <w:rsid w:val="005F7130"/>
    <w:rsid w:val="005F7D11"/>
    <w:rsid w:val="006004B9"/>
    <w:rsid w:val="0060064B"/>
    <w:rsid w:val="0060064C"/>
    <w:rsid w:val="00600A32"/>
    <w:rsid w:val="00600BE9"/>
    <w:rsid w:val="006011A8"/>
    <w:rsid w:val="0060183E"/>
    <w:rsid w:val="00601C8F"/>
    <w:rsid w:val="0060229D"/>
    <w:rsid w:val="00602CDA"/>
    <w:rsid w:val="00603DB9"/>
    <w:rsid w:val="00604790"/>
    <w:rsid w:val="00604857"/>
    <w:rsid w:val="00604AAB"/>
    <w:rsid w:val="0060566F"/>
    <w:rsid w:val="0060648C"/>
    <w:rsid w:val="0060775A"/>
    <w:rsid w:val="00607A93"/>
    <w:rsid w:val="00607BA5"/>
    <w:rsid w:val="00610AA5"/>
    <w:rsid w:val="00610AC6"/>
    <w:rsid w:val="00610AF7"/>
    <w:rsid w:val="00611451"/>
    <w:rsid w:val="006114DE"/>
    <w:rsid w:val="006117FB"/>
    <w:rsid w:val="0061185D"/>
    <w:rsid w:val="00611C6C"/>
    <w:rsid w:val="0061218C"/>
    <w:rsid w:val="006124FC"/>
    <w:rsid w:val="00612540"/>
    <w:rsid w:val="006128AD"/>
    <w:rsid w:val="00612B4A"/>
    <w:rsid w:val="00612B76"/>
    <w:rsid w:val="00612B9D"/>
    <w:rsid w:val="006134C7"/>
    <w:rsid w:val="00613803"/>
    <w:rsid w:val="0061456F"/>
    <w:rsid w:val="00614867"/>
    <w:rsid w:val="0061557F"/>
    <w:rsid w:val="006159B0"/>
    <w:rsid w:val="006159C3"/>
    <w:rsid w:val="0061640A"/>
    <w:rsid w:val="006168B7"/>
    <w:rsid w:val="006170C8"/>
    <w:rsid w:val="006170F2"/>
    <w:rsid w:val="0061734D"/>
    <w:rsid w:val="0061776A"/>
    <w:rsid w:val="00617A02"/>
    <w:rsid w:val="00620391"/>
    <w:rsid w:val="006208A8"/>
    <w:rsid w:val="00620EAC"/>
    <w:rsid w:val="00620FD2"/>
    <w:rsid w:val="006210B3"/>
    <w:rsid w:val="00621981"/>
    <w:rsid w:val="00622A75"/>
    <w:rsid w:val="00622BF5"/>
    <w:rsid w:val="00622CDB"/>
    <w:rsid w:val="00623516"/>
    <w:rsid w:val="0062375E"/>
    <w:rsid w:val="00624693"/>
    <w:rsid w:val="00624AE8"/>
    <w:rsid w:val="00624B82"/>
    <w:rsid w:val="00624E91"/>
    <w:rsid w:val="0062591F"/>
    <w:rsid w:val="006268A8"/>
    <w:rsid w:val="00626C14"/>
    <w:rsid w:val="00626EB2"/>
    <w:rsid w:val="00627622"/>
    <w:rsid w:val="00627DAD"/>
    <w:rsid w:val="00627FB4"/>
    <w:rsid w:val="00630169"/>
    <w:rsid w:val="006309C6"/>
    <w:rsid w:val="00630AD8"/>
    <w:rsid w:val="00630CBA"/>
    <w:rsid w:val="00630E80"/>
    <w:rsid w:val="0063107B"/>
    <w:rsid w:val="00631176"/>
    <w:rsid w:val="00631A7E"/>
    <w:rsid w:val="00631AF0"/>
    <w:rsid w:val="00631B4B"/>
    <w:rsid w:val="0063203E"/>
    <w:rsid w:val="00632067"/>
    <w:rsid w:val="0063209D"/>
    <w:rsid w:val="0063243E"/>
    <w:rsid w:val="00632642"/>
    <w:rsid w:val="006327B6"/>
    <w:rsid w:val="006330EF"/>
    <w:rsid w:val="006339A4"/>
    <w:rsid w:val="00633B61"/>
    <w:rsid w:val="006340D6"/>
    <w:rsid w:val="0063422F"/>
    <w:rsid w:val="006347B3"/>
    <w:rsid w:val="00634D43"/>
    <w:rsid w:val="006350EC"/>
    <w:rsid w:val="0063517B"/>
    <w:rsid w:val="006352DE"/>
    <w:rsid w:val="006359A6"/>
    <w:rsid w:val="00635A3F"/>
    <w:rsid w:val="00635EAF"/>
    <w:rsid w:val="00636979"/>
    <w:rsid w:val="00636E15"/>
    <w:rsid w:val="0063702F"/>
    <w:rsid w:val="006371DA"/>
    <w:rsid w:val="00637268"/>
    <w:rsid w:val="00640666"/>
    <w:rsid w:val="00640DF6"/>
    <w:rsid w:val="006415E4"/>
    <w:rsid w:val="00641D2F"/>
    <w:rsid w:val="00642074"/>
    <w:rsid w:val="0064218C"/>
    <w:rsid w:val="00642438"/>
    <w:rsid w:val="00642582"/>
    <w:rsid w:val="006427F6"/>
    <w:rsid w:val="00642CD0"/>
    <w:rsid w:val="00643186"/>
    <w:rsid w:val="006433B9"/>
    <w:rsid w:val="00643629"/>
    <w:rsid w:val="006438B8"/>
    <w:rsid w:val="00643A96"/>
    <w:rsid w:val="00643B22"/>
    <w:rsid w:val="00643B4F"/>
    <w:rsid w:val="00643D18"/>
    <w:rsid w:val="00644480"/>
    <w:rsid w:val="006449B9"/>
    <w:rsid w:val="0064575C"/>
    <w:rsid w:val="00645998"/>
    <w:rsid w:val="00646204"/>
    <w:rsid w:val="0064668F"/>
    <w:rsid w:val="00646726"/>
    <w:rsid w:val="006467BE"/>
    <w:rsid w:val="0064706E"/>
    <w:rsid w:val="00647137"/>
    <w:rsid w:val="006473F3"/>
    <w:rsid w:val="00647DEA"/>
    <w:rsid w:val="00647EF6"/>
    <w:rsid w:val="00650221"/>
    <w:rsid w:val="0065025A"/>
    <w:rsid w:val="006505EE"/>
    <w:rsid w:val="0065064E"/>
    <w:rsid w:val="00650BB9"/>
    <w:rsid w:val="006515C2"/>
    <w:rsid w:val="006517A2"/>
    <w:rsid w:val="00651C37"/>
    <w:rsid w:val="006520AF"/>
    <w:rsid w:val="006521AE"/>
    <w:rsid w:val="00652C97"/>
    <w:rsid w:val="00653105"/>
    <w:rsid w:val="006532D7"/>
    <w:rsid w:val="00653302"/>
    <w:rsid w:val="0065353C"/>
    <w:rsid w:val="0065356B"/>
    <w:rsid w:val="0065374D"/>
    <w:rsid w:val="0065381E"/>
    <w:rsid w:val="00653898"/>
    <w:rsid w:val="00653DF3"/>
    <w:rsid w:val="00653ECB"/>
    <w:rsid w:val="00654067"/>
    <w:rsid w:val="00654475"/>
    <w:rsid w:val="0065459C"/>
    <w:rsid w:val="006547B8"/>
    <w:rsid w:val="00654DFF"/>
    <w:rsid w:val="00654E28"/>
    <w:rsid w:val="00655CB9"/>
    <w:rsid w:val="00655D6D"/>
    <w:rsid w:val="00655EA5"/>
    <w:rsid w:val="006560DE"/>
    <w:rsid w:val="0065630B"/>
    <w:rsid w:val="0065652A"/>
    <w:rsid w:val="00656652"/>
    <w:rsid w:val="00656A96"/>
    <w:rsid w:val="0065718D"/>
    <w:rsid w:val="00657238"/>
    <w:rsid w:val="006574AA"/>
    <w:rsid w:val="00657891"/>
    <w:rsid w:val="00657A1A"/>
    <w:rsid w:val="00657A1E"/>
    <w:rsid w:val="00660180"/>
    <w:rsid w:val="00660882"/>
    <w:rsid w:val="00660ABB"/>
    <w:rsid w:val="0066145F"/>
    <w:rsid w:val="006618EB"/>
    <w:rsid w:val="00662103"/>
    <w:rsid w:val="006623DF"/>
    <w:rsid w:val="0066265D"/>
    <w:rsid w:val="00662AB5"/>
    <w:rsid w:val="006630C6"/>
    <w:rsid w:val="00663230"/>
    <w:rsid w:val="006632AC"/>
    <w:rsid w:val="00663342"/>
    <w:rsid w:val="00663CA5"/>
    <w:rsid w:val="0066401B"/>
    <w:rsid w:val="006644E0"/>
    <w:rsid w:val="00664672"/>
    <w:rsid w:val="00664B51"/>
    <w:rsid w:val="0066521D"/>
    <w:rsid w:val="0066524B"/>
    <w:rsid w:val="0066546B"/>
    <w:rsid w:val="00665922"/>
    <w:rsid w:val="00665E01"/>
    <w:rsid w:val="00665E14"/>
    <w:rsid w:val="00665F80"/>
    <w:rsid w:val="00666274"/>
    <w:rsid w:val="0066627F"/>
    <w:rsid w:val="0066645A"/>
    <w:rsid w:val="0066677B"/>
    <w:rsid w:val="00666EE4"/>
    <w:rsid w:val="00667745"/>
    <w:rsid w:val="00667F3A"/>
    <w:rsid w:val="00670015"/>
    <w:rsid w:val="006700A2"/>
    <w:rsid w:val="0067077B"/>
    <w:rsid w:val="0067098A"/>
    <w:rsid w:val="006710E1"/>
    <w:rsid w:val="00671255"/>
    <w:rsid w:val="00671A91"/>
    <w:rsid w:val="00671D68"/>
    <w:rsid w:val="00671D87"/>
    <w:rsid w:val="00671EC1"/>
    <w:rsid w:val="0067235E"/>
    <w:rsid w:val="00672630"/>
    <w:rsid w:val="00672DA2"/>
    <w:rsid w:val="006733A0"/>
    <w:rsid w:val="006734E1"/>
    <w:rsid w:val="0067358D"/>
    <w:rsid w:val="00673AF4"/>
    <w:rsid w:val="00674260"/>
    <w:rsid w:val="00674506"/>
    <w:rsid w:val="0067486C"/>
    <w:rsid w:val="00674B58"/>
    <w:rsid w:val="00675192"/>
    <w:rsid w:val="00675663"/>
    <w:rsid w:val="00675B9F"/>
    <w:rsid w:val="00675C4C"/>
    <w:rsid w:val="0067615B"/>
    <w:rsid w:val="006767EC"/>
    <w:rsid w:val="006779DE"/>
    <w:rsid w:val="00677BFC"/>
    <w:rsid w:val="00680318"/>
    <w:rsid w:val="00680DA6"/>
    <w:rsid w:val="006816CF"/>
    <w:rsid w:val="00681C69"/>
    <w:rsid w:val="006823DA"/>
    <w:rsid w:val="00682632"/>
    <w:rsid w:val="006826BA"/>
    <w:rsid w:val="00682E26"/>
    <w:rsid w:val="006839ED"/>
    <w:rsid w:val="00683F38"/>
    <w:rsid w:val="006843D7"/>
    <w:rsid w:val="006845A6"/>
    <w:rsid w:val="00684648"/>
    <w:rsid w:val="00684868"/>
    <w:rsid w:val="00684A3E"/>
    <w:rsid w:val="00684C7B"/>
    <w:rsid w:val="0068507D"/>
    <w:rsid w:val="006853C1"/>
    <w:rsid w:val="00685DA8"/>
    <w:rsid w:val="00686008"/>
    <w:rsid w:val="006861BA"/>
    <w:rsid w:val="006866D8"/>
    <w:rsid w:val="00686EFE"/>
    <w:rsid w:val="00687ECD"/>
    <w:rsid w:val="00687FE6"/>
    <w:rsid w:val="006903E9"/>
    <w:rsid w:val="00690862"/>
    <w:rsid w:val="00690987"/>
    <w:rsid w:val="0069124B"/>
    <w:rsid w:val="006914A7"/>
    <w:rsid w:val="006919FC"/>
    <w:rsid w:val="00691A56"/>
    <w:rsid w:val="006921AC"/>
    <w:rsid w:val="006926EB"/>
    <w:rsid w:val="00692744"/>
    <w:rsid w:val="00692E6A"/>
    <w:rsid w:val="00692EA4"/>
    <w:rsid w:val="00693104"/>
    <w:rsid w:val="0069322D"/>
    <w:rsid w:val="00693293"/>
    <w:rsid w:val="0069335B"/>
    <w:rsid w:val="006934BD"/>
    <w:rsid w:val="006934F5"/>
    <w:rsid w:val="0069390E"/>
    <w:rsid w:val="00693C1C"/>
    <w:rsid w:val="00694D72"/>
    <w:rsid w:val="006951B5"/>
    <w:rsid w:val="0069530E"/>
    <w:rsid w:val="006956BE"/>
    <w:rsid w:val="00695BE7"/>
    <w:rsid w:val="00696730"/>
    <w:rsid w:val="0069681D"/>
    <w:rsid w:val="00696828"/>
    <w:rsid w:val="00696997"/>
    <w:rsid w:val="00696D96"/>
    <w:rsid w:val="00696F75"/>
    <w:rsid w:val="00697178"/>
    <w:rsid w:val="0069748D"/>
    <w:rsid w:val="00697E8E"/>
    <w:rsid w:val="006A0A30"/>
    <w:rsid w:val="006A0C89"/>
    <w:rsid w:val="006A0DF3"/>
    <w:rsid w:val="006A165A"/>
    <w:rsid w:val="006A1968"/>
    <w:rsid w:val="006A1EDA"/>
    <w:rsid w:val="006A1EF1"/>
    <w:rsid w:val="006A2780"/>
    <w:rsid w:val="006A30D6"/>
    <w:rsid w:val="006A324B"/>
    <w:rsid w:val="006A33A5"/>
    <w:rsid w:val="006A342B"/>
    <w:rsid w:val="006A3750"/>
    <w:rsid w:val="006A3B21"/>
    <w:rsid w:val="006A4304"/>
    <w:rsid w:val="006A4439"/>
    <w:rsid w:val="006A469C"/>
    <w:rsid w:val="006A4AD7"/>
    <w:rsid w:val="006A4C0C"/>
    <w:rsid w:val="006A525A"/>
    <w:rsid w:val="006A58E6"/>
    <w:rsid w:val="006A5AA4"/>
    <w:rsid w:val="006A6564"/>
    <w:rsid w:val="006A6877"/>
    <w:rsid w:val="006A6A73"/>
    <w:rsid w:val="006A6E45"/>
    <w:rsid w:val="006A7038"/>
    <w:rsid w:val="006A7244"/>
    <w:rsid w:val="006A7454"/>
    <w:rsid w:val="006A74E4"/>
    <w:rsid w:val="006A76CB"/>
    <w:rsid w:val="006A7D26"/>
    <w:rsid w:val="006A7FB7"/>
    <w:rsid w:val="006B0002"/>
    <w:rsid w:val="006B034E"/>
    <w:rsid w:val="006B0B44"/>
    <w:rsid w:val="006B0ECD"/>
    <w:rsid w:val="006B10D8"/>
    <w:rsid w:val="006B15C1"/>
    <w:rsid w:val="006B16DA"/>
    <w:rsid w:val="006B1A7A"/>
    <w:rsid w:val="006B1AF8"/>
    <w:rsid w:val="006B1F91"/>
    <w:rsid w:val="006B214C"/>
    <w:rsid w:val="006B215D"/>
    <w:rsid w:val="006B232D"/>
    <w:rsid w:val="006B255C"/>
    <w:rsid w:val="006B2711"/>
    <w:rsid w:val="006B2A2C"/>
    <w:rsid w:val="006B2D76"/>
    <w:rsid w:val="006B2FE9"/>
    <w:rsid w:val="006B31D7"/>
    <w:rsid w:val="006B3942"/>
    <w:rsid w:val="006B3A61"/>
    <w:rsid w:val="006B4739"/>
    <w:rsid w:val="006B484F"/>
    <w:rsid w:val="006B4A2D"/>
    <w:rsid w:val="006B5123"/>
    <w:rsid w:val="006B54BF"/>
    <w:rsid w:val="006B57F7"/>
    <w:rsid w:val="006B581F"/>
    <w:rsid w:val="006B5D44"/>
    <w:rsid w:val="006B61FF"/>
    <w:rsid w:val="006B6B9B"/>
    <w:rsid w:val="006B71A1"/>
    <w:rsid w:val="006B7500"/>
    <w:rsid w:val="006B7869"/>
    <w:rsid w:val="006C0100"/>
    <w:rsid w:val="006C1527"/>
    <w:rsid w:val="006C160C"/>
    <w:rsid w:val="006C1F09"/>
    <w:rsid w:val="006C2193"/>
    <w:rsid w:val="006C25B1"/>
    <w:rsid w:val="006C2742"/>
    <w:rsid w:val="006C28A9"/>
    <w:rsid w:val="006C301D"/>
    <w:rsid w:val="006C360B"/>
    <w:rsid w:val="006C37CE"/>
    <w:rsid w:val="006C3873"/>
    <w:rsid w:val="006C3885"/>
    <w:rsid w:val="006C3BD2"/>
    <w:rsid w:val="006C40E0"/>
    <w:rsid w:val="006C4123"/>
    <w:rsid w:val="006C4AFE"/>
    <w:rsid w:val="006C515D"/>
    <w:rsid w:val="006C529D"/>
    <w:rsid w:val="006C5496"/>
    <w:rsid w:val="006C5626"/>
    <w:rsid w:val="006C5873"/>
    <w:rsid w:val="006C58F4"/>
    <w:rsid w:val="006C59AF"/>
    <w:rsid w:val="006C5DE6"/>
    <w:rsid w:val="006C6346"/>
    <w:rsid w:val="006C70E5"/>
    <w:rsid w:val="006C7601"/>
    <w:rsid w:val="006C7F66"/>
    <w:rsid w:val="006D005E"/>
    <w:rsid w:val="006D011C"/>
    <w:rsid w:val="006D1191"/>
    <w:rsid w:val="006D1474"/>
    <w:rsid w:val="006D1681"/>
    <w:rsid w:val="006D1F20"/>
    <w:rsid w:val="006D202A"/>
    <w:rsid w:val="006D261D"/>
    <w:rsid w:val="006D27AE"/>
    <w:rsid w:val="006D2CD0"/>
    <w:rsid w:val="006D2E5B"/>
    <w:rsid w:val="006D2E7D"/>
    <w:rsid w:val="006D2F77"/>
    <w:rsid w:val="006D31B6"/>
    <w:rsid w:val="006D3AB9"/>
    <w:rsid w:val="006D3B69"/>
    <w:rsid w:val="006D3D1A"/>
    <w:rsid w:val="006D40F3"/>
    <w:rsid w:val="006D47C0"/>
    <w:rsid w:val="006D47E5"/>
    <w:rsid w:val="006D4C16"/>
    <w:rsid w:val="006D4E1B"/>
    <w:rsid w:val="006D50BE"/>
    <w:rsid w:val="006D5114"/>
    <w:rsid w:val="006D578A"/>
    <w:rsid w:val="006D59A4"/>
    <w:rsid w:val="006D6335"/>
    <w:rsid w:val="006D65B0"/>
    <w:rsid w:val="006D665C"/>
    <w:rsid w:val="006D6DFF"/>
    <w:rsid w:val="006D70C5"/>
    <w:rsid w:val="006D7170"/>
    <w:rsid w:val="006D7185"/>
    <w:rsid w:val="006D738E"/>
    <w:rsid w:val="006D7527"/>
    <w:rsid w:val="006D7541"/>
    <w:rsid w:val="006D755D"/>
    <w:rsid w:val="006D79B3"/>
    <w:rsid w:val="006D7F67"/>
    <w:rsid w:val="006E044F"/>
    <w:rsid w:val="006E0790"/>
    <w:rsid w:val="006E0914"/>
    <w:rsid w:val="006E0933"/>
    <w:rsid w:val="006E0AD0"/>
    <w:rsid w:val="006E0EC0"/>
    <w:rsid w:val="006E15FF"/>
    <w:rsid w:val="006E1E61"/>
    <w:rsid w:val="006E22C7"/>
    <w:rsid w:val="006E27A0"/>
    <w:rsid w:val="006E2DEC"/>
    <w:rsid w:val="006E2FAC"/>
    <w:rsid w:val="006E39C1"/>
    <w:rsid w:val="006E3FE9"/>
    <w:rsid w:val="006E4567"/>
    <w:rsid w:val="006E4A5A"/>
    <w:rsid w:val="006E506B"/>
    <w:rsid w:val="006E54D0"/>
    <w:rsid w:val="006E5852"/>
    <w:rsid w:val="006E5E70"/>
    <w:rsid w:val="006E63B1"/>
    <w:rsid w:val="006E6A6E"/>
    <w:rsid w:val="006E6E1E"/>
    <w:rsid w:val="006E753A"/>
    <w:rsid w:val="006E79A7"/>
    <w:rsid w:val="006F01F1"/>
    <w:rsid w:val="006F0B59"/>
    <w:rsid w:val="006F279C"/>
    <w:rsid w:val="006F296A"/>
    <w:rsid w:val="006F2B2A"/>
    <w:rsid w:val="006F321B"/>
    <w:rsid w:val="006F3564"/>
    <w:rsid w:val="006F35EC"/>
    <w:rsid w:val="006F365A"/>
    <w:rsid w:val="006F3A9D"/>
    <w:rsid w:val="006F3C6E"/>
    <w:rsid w:val="006F43D4"/>
    <w:rsid w:val="006F4C06"/>
    <w:rsid w:val="006F532D"/>
    <w:rsid w:val="006F5FAF"/>
    <w:rsid w:val="006F6322"/>
    <w:rsid w:val="006F687E"/>
    <w:rsid w:val="006F6941"/>
    <w:rsid w:val="006F6A29"/>
    <w:rsid w:val="006F6EA5"/>
    <w:rsid w:val="006F7103"/>
    <w:rsid w:val="006F7320"/>
    <w:rsid w:val="006F7363"/>
    <w:rsid w:val="006F78EC"/>
    <w:rsid w:val="006F7A57"/>
    <w:rsid w:val="006F7F1E"/>
    <w:rsid w:val="00700057"/>
    <w:rsid w:val="0070022E"/>
    <w:rsid w:val="0070026D"/>
    <w:rsid w:val="00700531"/>
    <w:rsid w:val="0070054D"/>
    <w:rsid w:val="0070086B"/>
    <w:rsid w:val="00700B72"/>
    <w:rsid w:val="00700DEB"/>
    <w:rsid w:val="007018AD"/>
    <w:rsid w:val="007025BA"/>
    <w:rsid w:val="00702914"/>
    <w:rsid w:val="00702ABC"/>
    <w:rsid w:val="00702AD3"/>
    <w:rsid w:val="00702F46"/>
    <w:rsid w:val="007030C7"/>
    <w:rsid w:val="0070333D"/>
    <w:rsid w:val="00703F11"/>
    <w:rsid w:val="00703F7C"/>
    <w:rsid w:val="00704207"/>
    <w:rsid w:val="00704321"/>
    <w:rsid w:val="0070461B"/>
    <w:rsid w:val="007046B8"/>
    <w:rsid w:val="007047BB"/>
    <w:rsid w:val="0070493C"/>
    <w:rsid w:val="00704BD7"/>
    <w:rsid w:val="00704C4D"/>
    <w:rsid w:val="00705621"/>
    <w:rsid w:val="00705D33"/>
    <w:rsid w:val="0070607F"/>
    <w:rsid w:val="007060B1"/>
    <w:rsid w:val="007063CB"/>
    <w:rsid w:val="00706919"/>
    <w:rsid w:val="00706A52"/>
    <w:rsid w:val="00706CB8"/>
    <w:rsid w:val="00706F7F"/>
    <w:rsid w:val="0070763A"/>
    <w:rsid w:val="00707C8C"/>
    <w:rsid w:val="007105A8"/>
    <w:rsid w:val="0071070F"/>
    <w:rsid w:val="00710F1B"/>
    <w:rsid w:val="0071128F"/>
    <w:rsid w:val="007115CF"/>
    <w:rsid w:val="00712444"/>
    <w:rsid w:val="00712C86"/>
    <w:rsid w:val="00712EFF"/>
    <w:rsid w:val="007137A3"/>
    <w:rsid w:val="0071381A"/>
    <w:rsid w:val="00713940"/>
    <w:rsid w:val="00713C55"/>
    <w:rsid w:val="007144B0"/>
    <w:rsid w:val="00714721"/>
    <w:rsid w:val="00714F59"/>
    <w:rsid w:val="00715363"/>
    <w:rsid w:val="0071538C"/>
    <w:rsid w:val="007155B1"/>
    <w:rsid w:val="0071576D"/>
    <w:rsid w:val="00715A98"/>
    <w:rsid w:val="00715BB5"/>
    <w:rsid w:val="00715C5B"/>
    <w:rsid w:val="00716C28"/>
    <w:rsid w:val="00716E92"/>
    <w:rsid w:val="00717D17"/>
    <w:rsid w:val="007203EE"/>
    <w:rsid w:val="007203FF"/>
    <w:rsid w:val="00720E4E"/>
    <w:rsid w:val="00720F97"/>
    <w:rsid w:val="00721291"/>
    <w:rsid w:val="00721659"/>
    <w:rsid w:val="00721844"/>
    <w:rsid w:val="007218F3"/>
    <w:rsid w:val="00721B7C"/>
    <w:rsid w:val="00721DAD"/>
    <w:rsid w:val="00722413"/>
    <w:rsid w:val="00722727"/>
    <w:rsid w:val="00722D63"/>
    <w:rsid w:val="007231D5"/>
    <w:rsid w:val="00723351"/>
    <w:rsid w:val="0072345D"/>
    <w:rsid w:val="0072367C"/>
    <w:rsid w:val="0072378E"/>
    <w:rsid w:val="00723F79"/>
    <w:rsid w:val="00724789"/>
    <w:rsid w:val="00724971"/>
    <w:rsid w:val="00724B39"/>
    <w:rsid w:val="00724D95"/>
    <w:rsid w:val="00724E21"/>
    <w:rsid w:val="0072502F"/>
    <w:rsid w:val="0072579E"/>
    <w:rsid w:val="007259C7"/>
    <w:rsid w:val="00725E50"/>
    <w:rsid w:val="0072604D"/>
    <w:rsid w:val="007262BB"/>
    <w:rsid w:val="00727168"/>
    <w:rsid w:val="007276B7"/>
    <w:rsid w:val="0072793A"/>
    <w:rsid w:val="0073000C"/>
    <w:rsid w:val="0073055A"/>
    <w:rsid w:val="00730D8B"/>
    <w:rsid w:val="0073143A"/>
    <w:rsid w:val="007317CC"/>
    <w:rsid w:val="007317DB"/>
    <w:rsid w:val="00731823"/>
    <w:rsid w:val="00731A87"/>
    <w:rsid w:val="00731FAF"/>
    <w:rsid w:val="0073203A"/>
    <w:rsid w:val="00732336"/>
    <w:rsid w:val="00732454"/>
    <w:rsid w:val="0073275A"/>
    <w:rsid w:val="007328EE"/>
    <w:rsid w:val="00732926"/>
    <w:rsid w:val="007329EC"/>
    <w:rsid w:val="00732ACB"/>
    <w:rsid w:val="00732D44"/>
    <w:rsid w:val="00732FEF"/>
    <w:rsid w:val="00733161"/>
    <w:rsid w:val="0073381D"/>
    <w:rsid w:val="007339DF"/>
    <w:rsid w:val="007343AD"/>
    <w:rsid w:val="0073450A"/>
    <w:rsid w:val="0073464F"/>
    <w:rsid w:val="007353DD"/>
    <w:rsid w:val="00735D12"/>
    <w:rsid w:val="00736001"/>
    <w:rsid w:val="0073607F"/>
    <w:rsid w:val="007361CC"/>
    <w:rsid w:val="007364D5"/>
    <w:rsid w:val="00736D04"/>
    <w:rsid w:val="00736F7F"/>
    <w:rsid w:val="00736FB2"/>
    <w:rsid w:val="007374FA"/>
    <w:rsid w:val="00740274"/>
    <w:rsid w:val="00740804"/>
    <w:rsid w:val="0074128D"/>
    <w:rsid w:val="00741932"/>
    <w:rsid w:val="00741CC4"/>
    <w:rsid w:val="00741E58"/>
    <w:rsid w:val="00741FC9"/>
    <w:rsid w:val="007421DD"/>
    <w:rsid w:val="0074221F"/>
    <w:rsid w:val="00742370"/>
    <w:rsid w:val="0074241C"/>
    <w:rsid w:val="0074244E"/>
    <w:rsid w:val="007425BB"/>
    <w:rsid w:val="00743197"/>
    <w:rsid w:val="007433DD"/>
    <w:rsid w:val="0074434E"/>
    <w:rsid w:val="007443AE"/>
    <w:rsid w:val="007443CA"/>
    <w:rsid w:val="0074528D"/>
    <w:rsid w:val="007453DF"/>
    <w:rsid w:val="00745492"/>
    <w:rsid w:val="007458C2"/>
    <w:rsid w:val="00746828"/>
    <w:rsid w:val="00746907"/>
    <w:rsid w:val="00747009"/>
    <w:rsid w:val="00747285"/>
    <w:rsid w:val="007478DB"/>
    <w:rsid w:val="00750205"/>
    <w:rsid w:val="0075049E"/>
    <w:rsid w:val="00750E34"/>
    <w:rsid w:val="0075101C"/>
    <w:rsid w:val="00751AA0"/>
    <w:rsid w:val="00751F31"/>
    <w:rsid w:val="00752DFF"/>
    <w:rsid w:val="00752FF6"/>
    <w:rsid w:val="00753286"/>
    <w:rsid w:val="00753E91"/>
    <w:rsid w:val="00754103"/>
    <w:rsid w:val="0075497C"/>
    <w:rsid w:val="007549A9"/>
    <w:rsid w:val="00754E98"/>
    <w:rsid w:val="007550BD"/>
    <w:rsid w:val="00755BA6"/>
    <w:rsid w:val="00756268"/>
    <w:rsid w:val="00756400"/>
    <w:rsid w:val="0075707E"/>
    <w:rsid w:val="007570A2"/>
    <w:rsid w:val="00757167"/>
    <w:rsid w:val="00757888"/>
    <w:rsid w:val="00757930"/>
    <w:rsid w:val="00757A55"/>
    <w:rsid w:val="00757C00"/>
    <w:rsid w:val="00757C8C"/>
    <w:rsid w:val="00757E4D"/>
    <w:rsid w:val="0076005A"/>
    <w:rsid w:val="00760138"/>
    <w:rsid w:val="0076110F"/>
    <w:rsid w:val="007626A4"/>
    <w:rsid w:val="00763576"/>
    <w:rsid w:val="007639F0"/>
    <w:rsid w:val="00763D6E"/>
    <w:rsid w:val="00764280"/>
    <w:rsid w:val="0076454D"/>
    <w:rsid w:val="00764937"/>
    <w:rsid w:val="00764DEE"/>
    <w:rsid w:val="00765570"/>
    <w:rsid w:val="00765CF8"/>
    <w:rsid w:val="00766AB4"/>
    <w:rsid w:val="00766DAE"/>
    <w:rsid w:val="0076739E"/>
    <w:rsid w:val="0076743F"/>
    <w:rsid w:val="00767933"/>
    <w:rsid w:val="00767CAA"/>
    <w:rsid w:val="00767EC7"/>
    <w:rsid w:val="00767EDC"/>
    <w:rsid w:val="00770593"/>
    <w:rsid w:val="00770B80"/>
    <w:rsid w:val="00770EB0"/>
    <w:rsid w:val="00771254"/>
    <w:rsid w:val="00771617"/>
    <w:rsid w:val="00771763"/>
    <w:rsid w:val="00771AA1"/>
    <w:rsid w:val="00771BEF"/>
    <w:rsid w:val="00771FA8"/>
    <w:rsid w:val="00772047"/>
    <w:rsid w:val="007721AD"/>
    <w:rsid w:val="0077257B"/>
    <w:rsid w:val="00772786"/>
    <w:rsid w:val="00772805"/>
    <w:rsid w:val="007728CC"/>
    <w:rsid w:val="00772D07"/>
    <w:rsid w:val="00773871"/>
    <w:rsid w:val="00773B2A"/>
    <w:rsid w:val="00773F8F"/>
    <w:rsid w:val="00774008"/>
    <w:rsid w:val="007743FF"/>
    <w:rsid w:val="0077447A"/>
    <w:rsid w:val="007744AE"/>
    <w:rsid w:val="00774750"/>
    <w:rsid w:val="007751CF"/>
    <w:rsid w:val="007756D3"/>
    <w:rsid w:val="00775A53"/>
    <w:rsid w:val="00777242"/>
    <w:rsid w:val="0077729E"/>
    <w:rsid w:val="00777399"/>
    <w:rsid w:val="00777495"/>
    <w:rsid w:val="00777525"/>
    <w:rsid w:val="00777527"/>
    <w:rsid w:val="007777E7"/>
    <w:rsid w:val="00777A60"/>
    <w:rsid w:val="00777AB6"/>
    <w:rsid w:val="00777ACD"/>
    <w:rsid w:val="00777C0C"/>
    <w:rsid w:val="00777C39"/>
    <w:rsid w:val="00777D68"/>
    <w:rsid w:val="00780177"/>
    <w:rsid w:val="007805BC"/>
    <w:rsid w:val="007808B1"/>
    <w:rsid w:val="00780AE0"/>
    <w:rsid w:val="00780C2D"/>
    <w:rsid w:val="00780E94"/>
    <w:rsid w:val="007820E0"/>
    <w:rsid w:val="00782258"/>
    <w:rsid w:val="007822D6"/>
    <w:rsid w:val="00782680"/>
    <w:rsid w:val="0078268C"/>
    <w:rsid w:val="00782DBD"/>
    <w:rsid w:val="00782E2C"/>
    <w:rsid w:val="007837DB"/>
    <w:rsid w:val="00783D85"/>
    <w:rsid w:val="00784EBC"/>
    <w:rsid w:val="00785B9A"/>
    <w:rsid w:val="00785E0A"/>
    <w:rsid w:val="00785ED7"/>
    <w:rsid w:val="00786425"/>
    <w:rsid w:val="0078674F"/>
    <w:rsid w:val="00786754"/>
    <w:rsid w:val="00786A4E"/>
    <w:rsid w:val="00786F1A"/>
    <w:rsid w:val="007870B6"/>
    <w:rsid w:val="00787694"/>
    <w:rsid w:val="00787E82"/>
    <w:rsid w:val="0079000A"/>
    <w:rsid w:val="00790DE4"/>
    <w:rsid w:val="007910B2"/>
    <w:rsid w:val="00791149"/>
    <w:rsid w:val="007922DD"/>
    <w:rsid w:val="0079328F"/>
    <w:rsid w:val="007933B3"/>
    <w:rsid w:val="00793869"/>
    <w:rsid w:val="007939A2"/>
    <w:rsid w:val="00793A0E"/>
    <w:rsid w:val="00794312"/>
    <w:rsid w:val="00794BB1"/>
    <w:rsid w:val="00794C3E"/>
    <w:rsid w:val="00795035"/>
    <w:rsid w:val="00795492"/>
    <w:rsid w:val="00795FE0"/>
    <w:rsid w:val="00796B1A"/>
    <w:rsid w:val="007A01E1"/>
    <w:rsid w:val="007A0224"/>
    <w:rsid w:val="007A08A2"/>
    <w:rsid w:val="007A0D86"/>
    <w:rsid w:val="007A1072"/>
    <w:rsid w:val="007A12AA"/>
    <w:rsid w:val="007A12DF"/>
    <w:rsid w:val="007A16E6"/>
    <w:rsid w:val="007A1E18"/>
    <w:rsid w:val="007A20CC"/>
    <w:rsid w:val="007A345B"/>
    <w:rsid w:val="007A34A8"/>
    <w:rsid w:val="007A36D9"/>
    <w:rsid w:val="007A4014"/>
    <w:rsid w:val="007A4090"/>
    <w:rsid w:val="007A410D"/>
    <w:rsid w:val="007A49FE"/>
    <w:rsid w:val="007A4D5D"/>
    <w:rsid w:val="007A4E4A"/>
    <w:rsid w:val="007A56F9"/>
    <w:rsid w:val="007A59A1"/>
    <w:rsid w:val="007A5D67"/>
    <w:rsid w:val="007A6B93"/>
    <w:rsid w:val="007A6BAF"/>
    <w:rsid w:val="007A6C73"/>
    <w:rsid w:val="007A6F15"/>
    <w:rsid w:val="007A6F9F"/>
    <w:rsid w:val="007A735A"/>
    <w:rsid w:val="007A7641"/>
    <w:rsid w:val="007A783B"/>
    <w:rsid w:val="007A7B8D"/>
    <w:rsid w:val="007A7F32"/>
    <w:rsid w:val="007B0047"/>
    <w:rsid w:val="007B02E1"/>
    <w:rsid w:val="007B0355"/>
    <w:rsid w:val="007B0533"/>
    <w:rsid w:val="007B0E1A"/>
    <w:rsid w:val="007B1558"/>
    <w:rsid w:val="007B17E5"/>
    <w:rsid w:val="007B184E"/>
    <w:rsid w:val="007B18AD"/>
    <w:rsid w:val="007B19A2"/>
    <w:rsid w:val="007B237F"/>
    <w:rsid w:val="007B2559"/>
    <w:rsid w:val="007B27CA"/>
    <w:rsid w:val="007B32D6"/>
    <w:rsid w:val="007B3F61"/>
    <w:rsid w:val="007B4A3F"/>
    <w:rsid w:val="007B4A72"/>
    <w:rsid w:val="007B4F46"/>
    <w:rsid w:val="007B5078"/>
    <w:rsid w:val="007B51A5"/>
    <w:rsid w:val="007B5347"/>
    <w:rsid w:val="007B542D"/>
    <w:rsid w:val="007B553B"/>
    <w:rsid w:val="007B553C"/>
    <w:rsid w:val="007B575F"/>
    <w:rsid w:val="007B5D8A"/>
    <w:rsid w:val="007B60AB"/>
    <w:rsid w:val="007B66C3"/>
    <w:rsid w:val="007B6757"/>
    <w:rsid w:val="007B6B26"/>
    <w:rsid w:val="007B6B72"/>
    <w:rsid w:val="007B6C7C"/>
    <w:rsid w:val="007B6D08"/>
    <w:rsid w:val="007B6DC6"/>
    <w:rsid w:val="007B6EB4"/>
    <w:rsid w:val="007B7547"/>
    <w:rsid w:val="007B7C5C"/>
    <w:rsid w:val="007B7CC9"/>
    <w:rsid w:val="007C08C9"/>
    <w:rsid w:val="007C099B"/>
    <w:rsid w:val="007C1790"/>
    <w:rsid w:val="007C1CCA"/>
    <w:rsid w:val="007C1D72"/>
    <w:rsid w:val="007C222C"/>
    <w:rsid w:val="007C257C"/>
    <w:rsid w:val="007C34C3"/>
    <w:rsid w:val="007C36BC"/>
    <w:rsid w:val="007C375B"/>
    <w:rsid w:val="007C37E7"/>
    <w:rsid w:val="007C39C6"/>
    <w:rsid w:val="007C3D02"/>
    <w:rsid w:val="007C3E2C"/>
    <w:rsid w:val="007C3E9E"/>
    <w:rsid w:val="007C3EC4"/>
    <w:rsid w:val="007C3FC5"/>
    <w:rsid w:val="007C4677"/>
    <w:rsid w:val="007C5631"/>
    <w:rsid w:val="007C6504"/>
    <w:rsid w:val="007C66C9"/>
    <w:rsid w:val="007C6DB7"/>
    <w:rsid w:val="007C6DFD"/>
    <w:rsid w:val="007C726C"/>
    <w:rsid w:val="007C7CF0"/>
    <w:rsid w:val="007D027E"/>
    <w:rsid w:val="007D0400"/>
    <w:rsid w:val="007D1011"/>
    <w:rsid w:val="007D117F"/>
    <w:rsid w:val="007D14EC"/>
    <w:rsid w:val="007D16B5"/>
    <w:rsid w:val="007D1C98"/>
    <w:rsid w:val="007D23DC"/>
    <w:rsid w:val="007D25C7"/>
    <w:rsid w:val="007D29BE"/>
    <w:rsid w:val="007D2A8F"/>
    <w:rsid w:val="007D2B3F"/>
    <w:rsid w:val="007D3337"/>
    <w:rsid w:val="007D38B4"/>
    <w:rsid w:val="007D3C1C"/>
    <w:rsid w:val="007D4180"/>
    <w:rsid w:val="007D4243"/>
    <w:rsid w:val="007D42A6"/>
    <w:rsid w:val="007D45C5"/>
    <w:rsid w:val="007D4828"/>
    <w:rsid w:val="007D5847"/>
    <w:rsid w:val="007D5BE5"/>
    <w:rsid w:val="007D5EE7"/>
    <w:rsid w:val="007D5FF0"/>
    <w:rsid w:val="007D621E"/>
    <w:rsid w:val="007D6512"/>
    <w:rsid w:val="007D679E"/>
    <w:rsid w:val="007D6F98"/>
    <w:rsid w:val="007D79B9"/>
    <w:rsid w:val="007D7BFD"/>
    <w:rsid w:val="007D7D0D"/>
    <w:rsid w:val="007D7E13"/>
    <w:rsid w:val="007D7F42"/>
    <w:rsid w:val="007E0354"/>
    <w:rsid w:val="007E0710"/>
    <w:rsid w:val="007E0F53"/>
    <w:rsid w:val="007E0F8B"/>
    <w:rsid w:val="007E142C"/>
    <w:rsid w:val="007E1894"/>
    <w:rsid w:val="007E1C5D"/>
    <w:rsid w:val="007E2B64"/>
    <w:rsid w:val="007E2BAF"/>
    <w:rsid w:val="007E2E75"/>
    <w:rsid w:val="007E2E9F"/>
    <w:rsid w:val="007E2EDC"/>
    <w:rsid w:val="007E35C2"/>
    <w:rsid w:val="007E39AD"/>
    <w:rsid w:val="007E3A84"/>
    <w:rsid w:val="007E4E0A"/>
    <w:rsid w:val="007E5147"/>
    <w:rsid w:val="007E5326"/>
    <w:rsid w:val="007E5475"/>
    <w:rsid w:val="007E54CD"/>
    <w:rsid w:val="007E5EFB"/>
    <w:rsid w:val="007E693A"/>
    <w:rsid w:val="007E6AA0"/>
    <w:rsid w:val="007E6EC4"/>
    <w:rsid w:val="007E74A5"/>
    <w:rsid w:val="007E78A9"/>
    <w:rsid w:val="007E7A65"/>
    <w:rsid w:val="007E7BD8"/>
    <w:rsid w:val="007E7DE8"/>
    <w:rsid w:val="007E7E79"/>
    <w:rsid w:val="007F041D"/>
    <w:rsid w:val="007F0DC4"/>
    <w:rsid w:val="007F145C"/>
    <w:rsid w:val="007F16CD"/>
    <w:rsid w:val="007F174B"/>
    <w:rsid w:val="007F1857"/>
    <w:rsid w:val="007F18AF"/>
    <w:rsid w:val="007F22DF"/>
    <w:rsid w:val="007F23A8"/>
    <w:rsid w:val="007F32EA"/>
    <w:rsid w:val="007F3B8D"/>
    <w:rsid w:val="007F3C21"/>
    <w:rsid w:val="007F3DC6"/>
    <w:rsid w:val="007F49B4"/>
    <w:rsid w:val="007F5BA4"/>
    <w:rsid w:val="007F5E0E"/>
    <w:rsid w:val="007F61BE"/>
    <w:rsid w:val="007F64BB"/>
    <w:rsid w:val="007F67B9"/>
    <w:rsid w:val="007F74BF"/>
    <w:rsid w:val="007F7ED9"/>
    <w:rsid w:val="007F7F18"/>
    <w:rsid w:val="008001CA"/>
    <w:rsid w:val="008007A6"/>
    <w:rsid w:val="0080119E"/>
    <w:rsid w:val="008011EE"/>
    <w:rsid w:val="00801317"/>
    <w:rsid w:val="00801E03"/>
    <w:rsid w:val="00801E7F"/>
    <w:rsid w:val="008025B6"/>
    <w:rsid w:val="008026D1"/>
    <w:rsid w:val="0080286F"/>
    <w:rsid w:val="008028A1"/>
    <w:rsid w:val="008032D6"/>
    <w:rsid w:val="0080344D"/>
    <w:rsid w:val="0080401E"/>
    <w:rsid w:val="008042FA"/>
    <w:rsid w:val="00804617"/>
    <w:rsid w:val="00804F1C"/>
    <w:rsid w:val="00805752"/>
    <w:rsid w:val="00805D22"/>
    <w:rsid w:val="00805F4E"/>
    <w:rsid w:val="008066EC"/>
    <w:rsid w:val="00806E86"/>
    <w:rsid w:val="00807134"/>
    <w:rsid w:val="008073FB"/>
    <w:rsid w:val="00807C8D"/>
    <w:rsid w:val="00807DFE"/>
    <w:rsid w:val="0081001D"/>
    <w:rsid w:val="008101C4"/>
    <w:rsid w:val="008109A7"/>
    <w:rsid w:val="00810B50"/>
    <w:rsid w:val="00810D35"/>
    <w:rsid w:val="0081159E"/>
    <w:rsid w:val="00811909"/>
    <w:rsid w:val="00811977"/>
    <w:rsid w:val="00811BC5"/>
    <w:rsid w:val="00811BC8"/>
    <w:rsid w:val="00812096"/>
    <w:rsid w:val="0081240D"/>
    <w:rsid w:val="00812469"/>
    <w:rsid w:val="008126EF"/>
    <w:rsid w:val="00812787"/>
    <w:rsid w:val="00812F0E"/>
    <w:rsid w:val="008137CE"/>
    <w:rsid w:val="00813FEF"/>
    <w:rsid w:val="008146CA"/>
    <w:rsid w:val="00814912"/>
    <w:rsid w:val="00815771"/>
    <w:rsid w:val="00815B26"/>
    <w:rsid w:val="0081631A"/>
    <w:rsid w:val="008166AA"/>
    <w:rsid w:val="008166C2"/>
    <w:rsid w:val="00816E31"/>
    <w:rsid w:val="008173E8"/>
    <w:rsid w:val="00817428"/>
    <w:rsid w:val="008174A2"/>
    <w:rsid w:val="0082005A"/>
    <w:rsid w:val="00820480"/>
    <w:rsid w:val="008207D1"/>
    <w:rsid w:val="00820B54"/>
    <w:rsid w:val="00820FB4"/>
    <w:rsid w:val="008210C2"/>
    <w:rsid w:val="00821B89"/>
    <w:rsid w:val="00821C68"/>
    <w:rsid w:val="00822DD3"/>
    <w:rsid w:val="008231E2"/>
    <w:rsid w:val="0082458C"/>
    <w:rsid w:val="00824A31"/>
    <w:rsid w:val="00824E4D"/>
    <w:rsid w:val="00825060"/>
    <w:rsid w:val="008252CF"/>
    <w:rsid w:val="008254DE"/>
    <w:rsid w:val="00825EF9"/>
    <w:rsid w:val="0082687E"/>
    <w:rsid w:val="00826A01"/>
    <w:rsid w:val="00827F56"/>
    <w:rsid w:val="0083027D"/>
    <w:rsid w:val="008304E6"/>
    <w:rsid w:val="008309CE"/>
    <w:rsid w:val="00830A67"/>
    <w:rsid w:val="00831089"/>
    <w:rsid w:val="008310D0"/>
    <w:rsid w:val="00831D8C"/>
    <w:rsid w:val="008324C6"/>
    <w:rsid w:val="008325B8"/>
    <w:rsid w:val="00832C7A"/>
    <w:rsid w:val="008332A0"/>
    <w:rsid w:val="00833517"/>
    <w:rsid w:val="00833548"/>
    <w:rsid w:val="0083396F"/>
    <w:rsid w:val="00833B6D"/>
    <w:rsid w:val="00833E46"/>
    <w:rsid w:val="00833F33"/>
    <w:rsid w:val="00834143"/>
    <w:rsid w:val="00834A71"/>
    <w:rsid w:val="00834A8A"/>
    <w:rsid w:val="008353A0"/>
    <w:rsid w:val="00835C7A"/>
    <w:rsid w:val="00835D2B"/>
    <w:rsid w:val="00836588"/>
    <w:rsid w:val="00836803"/>
    <w:rsid w:val="008368B9"/>
    <w:rsid w:val="00836B85"/>
    <w:rsid w:val="00836BB1"/>
    <w:rsid w:val="00836E74"/>
    <w:rsid w:val="00836F9C"/>
    <w:rsid w:val="008407E1"/>
    <w:rsid w:val="00840E1C"/>
    <w:rsid w:val="008420EF"/>
    <w:rsid w:val="0084218F"/>
    <w:rsid w:val="00842480"/>
    <w:rsid w:val="008424E7"/>
    <w:rsid w:val="0084250D"/>
    <w:rsid w:val="0084253E"/>
    <w:rsid w:val="0084263B"/>
    <w:rsid w:val="00842710"/>
    <w:rsid w:val="00842CD7"/>
    <w:rsid w:val="00843ACE"/>
    <w:rsid w:val="00843E0F"/>
    <w:rsid w:val="0084462E"/>
    <w:rsid w:val="008447B6"/>
    <w:rsid w:val="00845AAF"/>
    <w:rsid w:val="00845AC8"/>
    <w:rsid w:val="00845B4C"/>
    <w:rsid w:val="00846596"/>
    <w:rsid w:val="00846E5C"/>
    <w:rsid w:val="00847BA6"/>
    <w:rsid w:val="00850CCD"/>
    <w:rsid w:val="00850EA1"/>
    <w:rsid w:val="00851166"/>
    <w:rsid w:val="00851188"/>
    <w:rsid w:val="00851E4A"/>
    <w:rsid w:val="00851EC5"/>
    <w:rsid w:val="00851F3D"/>
    <w:rsid w:val="0085212E"/>
    <w:rsid w:val="008529E4"/>
    <w:rsid w:val="00852C03"/>
    <w:rsid w:val="00852CD3"/>
    <w:rsid w:val="00852DF8"/>
    <w:rsid w:val="00852EBC"/>
    <w:rsid w:val="0085332C"/>
    <w:rsid w:val="00853787"/>
    <w:rsid w:val="00853908"/>
    <w:rsid w:val="00855106"/>
    <w:rsid w:val="008562E9"/>
    <w:rsid w:val="00856359"/>
    <w:rsid w:val="008564D3"/>
    <w:rsid w:val="008566E3"/>
    <w:rsid w:val="00857195"/>
    <w:rsid w:val="00857BFB"/>
    <w:rsid w:val="00860025"/>
    <w:rsid w:val="008602E1"/>
    <w:rsid w:val="00860809"/>
    <w:rsid w:val="00860F73"/>
    <w:rsid w:val="00860FE6"/>
    <w:rsid w:val="008615A7"/>
    <w:rsid w:val="0086182D"/>
    <w:rsid w:val="008618C0"/>
    <w:rsid w:val="00861DF9"/>
    <w:rsid w:val="00862123"/>
    <w:rsid w:val="0086235B"/>
    <w:rsid w:val="008626CD"/>
    <w:rsid w:val="0086274D"/>
    <w:rsid w:val="00862904"/>
    <w:rsid w:val="008632D3"/>
    <w:rsid w:val="0086352D"/>
    <w:rsid w:val="00863D0A"/>
    <w:rsid w:val="00864149"/>
    <w:rsid w:val="008646E8"/>
    <w:rsid w:val="008649A8"/>
    <w:rsid w:val="00864C71"/>
    <w:rsid w:val="00864DC3"/>
    <w:rsid w:val="008654D1"/>
    <w:rsid w:val="00865CCC"/>
    <w:rsid w:val="00866075"/>
    <w:rsid w:val="00866083"/>
    <w:rsid w:val="00866593"/>
    <w:rsid w:val="00866A22"/>
    <w:rsid w:val="00866C60"/>
    <w:rsid w:val="00866F53"/>
    <w:rsid w:val="0086789E"/>
    <w:rsid w:val="00867B36"/>
    <w:rsid w:val="00867D31"/>
    <w:rsid w:val="008705D6"/>
    <w:rsid w:val="008705FB"/>
    <w:rsid w:val="00870C22"/>
    <w:rsid w:val="00871177"/>
    <w:rsid w:val="00871CCF"/>
    <w:rsid w:val="00871D7A"/>
    <w:rsid w:val="00872336"/>
    <w:rsid w:val="00872374"/>
    <w:rsid w:val="008726ED"/>
    <w:rsid w:val="008735D5"/>
    <w:rsid w:val="008735E7"/>
    <w:rsid w:val="008736CD"/>
    <w:rsid w:val="008738DD"/>
    <w:rsid w:val="00873CAE"/>
    <w:rsid w:val="00873DB9"/>
    <w:rsid w:val="00874480"/>
    <w:rsid w:val="00874C5F"/>
    <w:rsid w:val="00874CDA"/>
    <w:rsid w:val="0087506B"/>
    <w:rsid w:val="00875B29"/>
    <w:rsid w:val="008761C2"/>
    <w:rsid w:val="00876B80"/>
    <w:rsid w:val="0087722C"/>
    <w:rsid w:val="008772AA"/>
    <w:rsid w:val="008772D7"/>
    <w:rsid w:val="00877B2E"/>
    <w:rsid w:val="0088026B"/>
    <w:rsid w:val="008806C4"/>
    <w:rsid w:val="0088090F"/>
    <w:rsid w:val="008809BD"/>
    <w:rsid w:val="008813E6"/>
    <w:rsid w:val="00881462"/>
    <w:rsid w:val="0088152D"/>
    <w:rsid w:val="008819E2"/>
    <w:rsid w:val="008828E8"/>
    <w:rsid w:val="00882EEE"/>
    <w:rsid w:val="00883225"/>
    <w:rsid w:val="0088354A"/>
    <w:rsid w:val="008837AF"/>
    <w:rsid w:val="00883C66"/>
    <w:rsid w:val="00883D00"/>
    <w:rsid w:val="00884580"/>
    <w:rsid w:val="00884A38"/>
    <w:rsid w:val="0088529F"/>
    <w:rsid w:val="0088547D"/>
    <w:rsid w:val="00885766"/>
    <w:rsid w:val="008857D4"/>
    <w:rsid w:val="008873D2"/>
    <w:rsid w:val="00887841"/>
    <w:rsid w:val="00887EF9"/>
    <w:rsid w:val="0089007D"/>
    <w:rsid w:val="00890414"/>
    <w:rsid w:val="00890457"/>
    <w:rsid w:val="008907FC"/>
    <w:rsid w:val="00890CA5"/>
    <w:rsid w:val="00890D42"/>
    <w:rsid w:val="00890E24"/>
    <w:rsid w:val="008911F8"/>
    <w:rsid w:val="0089192B"/>
    <w:rsid w:val="00891B35"/>
    <w:rsid w:val="00891BB4"/>
    <w:rsid w:val="0089211A"/>
    <w:rsid w:val="00892859"/>
    <w:rsid w:val="00892940"/>
    <w:rsid w:val="00892B04"/>
    <w:rsid w:val="00892C18"/>
    <w:rsid w:val="00892CEA"/>
    <w:rsid w:val="00893192"/>
    <w:rsid w:val="00893B8C"/>
    <w:rsid w:val="00894A5C"/>
    <w:rsid w:val="00894C7A"/>
    <w:rsid w:val="00895113"/>
    <w:rsid w:val="0089570D"/>
    <w:rsid w:val="00896054"/>
    <w:rsid w:val="0089670A"/>
    <w:rsid w:val="0089682E"/>
    <w:rsid w:val="00896DA6"/>
    <w:rsid w:val="00896E48"/>
    <w:rsid w:val="008970CB"/>
    <w:rsid w:val="008976D5"/>
    <w:rsid w:val="00897704"/>
    <w:rsid w:val="008978BC"/>
    <w:rsid w:val="00897962"/>
    <w:rsid w:val="00897B2C"/>
    <w:rsid w:val="008A0116"/>
    <w:rsid w:val="008A0835"/>
    <w:rsid w:val="008A08E0"/>
    <w:rsid w:val="008A0CE2"/>
    <w:rsid w:val="008A150B"/>
    <w:rsid w:val="008A1942"/>
    <w:rsid w:val="008A1ABE"/>
    <w:rsid w:val="008A1DEE"/>
    <w:rsid w:val="008A2520"/>
    <w:rsid w:val="008A2561"/>
    <w:rsid w:val="008A2ACB"/>
    <w:rsid w:val="008A2C61"/>
    <w:rsid w:val="008A31AB"/>
    <w:rsid w:val="008A344A"/>
    <w:rsid w:val="008A3479"/>
    <w:rsid w:val="008A36DF"/>
    <w:rsid w:val="008A45CD"/>
    <w:rsid w:val="008A4EB5"/>
    <w:rsid w:val="008A4FAF"/>
    <w:rsid w:val="008A5072"/>
    <w:rsid w:val="008A59AD"/>
    <w:rsid w:val="008A5AD7"/>
    <w:rsid w:val="008A602E"/>
    <w:rsid w:val="008A679C"/>
    <w:rsid w:val="008A6C23"/>
    <w:rsid w:val="008A730C"/>
    <w:rsid w:val="008A7680"/>
    <w:rsid w:val="008B01B0"/>
    <w:rsid w:val="008B10B6"/>
    <w:rsid w:val="008B11F0"/>
    <w:rsid w:val="008B132C"/>
    <w:rsid w:val="008B1E44"/>
    <w:rsid w:val="008B2156"/>
    <w:rsid w:val="008B289A"/>
    <w:rsid w:val="008B2907"/>
    <w:rsid w:val="008B2B9E"/>
    <w:rsid w:val="008B3375"/>
    <w:rsid w:val="008B3D51"/>
    <w:rsid w:val="008B3D88"/>
    <w:rsid w:val="008B4FB3"/>
    <w:rsid w:val="008B54C8"/>
    <w:rsid w:val="008B5B15"/>
    <w:rsid w:val="008B6614"/>
    <w:rsid w:val="008B6829"/>
    <w:rsid w:val="008B6B0D"/>
    <w:rsid w:val="008B6D11"/>
    <w:rsid w:val="008B6F0D"/>
    <w:rsid w:val="008B77D8"/>
    <w:rsid w:val="008B7881"/>
    <w:rsid w:val="008B7E2F"/>
    <w:rsid w:val="008C0224"/>
    <w:rsid w:val="008C05D9"/>
    <w:rsid w:val="008C0645"/>
    <w:rsid w:val="008C07F8"/>
    <w:rsid w:val="008C0A95"/>
    <w:rsid w:val="008C0E09"/>
    <w:rsid w:val="008C120E"/>
    <w:rsid w:val="008C1249"/>
    <w:rsid w:val="008C1AC0"/>
    <w:rsid w:val="008C1ED6"/>
    <w:rsid w:val="008C260D"/>
    <w:rsid w:val="008C26B4"/>
    <w:rsid w:val="008C27D4"/>
    <w:rsid w:val="008C2821"/>
    <w:rsid w:val="008C2922"/>
    <w:rsid w:val="008C3283"/>
    <w:rsid w:val="008C369D"/>
    <w:rsid w:val="008C370E"/>
    <w:rsid w:val="008C39A4"/>
    <w:rsid w:val="008C3AAA"/>
    <w:rsid w:val="008C3AD8"/>
    <w:rsid w:val="008C42F4"/>
    <w:rsid w:val="008C4446"/>
    <w:rsid w:val="008C44E3"/>
    <w:rsid w:val="008C4533"/>
    <w:rsid w:val="008C4DFB"/>
    <w:rsid w:val="008C5D52"/>
    <w:rsid w:val="008C5ECA"/>
    <w:rsid w:val="008C603B"/>
    <w:rsid w:val="008C661F"/>
    <w:rsid w:val="008C6AD9"/>
    <w:rsid w:val="008C6BA0"/>
    <w:rsid w:val="008C72CB"/>
    <w:rsid w:val="008C7308"/>
    <w:rsid w:val="008C73EB"/>
    <w:rsid w:val="008C79F7"/>
    <w:rsid w:val="008C7C6C"/>
    <w:rsid w:val="008D0312"/>
    <w:rsid w:val="008D08FC"/>
    <w:rsid w:val="008D0998"/>
    <w:rsid w:val="008D0A0A"/>
    <w:rsid w:val="008D0D0F"/>
    <w:rsid w:val="008D163C"/>
    <w:rsid w:val="008D1703"/>
    <w:rsid w:val="008D18E4"/>
    <w:rsid w:val="008D19E7"/>
    <w:rsid w:val="008D1E6C"/>
    <w:rsid w:val="008D2660"/>
    <w:rsid w:val="008D2842"/>
    <w:rsid w:val="008D2C25"/>
    <w:rsid w:val="008D2D73"/>
    <w:rsid w:val="008D300A"/>
    <w:rsid w:val="008D33D9"/>
    <w:rsid w:val="008D39A1"/>
    <w:rsid w:val="008D3E9B"/>
    <w:rsid w:val="008D3F66"/>
    <w:rsid w:val="008D402C"/>
    <w:rsid w:val="008D403F"/>
    <w:rsid w:val="008D4249"/>
    <w:rsid w:val="008D49D5"/>
    <w:rsid w:val="008D4B28"/>
    <w:rsid w:val="008D4DDF"/>
    <w:rsid w:val="008D4F9E"/>
    <w:rsid w:val="008D5A58"/>
    <w:rsid w:val="008D60F0"/>
    <w:rsid w:val="008D6565"/>
    <w:rsid w:val="008D66F1"/>
    <w:rsid w:val="008D69BB"/>
    <w:rsid w:val="008D6A5A"/>
    <w:rsid w:val="008D6AD6"/>
    <w:rsid w:val="008D6B90"/>
    <w:rsid w:val="008D6EDF"/>
    <w:rsid w:val="008D70D9"/>
    <w:rsid w:val="008D7158"/>
    <w:rsid w:val="008D737E"/>
    <w:rsid w:val="008D759A"/>
    <w:rsid w:val="008D7A3C"/>
    <w:rsid w:val="008D7A46"/>
    <w:rsid w:val="008E00C4"/>
    <w:rsid w:val="008E01FB"/>
    <w:rsid w:val="008E0615"/>
    <w:rsid w:val="008E0F03"/>
    <w:rsid w:val="008E1032"/>
    <w:rsid w:val="008E10A4"/>
    <w:rsid w:val="008E1486"/>
    <w:rsid w:val="008E174C"/>
    <w:rsid w:val="008E1A6C"/>
    <w:rsid w:val="008E1F1F"/>
    <w:rsid w:val="008E26F2"/>
    <w:rsid w:val="008E28F3"/>
    <w:rsid w:val="008E2981"/>
    <w:rsid w:val="008E2B7F"/>
    <w:rsid w:val="008E2E40"/>
    <w:rsid w:val="008E2EBA"/>
    <w:rsid w:val="008E39C2"/>
    <w:rsid w:val="008E3B22"/>
    <w:rsid w:val="008E401E"/>
    <w:rsid w:val="008E43F9"/>
    <w:rsid w:val="008E45AC"/>
    <w:rsid w:val="008E4619"/>
    <w:rsid w:val="008E4A05"/>
    <w:rsid w:val="008E4AC7"/>
    <w:rsid w:val="008E4C89"/>
    <w:rsid w:val="008E521B"/>
    <w:rsid w:val="008E529C"/>
    <w:rsid w:val="008E627A"/>
    <w:rsid w:val="008E6328"/>
    <w:rsid w:val="008E661D"/>
    <w:rsid w:val="008E67AE"/>
    <w:rsid w:val="008E6DFA"/>
    <w:rsid w:val="008E6EF1"/>
    <w:rsid w:val="008E7CEC"/>
    <w:rsid w:val="008F0CE9"/>
    <w:rsid w:val="008F0CF8"/>
    <w:rsid w:val="008F105A"/>
    <w:rsid w:val="008F118D"/>
    <w:rsid w:val="008F11B8"/>
    <w:rsid w:val="008F122D"/>
    <w:rsid w:val="008F19DA"/>
    <w:rsid w:val="008F2889"/>
    <w:rsid w:val="008F2C3D"/>
    <w:rsid w:val="008F30EF"/>
    <w:rsid w:val="008F31A3"/>
    <w:rsid w:val="008F3250"/>
    <w:rsid w:val="008F3312"/>
    <w:rsid w:val="008F3826"/>
    <w:rsid w:val="008F3C69"/>
    <w:rsid w:val="008F40D2"/>
    <w:rsid w:val="008F485A"/>
    <w:rsid w:val="008F4A96"/>
    <w:rsid w:val="008F52D5"/>
    <w:rsid w:val="008F569F"/>
    <w:rsid w:val="008F64A7"/>
    <w:rsid w:val="008F66DC"/>
    <w:rsid w:val="008F6730"/>
    <w:rsid w:val="008F67A4"/>
    <w:rsid w:val="008F6A20"/>
    <w:rsid w:val="008F73B7"/>
    <w:rsid w:val="008F77BA"/>
    <w:rsid w:val="008F7BDE"/>
    <w:rsid w:val="00900012"/>
    <w:rsid w:val="009002E0"/>
    <w:rsid w:val="009009D6"/>
    <w:rsid w:val="00900A08"/>
    <w:rsid w:val="00900E52"/>
    <w:rsid w:val="00900F96"/>
    <w:rsid w:val="00901B75"/>
    <w:rsid w:val="00901DB8"/>
    <w:rsid w:val="00901F4E"/>
    <w:rsid w:val="00902070"/>
    <w:rsid w:val="00902109"/>
    <w:rsid w:val="00902400"/>
    <w:rsid w:val="00902580"/>
    <w:rsid w:val="0090262F"/>
    <w:rsid w:val="00902F5C"/>
    <w:rsid w:val="009037D9"/>
    <w:rsid w:val="00903E53"/>
    <w:rsid w:val="009040BE"/>
    <w:rsid w:val="009047BD"/>
    <w:rsid w:val="009049E6"/>
    <w:rsid w:val="00904C8C"/>
    <w:rsid w:val="009052CA"/>
    <w:rsid w:val="00905511"/>
    <w:rsid w:val="00905631"/>
    <w:rsid w:val="0090670C"/>
    <w:rsid w:val="00906788"/>
    <w:rsid w:val="009068C6"/>
    <w:rsid w:val="00906F53"/>
    <w:rsid w:val="009075B3"/>
    <w:rsid w:val="009075E4"/>
    <w:rsid w:val="009078BC"/>
    <w:rsid w:val="00910870"/>
    <w:rsid w:val="0091095A"/>
    <w:rsid w:val="00910B7E"/>
    <w:rsid w:val="00910CCC"/>
    <w:rsid w:val="0091114A"/>
    <w:rsid w:val="009115F0"/>
    <w:rsid w:val="00911622"/>
    <w:rsid w:val="009117B7"/>
    <w:rsid w:val="00911E50"/>
    <w:rsid w:val="00911EB1"/>
    <w:rsid w:val="009120AB"/>
    <w:rsid w:val="009120EC"/>
    <w:rsid w:val="009123E6"/>
    <w:rsid w:val="00912ED0"/>
    <w:rsid w:val="00913583"/>
    <w:rsid w:val="00913A06"/>
    <w:rsid w:val="00914B9D"/>
    <w:rsid w:val="00915536"/>
    <w:rsid w:val="00915647"/>
    <w:rsid w:val="0091572E"/>
    <w:rsid w:val="0091585F"/>
    <w:rsid w:val="00916387"/>
    <w:rsid w:val="00916C5D"/>
    <w:rsid w:val="009174F3"/>
    <w:rsid w:val="009174F8"/>
    <w:rsid w:val="0091750B"/>
    <w:rsid w:val="009177B4"/>
    <w:rsid w:val="009177D6"/>
    <w:rsid w:val="00917B55"/>
    <w:rsid w:val="00917E88"/>
    <w:rsid w:val="00920538"/>
    <w:rsid w:val="009209CA"/>
    <w:rsid w:val="00921FF9"/>
    <w:rsid w:val="00922BDE"/>
    <w:rsid w:val="00922EE2"/>
    <w:rsid w:val="00923C84"/>
    <w:rsid w:val="0092439C"/>
    <w:rsid w:val="0092447F"/>
    <w:rsid w:val="0092497F"/>
    <w:rsid w:val="00924C53"/>
    <w:rsid w:val="00924DD3"/>
    <w:rsid w:val="009251FA"/>
    <w:rsid w:val="0092535D"/>
    <w:rsid w:val="00925B91"/>
    <w:rsid w:val="00925E09"/>
    <w:rsid w:val="00925F72"/>
    <w:rsid w:val="00926C25"/>
    <w:rsid w:val="00926C50"/>
    <w:rsid w:val="00927073"/>
    <w:rsid w:val="00927125"/>
    <w:rsid w:val="0092739C"/>
    <w:rsid w:val="00927451"/>
    <w:rsid w:val="009277E5"/>
    <w:rsid w:val="00927AE0"/>
    <w:rsid w:val="00927CC8"/>
    <w:rsid w:val="00930A2D"/>
    <w:rsid w:val="00930B07"/>
    <w:rsid w:val="0093172D"/>
    <w:rsid w:val="00931926"/>
    <w:rsid w:val="00932303"/>
    <w:rsid w:val="009325AD"/>
    <w:rsid w:val="009327FB"/>
    <w:rsid w:val="00932C94"/>
    <w:rsid w:val="009331F5"/>
    <w:rsid w:val="0093398F"/>
    <w:rsid w:val="009342F3"/>
    <w:rsid w:val="00934432"/>
    <w:rsid w:val="00934F88"/>
    <w:rsid w:val="0093531C"/>
    <w:rsid w:val="00935458"/>
    <w:rsid w:val="00935659"/>
    <w:rsid w:val="0093639D"/>
    <w:rsid w:val="0093706A"/>
    <w:rsid w:val="00937960"/>
    <w:rsid w:val="00940268"/>
    <w:rsid w:val="00940737"/>
    <w:rsid w:val="00940945"/>
    <w:rsid w:val="00940B37"/>
    <w:rsid w:val="00940D35"/>
    <w:rsid w:val="00941595"/>
    <w:rsid w:val="00942529"/>
    <w:rsid w:val="00942C65"/>
    <w:rsid w:val="0094373E"/>
    <w:rsid w:val="00943A6D"/>
    <w:rsid w:val="00943F5E"/>
    <w:rsid w:val="009440D0"/>
    <w:rsid w:val="009443D2"/>
    <w:rsid w:val="00944BC0"/>
    <w:rsid w:val="00944BF2"/>
    <w:rsid w:val="00945163"/>
    <w:rsid w:val="00945606"/>
    <w:rsid w:val="00945782"/>
    <w:rsid w:val="0094578E"/>
    <w:rsid w:val="00945A8C"/>
    <w:rsid w:val="00945B5C"/>
    <w:rsid w:val="009460E5"/>
    <w:rsid w:val="009463CE"/>
    <w:rsid w:val="009463FB"/>
    <w:rsid w:val="00946544"/>
    <w:rsid w:val="00946745"/>
    <w:rsid w:val="00946C15"/>
    <w:rsid w:val="00947047"/>
    <w:rsid w:val="0094774D"/>
    <w:rsid w:val="00947A89"/>
    <w:rsid w:val="00947CDD"/>
    <w:rsid w:val="00947FB7"/>
    <w:rsid w:val="00950272"/>
    <w:rsid w:val="00950363"/>
    <w:rsid w:val="00950372"/>
    <w:rsid w:val="0095164E"/>
    <w:rsid w:val="00951853"/>
    <w:rsid w:val="00951A59"/>
    <w:rsid w:val="00951B49"/>
    <w:rsid w:val="00951DC9"/>
    <w:rsid w:val="00952331"/>
    <w:rsid w:val="009536F9"/>
    <w:rsid w:val="00953AD9"/>
    <w:rsid w:val="00954175"/>
    <w:rsid w:val="00954EC9"/>
    <w:rsid w:val="0095508A"/>
    <w:rsid w:val="0095559C"/>
    <w:rsid w:val="00955648"/>
    <w:rsid w:val="0095580B"/>
    <w:rsid w:val="009566C3"/>
    <w:rsid w:val="0095678B"/>
    <w:rsid w:val="00956907"/>
    <w:rsid w:val="00956B6F"/>
    <w:rsid w:val="00957990"/>
    <w:rsid w:val="00957B81"/>
    <w:rsid w:val="0096050E"/>
    <w:rsid w:val="009607CE"/>
    <w:rsid w:val="009608DC"/>
    <w:rsid w:val="00960A95"/>
    <w:rsid w:val="00960BA6"/>
    <w:rsid w:val="00960D45"/>
    <w:rsid w:val="00960E6C"/>
    <w:rsid w:val="00960E9D"/>
    <w:rsid w:val="009612B5"/>
    <w:rsid w:val="009613A1"/>
    <w:rsid w:val="0096153B"/>
    <w:rsid w:val="009617B7"/>
    <w:rsid w:val="00961BED"/>
    <w:rsid w:val="00961FCF"/>
    <w:rsid w:val="009628D0"/>
    <w:rsid w:val="00962923"/>
    <w:rsid w:val="009631C4"/>
    <w:rsid w:val="00963737"/>
    <w:rsid w:val="009639B0"/>
    <w:rsid w:val="00964079"/>
    <w:rsid w:val="00964B48"/>
    <w:rsid w:val="00964F05"/>
    <w:rsid w:val="0096524E"/>
    <w:rsid w:val="0096525D"/>
    <w:rsid w:val="009654D5"/>
    <w:rsid w:val="00965694"/>
    <w:rsid w:val="0096584F"/>
    <w:rsid w:val="00965BF0"/>
    <w:rsid w:val="00965F51"/>
    <w:rsid w:val="00966126"/>
    <w:rsid w:val="009663DA"/>
    <w:rsid w:val="0096672A"/>
    <w:rsid w:val="00966D9F"/>
    <w:rsid w:val="00966FCC"/>
    <w:rsid w:val="0096701D"/>
    <w:rsid w:val="00967377"/>
    <w:rsid w:val="0096742C"/>
    <w:rsid w:val="0096778E"/>
    <w:rsid w:val="00967A97"/>
    <w:rsid w:val="00967B63"/>
    <w:rsid w:val="00967B95"/>
    <w:rsid w:val="009705A0"/>
    <w:rsid w:val="00970CEC"/>
    <w:rsid w:val="00970E45"/>
    <w:rsid w:val="00971222"/>
    <w:rsid w:val="00971685"/>
    <w:rsid w:val="009716C7"/>
    <w:rsid w:val="0097174D"/>
    <w:rsid w:val="00971B40"/>
    <w:rsid w:val="0097252A"/>
    <w:rsid w:val="00972AEF"/>
    <w:rsid w:val="0097350E"/>
    <w:rsid w:val="00973E4D"/>
    <w:rsid w:val="009742B3"/>
    <w:rsid w:val="009743D6"/>
    <w:rsid w:val="0097471A"/>
    <w:rsid w:val="009747D3"/>
    <w:rsid w:val="009749F8"/>
    <w:rsid w:val="00974C67"/>
    <w:rsid w:val="00975F3F"/>
    <w:rsid w:val="00976053"/>
    <w:rsid w:val="00976152"/>
    <w:rsid w:val="0097616E"/>
    <w:rsid w:val="009765D6"/>
    <w:rsid w:val="009779A3"/>
    <w:rsid w:val="00977C19"/>
    <w:rsid w:val="00980385"/>
    <w:rsid w:val="0098046E"/>
    <w:rsid w:val="009807A0"/>
    <w:rsid w:val="00980B3E"/>
    <w:rsid w:val="00981182"/>
    <w:rsid w:val="0098150A"/>
    <w:rsid w:val="00981AAF"/>
    <w:rsid w:val="00981E31"/>
    <w:rsid w:val="00982483"/>
    <w:rsid w:val="0098334E"/>
    <w:rsid w:val="0098395A"/>
    <w:rsid w:val="00984182"/>
    <w:rsid w:val="00984760"/>
    <w:rsid w:val="00984BA6"/>
    <w:rsid w:val="00984C41"/>
    <w:rsid w:val="009853AC"/>
    <w:rsid w:val="009857D7"/>
    <w:rsid w:val="00985B8C"/>
    <w:rsid w:val="009864A6"/>
    <w:rsid w:val="00986790"/>
    <w:rsid w:val="0098692F"/>
    <w:rsid w:val="00986BFD"/>
    <w:rsid w:val="00986C0A"/>
    <w:rsid w:val="00986CD1"/>
    <w:rsid w:val="00987549"/>
    <w:rsid w:val="00987674"/>
    <w:rsid w:val="00987991"/>
    <w:rsid w:val="009904E0"/>
    <w:rsid w:val="009905A0"/>
    <w:rsid w:val="009906F2"/>
    <w:rsid w:val="00991103"/>
    <w:rsid w:val="00991295"/>
    <w:rsid w:val="0099166D"/>
    <w:rsid w:val="0099171C"/>
    <w:rsid w:val="0099189C"/>
    <w:rsid w:val="00991BCA"/>
    <w:rsid w:val="00992077"/>
    <w:rsid w:val="0099223A"/>
    <w:rsid w:val="00992258"/>
    <w:rsid w:val="009931F3"/>
    <w:rsid w:val="0099337D"/>
    <w:rsid w:val="00993526"/>
    <w:rsid w:val="00993679"/>
    <w:rsid w:val="0099425C"/>
    <w:rsid w:val="00994E2A"/>
    <w:rsid w:val="00995318"/>
    <w:rsid w:val="009953F6"/>
    <w:rsid w:val="009954E7"/>
    <w:rsid w:val="00995A00"/>
    <w:rsid w:val="00995BCB"/>
    <w:rsid w:val="00995EC2"/>
    <w:rsid w:val="0099608D"/>
    <w:rsid w:val="00996401"/>
    <w:rsid w:val="00996E13"/>
    <w:rsid w:val="009973EA"/>
    <w:rsid w:val="009975DB"/>
    <w:rsid w:val="00997607"/>
    <w:rsid w:val="00997D15"/>
    <w:rsid w:val="00997E34"/>
    <w:rsid w:val="00997FD0"/>
    <w:rsid w:val="009A0259"/>
    <w:rsid w:val="009A0425"/>
    <w:rsid w:val="009A0499"/>
    <w:rsid w:val="009A04A4"/>
    <w:rsid w:val="009A0822"/>
    <w:rsid w:val="009A0B5D"/>
    <w:rsid w:val="009A0B96"/>
    <w:rsid w:val="009A0EDB"/>
    <w:rsid w:val="009A19C5"/>
    <w:rsid w:val="009A1A25"/>
    <w:rsid w:val="009A1F2E"/>
    <w:rsid w:val="009A2573"/>
    <w:rsid w:val="009A26C7"/>
    <w:rsid w:val="009A2A1E"/>
    <w:rsid w:val="009A348B"/>
    <w:rsid w:val="009A3C94"/>
    <w:rsid w:val="009A41D3"/>
    <w:rsid w:val="009A4891"/>
    <w:rsid w:val="009A4AEB"/>
    <w:rsid w:val="009A5398"/>
    <w:rsid w:val="009A5702"/>
    <w:rsid w:val="009A5866"/>
    <w:rsid w:val="009A5FD6"/>
    <w:rsid w:val="009A6449"/>
    <w:rsid w:val="009A666F"/>
    <w:rsid w:val="009A6B59"/>
    <w:rsid w:val="009A7082"/>
    <w:rsid w:val="009A792F"/>
    <w:rsid w:val="009A7A6A"/>
    <w:rsid w:val="009A7B80"/>
    <w:rsid w:val="009B019B"/>
    <w:rsid w:val="009B136F"/>
    <w:rsid w:val="009B13F1"/>
    <w:rsid w:val="009B1D5A"/>
    <w:rsid w:val="009B1E37"/>
    <w:rsid w:val="009B22F7"/>
    <w:rsid w:val="009B2608"/>
    <w:rsid w:val="009B2864"/>
    <w:rsid w:val="009B289D"/>
    <w:rsid w:val="009B2EA2"/>
    <w:rsid w:val="009B3140"/>
    <w:rsid w:val="009B3481"/>
    <w:rsid w:val="009B3B0B"/>
    <w:rsid w:val="009B3BA1"/>
    <w:rsid w:val="009B3C30"/>
    <w:rsid w:val="009B3D15"/>
    <w:rsid w:val="009B4D69"/>
    <w:rsid w:val="009B521E"/>
    <w:rsid w:val="009B54B4"/>
    <w:rsid w:val="009B5502"/>
    <w:rsid w:val="009B5F4B"/>
    <w:rsid w:val="009B6052"/>
    <w:rsid w:val="009B6A31"/>
    <w:rsid w:val="009B6AA4"/>
    <w:rsid w:val="009B798F"/>
    <w:rsid w:val="009B7E6F"/>
    <w:rsid w:val="009C098F"/>
    <w:rsid w:val="009C0BF4"/>
    <w:rsid w:val="009C0F31"/>
    <w:rsid w:val="009C11E7"/>
    <w:rsid w:val="009C133D"/>
    <w:rsid w:val="009C15A9"/>
    <w:rsid w:val="009C182B"/>
    <w:rsid w:val="009C1C50"/>
    <w:rsid w:val="009C1CFE"/>
    <w:rsid w:val="009C20F6"/>
    <w:rsid w:val="009C2BF3"/>
    <w:rsid w:val="009C30D5"/>
    <w:rsid w:val="009C3F31"/>
    <w:rsid w:val="009C4AD8"/>
    <w:rsid w:val="009C4C13"/>
    <w:rsid w:val="009C4EEC"/>
    <w:rsid w:val="009C52F8"/>
    <w:rsid w:val="009C5561"/>
    <w:rsid w:val="009C5765"/>
    <w:rsid w:val="009C5EEC"/>
    <w:rsid w:val="009C65E4"/>
    <w:rsid w:val="009C7080"/>
    <w:rsid w:val="009C779C"/>
    <w:rsid w:val="009C7916"/>
    <w:rsid w:val="009C7F66"/>
    <w:rsid w:val="009C7F92"/>
    <w:rsid w:val="009D03BA"/>
    <w:rsid w:val="009D04D5"/>
    <w:rsid w:val="009D07BD"/>
    <w:rsid w:val="009D09CF"/>
    <w:rsid w:val="009D09FE"/>
    <w:rsid w:val="009D1346"/>
    <w:rsid w:val="009D22EC"/>
    <w:rsid w:val="009D22FB"/>
    <w:rsid w:val="009D249A"/>
    <w:rsid w:val="009D36DB"/>
    <w:rsid w:val="009D42A3"/>
    <w:rsid w:val="009D5257"/>
    <w:rsid w:val="009D6327"/>
    <w:rsid w:val="009D66C5"/>
    <w:rsid w:val="009D68A4"/>
    <w:rsid w:val="009D6DBA"/>
    <w:rsid w:val="009D73ED"/>
    <w:rsid w:val="009D759F"/>
    <w:rsid w:val="009D7E58"/>
    <w:rsid w:val="009D7F31"/>
    <w:rsid w:val="009D7F74"/>
    <w:rsid w:val="009D7FB4"/>
    <w:rsid w:val="009E0AD8"/>
    <w:rsid w:val="009E0B7B"/>
    <w:rsid w:val="009E127A"/>
    <w:rsid w:val="009E210E"/>
    <w:rsid w:val="009E228A"/>
    <w:rsid w:val="009E22D3"/>
    <w:rsid w:val="009E22F2"/>
    <w:rsid w:val="009E2433"/>
    <w:rsid w:val="009E28C9"/>
    <w:rsid w:val="009E295B"/>
    <w:rsid w:val="009E2A13"/>
    <w:rsid w:val="009E2DA8"/>
    <w:rsid w:val="009E30E7"/>
    <w:rsid w:val="009E3456"/>
    <w:rsid w:val="009E3A3B"/>
    <w:rsid w:val="009E3C2F"/>
    <w:rsid w:val="009E3D37"/>
    <w:rsid w:val="009E4417"/>
    <w:rsid w:val="009E48DF"/>
    <w:rsid w:val="009E4B52"/>
    <w:rsid w:val="009E4D2D"/>
    <w:rsid w:val="009E4E99"/>
    <w:rsid w:val="009E584E"/>
    <w:rsid w:val="009E5B51"/>
    <w:rsid w:val="009E5D88"/>
    <w:rsid w:val="009E6293"/>
    <w:rsid w:val="009E6597"/>
    <w:rsid w:val="009E6ACF"/>
    <w:rsid w:val="009E6BA5"/>
    <w:rsid w:val="009E6D74"/>
    <w:rsid w:val="009E7430"/>
    <w:rsid w:val="009E743F"/>
    <w:rsid w:val="009E779D"/>
    <w:rsid w:val="009E7CC9"/>
    <w:rsid w:val="009F02BE"/>
    <w:rsid w:val="009F0CB1"/>
    <w:rsid w:val="009F1060"/>
    <w:rsid w:val="009F1853"/>
    <w:rsid w:val="009F2527"/>
    <w:rsid w:val="009F280F"/>
    <w:rsid w:val="009F30AC"/>
    <w:rsid w:val="009F342C"/>
    <w:rsid w:val="009F3AA3"/>
    <w:rsid w:val="009F3C18"/>
    <w:rsid w:val="009F3FA9"/>
    <w:rsid w:val="009F4342"/>
    <w:rsid w:val="009F4611"/>
    <w:rsid w:val="009F4D77"/>
    <w:rsid w:val="009F52F0"/>
    <w:rsid w:val="009F5B62"/>
    <w:rsid w:val="009F5D24"/>
    <w:rsid w:val="009F5F44"/>
    <w:rsid w:val="009F640A"/>
    <w:rsid w:val="009F6F2D"/>
    <w:rsid w:val="009F7273"/>
    <w:rsid w:val="009F7624"/>
    <w:rsid w:val="009F7DB2"/>
    <w:rsid w:val="009F7DC2"/>
    <w:rsid w:val="00A00161"/>
    <w:rsid w:val="00A007F2"/>
    <w:rsid w:val="00A00D8C"/>
    <w:rsid w:val="00A00D98"/>
    <w:rsid w:val="00A0135A"/>
    <w:rsid w:val="00A014D7"/>
    <w:rsid w:val="00A019BB"/>
    <w:rsid w:val="00A01F86"/>
    <w:rsid w:val="00A021F0"/>
    <w:rsid w:val="00A02316"/>
    <w:rsid w:val="00A02532"/>
    <w:rsid w:val="00A02A27"/>
    <w:rsid w:val="00A02EE4"/>
    <w:rsid w:val="00A0352F"/>
    <w:rsid w:val="00A038F6"/>
    <w:rsid w:val="00A03B48"/>
    <w:rsid w:val="00A03D83"/>
    <w:rsid w:val="00A04396"/>
    <w:rsid w:val="00A047CC"/>
    <w:rsid w:val="00A04813"/>
    <w:rsid w:val="00A04A52"/>
    <w:rsid w:val="00A05401"/>
    <w:rsid w:val="00A05761"/>
    <w:rsid w:val="00A058FC"/>
    <w:rsid w:val="00A05A6D"/>
    <w:rsid w:val="00A06776"/>
    <w:rsid w:val="00A06D31"/>
    <w:rsid w:val="00A071AB"/>
    <w:rsid w:val="00A0722C"/>
    <w:rsid w:val="00A0779F"/>
    <w:rsid w:val="00A10340"/>
    <w:rsid w:val="00A1190F"/>
    <w:rsid w:val="00A11D1D"/>
    <w:rsid w:val="00A11E02"/>
    <w:rsid w:val="00A12257"/>
    <w:rsid w:val="00A123D2"/>
    <w:rsid w:val="00A12E4F"/>
    <w:rsid w:val="00A13165"/>
    <w:rsid w:val="00A13406"/>
    <w:rsid w:val="00A1380F"/>
    <w:rsid w:val="00A13A85"/>
    <w:rsid w:val="00A13B1D"/>
    <w:rsid w:val="00A13B5B"/>
    <w:rsid w:val="00A13CE0"/>
    <w:rsid w:val="00A1449F"/>
    <w:rsid w:val="00A148E1"/>
    <w:rsid w:val="00A148E5"/>
    <w:rsid w:val="00A14956"/>
    <w:rsid w:val="00A14BB6"/>
    <w:rsid w:val="00A1512B"/>
    <w:rsid w:val="00A1513F"/>
    <w:rsid w:val="00A1516F"/>
    <w:rsid w:val="00A156AB"/>
    <w:rsid w:val="00A15D18"/>
    <w:rsid w:val="00A16964"/>
    <w:rsid w:val="00A171E9"/>
    <w:rsid w:val="00A177C6"/>
    <w:rsid w:val="00A179DD"/>
    <w:rsid w:val="00A17F6C"/>
    <w:rsid w:val="00A204CC"/>
    <w:rsid w:val="00A206FE"/>
    <w:rsid w:val="00A20A30"/>
    <w:rsid w:val="00A20A80"/>
    <w:rsid w:val="00A20AAC"/>
    <w:rsid w:val="00A210A3"/>
    <w:rsid w:val="00A21D66"/>
    <w:rsid w:val="00A222C6"/>
    <w:rsid w:val="00A2264A"/>
    <w:rsid w:val="00A22742"/>
    <w:rsid w:val="00A22B1D"/>
    <w:rsid w:val="00A2350B"/>
    <w:rsid w:val="00A238D1"/>
    <w:rsid w:val="00A23F91"/>
    <w:rsid w:val="00A2403E"/>
    <w:rsid w:val="00A2428A"/>
    <w:rsid w:val="00A242A4"/>
    <w:rsid w:val="00A2439F"/>
    <w:rsid w:val="00A24473"/>
    <w:rsid w:val="00A245D5"/>
    <w:rsid w:val="00A24ADD"/>
    <w:rsid w:val="00A24CB7"/>
    <w:rsid w:val="00A25422"/>
    <w:rsid w:val="00A25439"/>
    <w:rsid w:val="00A2554A"/>
    <w:rsid w:val="00A255B9"/>
    <w:rsid w:val="00A259FF"/>
    <w:rsid w:val="00A25BA2"/>
    <w:rsid w:val="00A26096"/>
    <w:rsid w:val="00A2641C"/>
    <w:rsid w:val="00A26507"/>
    <w:rsid w:val="00A267C7"/>
    <w:rsid w:val="00A3061A"/>
    <w:rsid w:val="00A30D04"/>
    <w:rsid w:val="00A30FBD"/>
    <w:rsid w:val="00A31026"/>
    <w:rsid w:val="00A31204"/>
    <w:rsid w:val="00A319A0"/>
    <w:rsid w:val="00A31B71"/>
    <w:rsid w:val="00A32066"/>
    <w:rsid w:val="00A325B7"/>
    <w:rsid w:val="00A325F6"/>
    <w:rsid w:val="00A328DC"/>
    <w:rsid w:val="00A32C25"/>
    <w:rsid w:val="00A3329B"/>
    <w:rsid w:val="00A334E9"/>
    <w:rsid w:val="00A3380B"/>
    <w:rsid w:val="00A33FCA"/>
    <w:rsid w:val="00A34708"/>
    <w:rsid w:val="00A347A9"/>
    <w:rsid w:val="00A34A0E"/>
    <w:rsid w:val="00A34BA0"/>
    <w:rsid w:val="00A35383"/>
    <w:rsid w:val="00A3583D"/>
    <w:rsid w:val="00A35890"/>
    <w:rsid w:val="00A35C13"/>
    <w:rsid w:val="00A367B1"/>
    <w:rsid w:val="00A368AB"/>
    <w:rsid w:val="00A3695A"/>
    <w:rsid w:val="00A3734A"/>
    <w:rsid w:val="00A3793B"/>
    <w:rsid w:val="00A40188"/>
    <w:rsid w:val="00A404CF"/>
    <w:rsid w:val="00A40615"/>
    <w:rsid w:val="00A406AC"/>
    <w:rsid w:val="00A41A80"/>
    <w:rsid w:val="00A41C17"/>
    <w:rsid w:val="00A41E48"/>
    <w:rsid w:val="00A4201E"/>
    <w:rsid w:val="00A420D4"/>
    <w:rsid w:val="00A425AD"/>
    <w:rsid w:val="00A42D47"/>
    <w:rsid w:val="00A42DDC"/>
    <w:rsid w:val="00A43070"/>
    <w:rsid w:val="00A4324F"/>
    <w:rsid w:val="00A43400"/>
    <w:rsid w:val="00A43698"/>
    <w:rsid w:val="00A43B94"/>
    <w:rsid w:val="00A43D49"/>
    <w:rsid w:val="00A4415A"/>
    <w:rsid w:val="00A44177"/>
    <w:rsid w:val="00A445C5"/>
    <w:rsid w:val="00A447D0"/>
    <w:rsid w:val="00A44898"/>
    <w:rsid w:val="00A45279"/>
    <w:rsid w:val="00A45858"/>
    <w:rsid w:val="00A45CDF"/>
    <w:rsid w:val="00A45FC5"/>
    <w:rsid w:val="00A46307"/>
    <w:rsid w:val="00A46560"/>
    <w:rsid w:val="00A465D7"/>
    <w:rsid w:val="00A47838"/>
    <w:rsid w:val="00A4783D"/>
    <w:rsid w:val="00A506A7"/>
    <w:rsid w:val="00A506C2"/>
    <w:rsid w:val="00A510F2"/>
    <w:rsid w:val="00A510F6"/>
    <w:rsid w:val="00A5157A"/>
    <w:rsid w:val="00A515D8"/>
    <w:rsid w:val="00A51698"/>
    <w:rsid w:val="00A5177F"/>
    <w:rsid w:val="00A5225D"/>
    <w:rsid w:val="00A5236A"/>
    <w:rsid w:val="00A525A9"/>
    <w:rsid w:val="00A52D4B"/>
    <w:rsid w:val="00A52EC3"/>
    <w:rsid w:val="00A52FDC"/>
    <w:rsid w:val="00A53278"/>
    <w:rsid w:val="00A5359D"/>
    <w:rsid w:val="00A535EC"/>
    <w:rsid w:val="00A5368A"/>
    <w:rsid w:val="00A53CC3"/>
    <w:rsid w:val="00A544A6"/>
    <w:rsid w:val="00A5474A"/>
    <w:rsid w:val="00A54840"/>
    <w:rsid w:val="00A54E48"/>
    <w:rsid w:val="00A55017"/>
    <w:rsid w:val="00A55164"/>
    <w:rsid w:val="00A555C6"/>
    <w:rsid w:val="00A56252"/>
    <w:rsid w:val="00A56402"/>
    <w:rsid w:val="00A56944"/>
    <w:rsid w:val="00A56AA1"/>
    <w:rsid w:val="00A56CC8"/>
    <w:rsid w:val="00A5708C"/>
    <w:rsid w:val="00A57DE3"/>
    <w:rsid w:val="00A60504"/>
    <w:rsid w:val="00A60BA5"/>
    <w:rsid w:val="00A614A6"/>
    <w:rsid w:val="00A61882"/>
    <w:rsid w:val="00A61E46"/>
    <w:rsid w:val="00A61EB4"/>
    <w:rsid w:val="00A620DF"/>
    <w:rsid w:val="00A625E2"/>
    <w:rsid w:val="00A62619"/>
    <w:rsid w:val="00A6268A"/>
    <w:rsid w:val="00A62A26"/>
    <w:rsid w:val="00A62C98"/>
    <w:rsid w:val="00A62E87"/>
    <w:rsid w:val="00A63508"/>
    <w:rsid w:val="00A6361B"/>
    <w:rsid w:val="00A637BA"/>
    <w:rsid w:val="00A64A01"/>
    <w:rsid w:val="00A6517A"/>
    <w:rsid w:val="00A6547B"/>
    <w:rsid w:val="00A65482"/>
    <w:rsid w:val="00A65C4E"/>
    <w:rsid w:val="00A65D97"/>
    <w:rsid w:val="00A66100"/>
    <w:rsid w:val="00A66155"/>
    <w:rsid w:val="00A6616C"/>
    <w:rsid w:val="00A6640E"/>
    <w:rsid w:val="00A66B16"/>
    <w:rsid w:val="00A673F2"/>
    <w:rsid w:val="00A674BE"/>
    <w:rsid w:val="00A679CE"/>
    <w:rsid w:val="00A67A3B"/>
    <w:rsid w:val="00A67F00"/>
    <w:rsid w:val="00A70177"/>
    <w:rsid w:val="00A70231"/>
    <w:rsid w:val="00A707BD"/>
    <w:rsid w:val="00A708BD"/>
    <w:rsid w:val="00A70A08"/>
    <w:rsid w:val="00A70BB9"/>
    <w:rsid w:val="00A713EE"/>
    <w:rsid w:val="00A715A9"/>
    <w:rsid w:val="00A716A1"/>
    <w:rsid w:val="00A71E69"/>
    <w:rsid w:val="00A71FD5"/>
    <w:rsid w:val="00A72B51"/>
    <w:rsid w:val="00A7307C"/>
    <w:rsid w:val="00A73A1E"/>
    <w:rsid w:val="00A73BAB"/>
    <w:rsid w:val="00A73F0D"/>
    <w:rsid w:val="00A73FE0"/>
    <w:rsid w:val="00A74045"/>
    <w:rsid w:val="00A740B3"/>
    <w:rsid w:val="00A74208"/>
    <w:rsid w:val="00A74A36"/>
    <w:rsid w:val="00A74ED9"/>
    <w:rsid w:val="00A75578"/>
    <w:rsid w:val="00A75E72"/>
    <w:rsid w:val="00A762CE"/>
    <w:rsid w:val="00A764D5"/>
    <w:rsid w:val="00A77881"/>
    <w:rsid w:val="00A77D53"/>
    <w:rsid w:val="00A77D8F"/>
    <w:rsid w:val="00A80A5F"/>
    <w:rsid w:val="00A81626"/>
    <w:rsid w:val="00A81DAF"/>
    <w:rsid w:val="00A81E7C"/>
    <w:rsid w:val="00A8228F"/>
    <w:rsid w:val="00A8285B"/>
    <w:rsid w:val="00A83789"/>
    <w:rsid w:val="00A83DC8"/>
    <w:rsid w:val="00A8410D"/>
    <w:rsid w:val="00A8413E"/>
    <w:rsid w:val="00A84D7B"/>
    <w:rsid w:val="00A84EB3"/>
    <w:rsid w:val="00A852D3"/>
    <w:rsid w:val="00A858AC"/>
    <w:rsid w:val="00A859AB"/>
    <w:rsid w:val="00A85CA7"/>
    <w:rsid w:val="00A85D6C"/>
    <w:rsid w:val="00A85DEE"/>
    <w:rsid w:val="00A85F06"/>
    <w:rsid w:val="00A86519"/>
    <w:rsid w:val="00A869DD"/>
    <w:rsid w:val="00A87177"/>
    <w:rsid w:val="00A87C8B"/>
    <w:rsid w:val="00A87F63"/>
    <w:rsid w:val="00A90C1C"/>
    <w:rsid w:val="00A91095"/>
    <w:rsid w:val="00A91DDE"/>
    <w:rsid w:val="00A92651"/>
    <w:rsid w:val="00A92E17"/>
    <w:rsid w:val="00A93276"/>
    <w:rsid w:val="00A9357A"/>
    <w:rsid w:val="00A9359F"/>
    <w:rsid w:val="00A93898"/>
    <w:rsid w:val="00A93BBF"/>
    <w:rsid w:val="00A93F5C"/>
    <w:rsid w:val="00A94174"/>
    <w:rsid w:val="00A9483B"/>
    <w:rsid w:val="00A948FF"/>
    <w:rsid w:val="00A94D3C"/>
    <w:rsid w:val="00A94D83"/>
    <w:rsid w:val="00A94DB4"/>
    <w:rsid w:val="00A94E1C"/>
    <w:rsid w:val="00A957B0"/>
    <w:rsid w:val="00A9583A"/>
    <w:rsid w:val="00A95A48"/>
    <w:rsid w:val="00A95E78"/>
    <w:rsid w:val="00A96130"/>
    <w:rsid w:val="00A961C7"/>
    <w:rsid w:val="00A963F7"/>
    <w:rsid w:val="00A964CE"/>
    <w:rsid w:val="00A96701"/>
    <w:rsid w:val="00A96B60"/>
    <w:rsid w:val="00A97E21"/>
    <w:rsid w:val="00A97EFE"/>
    <w:rsid w:val="00AA05B1"/>
    <w:rsid w:val="00AA1413"/>
    <w:rsid w:val="00AA1A41"/>
    <w:rsid w:val="00AA1BF7"/>
    <w:rsid w:val="00AA1C87"/>
    <w:rsid w:val="00AA20C3"/>
    <w:rsid w:val="00AA2136"/>
    <w:rsid w:val="00AA2199"/>
    <w:rsid w:val="00AA2C6C"/>
    <w:rsid w:val="00AA30A8"/>
    <w:rsid w:val="00AA3AC5"/>
    <w:rsid w:val="00AA3AD9"/>
    <w:rsid w:val="00AA3D9B"/>
    <w:rsid w:val="00AA4092"/>
    <w:rsid w:val="00AA409D"/>
    <w:rsid w:val="00AA4377"/>
    <w:rsid w:val="00AA4D61"/>
    <w:rsid w:val="00AA4F1E"/>
    <w:rsid w:val="00AA517A"/>
    <w:rsid w:val="00AA5716"/>
    <w:rsid w:val="00AA5BF1"/>
    <w:rsid w:val="00AA5C64"/>
    <w:rsid w:val="00AA5C65"/>
    <w:rsid w:val="00AA5ED4"/>
    <w:rsid w:val="00AA5EDE"/>
    <w:rsid w:val="00AA67FC"/>
    <w:rsid w:val="00AA6C1D"/>
    <w:rsid w:val="00AA6CFB"/>
    <w:rsid w:val="00AA7111"/>
    <w:rsid w:val="00AA7355"/>
    <w:rsid w:val="00AA75C7"/>
    <w:rsid w:val="00AA7613"/>
    <w:rsid w:val="00AA76B1"/>
    <w:rsid w:val="00AA771B"/>
    <w:rsid w:val="00AA783D"/>
    <w:rsid w:val="00AA7BE1"/>
    <w:rsid w:val="00AA7D75"/>
    <w:rsid w:val="00AB032F"/>
    <w:rsid w:val="00AB035F"/>
    <w:rsid w:val="00AB05CB"/>
    <w:rsid w:val="00AB113F"/>
    <w:rsid w:val="00AB1967"/>
    <w:rsid w:val="00AB221D"/>
    <w:rsid w:val="00AB2275"/>
    <w:rsid w:val="00AB2BE6"/>
    <w:rsid w:val="00AB2C32"/>
    <w:rsid w:val="00AB3969"/>
    <w:rsid w:val="00AB3A4A"/>
    <w:rsid w:val="00AB3B92"/>
    <w:rsid w:val="00AB3D3A"/>
    <w:rsid w:val="00AB3D6D"/>
    <w:rsid w:val="00AB419A"/>
    <w:rsid w:val="00AB4420"/>
    <w:rsid w:val="00AB49CA"/>
    <w:rsid w:val="00AB4A6A"/>
    <w:rsid w:val="00AB5084"/>
    <w:rsid w:val="00AB522B"/>
    <w:rsid w:val="00AB54BF"/>
    <w:rsid w:val="00AB5587"/>
    <w:rsid w:val="00AB60BF"/>
    <w:rsid w:val="00AB623F"/>
    <w:rsid w:val="00AB6ADD"/>
    <w:rsid w:val="00AB6C77"/>
    <w:rsid w:val="00AB6E3C"/>
    <w:rsid w:val="00AB6E4F"/>
    <w:rsid w:val="00AB6F99"/>
    <w:rsid w:val="00AB7698"/>
    <w:rsid w:val="00AB7850"/>
    <w:rsid w:val="00AB7D0A"/>
    <w:rsid w:val="00AB7D7C"/>
    <w:rsid w:val="00AC016B"/>
    <w:rsid w:val="00AC0D5B"/>
    <w:rsid w:val="00AC1661"/>
    <w:rsid w:val="00AC1BE5"/>
    <w:rsid w:val="00AC2A21"/>
    <w:rsid w:val="00AC35D4"/>
    <w:rsid w:val="00AC395B"/>
    <w:rsid w:val="00AC3BA9"/>
    <w:rsid w:val="00AC4250"/>
    <w:rsid w:val="00AC44E7"/>
    <w:rsid w:val="00AC496E"/>
    <w:rsid w:val="00AC4975"/>
    <w:rsid w:val="00AC4B48"/>
    <w:rsid w:val="00AC5566"/>
    <w:rsid w:val="00AC5573"/>
    <w:rsid w:val="00AC5D80"/>
    <w:rsid w:val="00AC6619"/>
    <w:rsid w:val="00AC691A"/>
    <w:rsid w:val="00AC6948"/>
    <w:rsid w:val="00AC69C3"/>
    <w:rsid w:val="00AC6E1A"/>
    <w:rsid w:val="00AC7087"/>
    <w:rsid w:val="00AC7215"/>
    <w:rsid w:val="00AC7446"/>
    <w:rsid w:val="00AC755F"/>
    <w:rsid w:val="00AC78B3"/>
    <w:rsid w:val="00AC7940"/>
    <w:rsid w:val="00AC79DB"/>
    <w:rsid w:val="00AC7A62"/>
    <w:rsid w:val="00AD01EB"/>
    <w:rsid w:val="00AD0264"/>
    <w:rsid w:val="00AD0ACD"/>
    <w:rsid w:val="00AD0FDA"/>
    <w:rsid w:val="00AD1714"/>
    <w:rsid w:val="00AD1D45"/>
    <w:rsid w:val="00AD1E7B"/>
    <w:rsid w:val="00AD204A"/>
    <w:rsid w:val="00AD205C"/>
    <w:rsid w:val="00AD20F1"/>
    <w:rsid w:val="00AD23E6"/>
    <w:rsid w:val="00AD2F93"/>
    <w:rsid w:val="00AD3059"/>
    <w:rsid w:val="00AD3A41"/>
    <w:rsid w:val="00AD3F13"/>
    <w:rsid w:val="00AD4B7B"/>
    <w:rsid w:val="00AD4C7E"/>
    <w:rsid w:val="00AD4F61"/>
    <w:rsid w:val="00AD585E"/>
    <w:rsid w:val="00AD5B63"/>
    <w:rsid w:val="00AD5C18"/>
    <w:rsid w:val="00AD6348"/>
    <w:rsid w:val="00AD6865"/>
    <w:rsid w:val="00AD6927"/>
    <w:rsid w:val="00AD6945"/>
    <w:rsid w:val="00AD6DCF"/>
    <w:rsid w:val="00AD70F3"/>
    <w:rsid w:val="00AD71F4"/>
    <w:rsid w:val="00AD735F"/>
    <w:rsid w:val="00AD7502"/>
    <w:rsid w:val="00AD77A8"/>
    <w:rsid w:val="00AD78BA"/>
    <w:rsid w:val="00AD7BF7"/>
    <w:rsid w:val="00AE02D9"/>
    <w:rsid w:val="00AE055D"/>
    <w:rsid w:val="00AE07CF"/>
    <w:rsid w:val="00AE0891"/>
    <w:rsid w:val="00AE09C0"/>
    <w:rsid w:val="00AE1474"/>
    <w:rsid w:val="00AE251D"/>
    <w:rsid w:val="00AE2B4B"/>
    <w:rsid w:val="00AE2C77"/>
    <w:rsid w:val="00AE346E"/>
    <w:rsid w:val="00AE3D50"/>
    <w:rsid w:val="00AE445E"/>
    <w:rsid w:val="00AE484E"/>
    <w:rsid w:val="00AE4A01"/>
    <w:rsid w:val="00AE4DC6"/>
    <w:rsid w:val="00AE4E6E"/>
    <w:rsid w:val="00AE4F7A"/>
    <w:rsid w:val="00AE542F"/>
    <w:rsid w:val="00AE596A"/>
    <w:rsid w:val="00AE6201"/>
    <w:rsid w:val="00AE670C"/>
    <w:rsid w:val="00AE6BA9"/>
    <w:rsid w:val="00AE70F0"/>
    <w:rsid w:val="00AE719C"/>
    <w:rsid w:val="00AE72A2"/>
    <w:rsid w:val="00AE75AD"/>
    <w:rsid w:val="00AE7755"/>
    <w:rsid w:val="00AE781D"/>
    <w:rsid w:val="00AE795B"/>
    <w:rsid w:val="00AF00D0"/>
    <w:rsid w:val="00AF07A5"/>
    <w:rsid w:val="00AF09C0"/>
    <w:rsid w:val="00AF0F48"/>
    <w:rsid w:val="00AF15AA"/>
    <w:rsid w:val="00AF1C66"/>
    <w:rsid w:val="00AF2D4F"/>
    <w:rsid w:val="00AF2F86"/>
    <w:rsid w:val="00AF3653"/>
    <w:rsid w:val="00AF3677"/>
    <w:rsid w:val="00AF39EA"/>
    <w:rsid w:val="00AF3A44"/>
    <w:rsid w:val="00AF3C9B"/>
    <w:rsid w:val="00AF3ECE"/>
    <w:rsid w:val="00AF475B"/>
    <w:rsid w:val="00AF4ADA"/>
    <w:rsid w:val="00AF4F3F"/>
    <w:rsid w:val="00AF511C"/>
    <w:rsid w:val="00AF51EA"/>
    <w:rsid w:val="00AF54D3"/>
    <w:rsid w:val="00AF5834"/>
    <w:rsid w:val="00AF5A4E"/>
    <w:rsid w:val="00AF5C62"/>
    <w:rsid w:val="00AF6A06"/>
    <w:rsid w:val="00AF6DB4"/>
    <w:rsid w:val="00AF727A"/>
    <w:rsid w:val="00AF77B8"/>
    <w:rsid w:val="00B000DC"/>
    <w:rsid w:val="00B00344"/>
    <w:rsid w:val="00B00931"/>
    <w:rsid w:val="00B0094E"/>
    <w:rsid w:val="00B009B0"/>
    <w:rsid w:val="00B00C2B"/>
    <w:rsid w:val="00B01449"/>
    <w:rsid w:val="00B015B7"/>
    <w:rsid w:val="00B01649"/>
    <w:rsid w:val="00B022FC"/>
    <w:rsid w:val="00B03CAC"/>
    <w:rsid w:val="00B04755"/>
    <w:rsid w:val="00B0476B"/>
    <w:rsid w:val="00B04808"/>
    <w:rsid w:val="00B048B7"/>
    <w:rsid w:val="00B05307"/>
    <w:rsid w:val="00B053F2"/>
    <w:rsid w:val="00B054D3"/>
    <w:rsid w:val="00B0577C"/>
    <w:rsid w:val="00B059D3"/>
    <w:rsid w:val="00B068D4"/>
    <w:rsid w:val="00B068EB"/>
    <w:rsid w:val="00B069EB"/>
    <w:rsid w:val="00B06D18"/>
    <w:rsid w:val="00B06D4A"/>
    <w:rsid w:val="00B071E3"/>
    <w:rsid w:val="00B07340"/>
    <w:rsid w:val="00B074D4"/>
    <w:rsid w:val="00B07B97"/>
    <w:rsid w:val="00B1015F"/>
    <w:rsid w:val="00B10674"/>
    <w:rsid w:val="00B10EF6"/>
    <w:rsid w:val="00B11042"/>
    <w:rsid w:val="00B113C5"/>
    <w:rsid w:val="00B116DD"/>
    <w:rsid w:val="00B11787"/>
    <w:rsid w:val="00B1196E"/>
    <w:rsid w:val="00B128E8"/>
    <w:rsid w:val="00B12AD9"/>
    <w:rsid w:val="00B131CC"/>
    <w:rsid w:val="00B1355E"/>
    <w:rsid w:val="00B13CA9"/>
    <w:rsid w:val="00B146D0"/>
    <w:rsid w:val="00B14C5D"/>
    <w:rsid w:val="00B14D84"/>
    <w:rsid w:val="00B14E11"/>
    <w:rsid w:val="00B15099"/>
    <w:rsid w:val="00B150DD"/>
    <w:rsid w:val="00B15534"/>
    <w:rsid w:val="00B15C56"/>
    <w:rsid w:val="00B161F9"/>
    <w:rsid w:val="00B1620D"/>
    <w:rsid w:val="00B165EF"/>
    <w:rsid w:val="00B16BDB"/>
    <w:rsid w:val="00B175BD"/>
    <w:rsid w:val="00B1793D"/>
    <w:rsid w:val="00B17B0C"/>
    <w:rsid w:val="00B17BCB"/>
    <w:rsid w:val="00B17C98"/>
    <w:rsid w:val="00B2005E"/>
    <w:rsid w:val="00B20204"/>
    <w:rsid w:val="00B203B9"/>
    <w:rsid w:val="00B20D21"/>
    <w:rsid w:val="00B219BD"/>
    <w:rsid w:val="00B21D0B"/>
    <w:rsid w:val="00B21F06"/>
    <w:rsid w:val="00B2208D"/>
    <w:rsid w:val="00B22695"/>
    <w:rsid w:val="00B22BA2"/>
    <w:rsid w:val="00B23659"/>
    <w:rsid w:val="00B23E9A"/>
    <w:rsid w:val="00B23FDD"/>
    <w:rsid w:val="00B2406F"/>
    <w:rsid w:val="00B241BE"/>
    <w:rsid w:val="00B24721"/>
    <w:rsid w:val="00B247CA"/>
    <w:rsid w:val="00B24C02"/>
    <w:rsid w:val="00B24EBE"/>
    <w:rsid w:val="00B2521C"/>
    <w:rsid w:val="00B253C0"/>
    <w:rsid w:val="00B25488"/>
    <w:rsid w:val="00B255A5"/>
    <w:rsid w:val="00B2577B"/>
    <w:rsid w:val="00B25930"/>
    <w:rsid w:val="00B25C1C"/>
    <w:rsid w:val="00B26233"/>
    <w:rsid w:val="00B262C0"/>
    <w:rsid w:val="00B262FD"/>
    <w:rsid w:val="00B26407"/>
    <w:rsid w:val="00B26BB0"/>
    <w:rsid w:val="00B26C02"/>
    <w:rsid w:val="00B275BE"/>
    <w:rsid w:val="00B2799F"/>
    <w:rsid w:val="00B305E5"/>
    <w:rsid w:val="00B30FA4"/>
    <w:rsid w:val="00B311F0"/>
    <w:rsid w:val="00B311FA"/>
    <w:rsid w:val="00B31250"/>
    <w:rsid w:val="00B31855"/>
    <w:rsid w:val="00B31F99"/>
    <w:rsid w:val="00B32112"/>
    <w:rsid w:val="00B3245D"/>
    <w:rsid w:val="00B32866"/>
    <w:rsid w:val="00B32B9F"/>
    <w:rsid w:val="00B3308C"/>
    <w:rsid w:val="00B33AAB"/>
    <w:rsid w:val="00B33CE9"/>
    <w:rsid w:val="00B340AA"/>
    <w:rsid w:val="00B342F4"/>
    <w:rsid w:val="00B3433A"/>
    <w:rsid w:val="00B34405"/>
    <w:rsid w:val="00B34821"/>
    <w:rsid w:val="00B35198"/>
    <w:rsid w:val="00B35AA5"/>
    <w:rsid w:val="00B35D92"/>
    <w:rsid w:val="00B35FC1"/>
    <w:rsid w:val="00B36436"/>
    <w:rsid w:val="00B3664F"/>
    <w:rsid w:val="00B36F6E"/>
    <w:rsid w:val="00B37038"/>
    <w:rsid w:val="00B370F3"/>
    <w:rsid w:val="00B371BD"/>
    <w:rsid w:val="00B37328"/>
    <w:rsid w:val="00B3785D"/>
    <w:rsid w:val="00B37887"/>
    <w:rsid w:val="00B37CDC"/>
    <w:rsid w:val="00B408C8"/>
    <w:rsid w:val="00B40932"/>
    <w:rsid w:val="00B40C7A"/>
    <w:rsid w:val="00B40D51"/>
    <w:rsid w:val="00B41802"/>
    <w:rsid w:val="00B41E59"/>
    <w:rsid w:val="00B42178"/>
    <w:rsid w:val="00B42330"/>
    <w:rsid w:val="00B427B9"/>
    <w:rsid w:val="00B428E9"/>
    <w:rsid w:val="00B42BFB"/>
    <w:rsid w:val="00B42EF0"/>
    <w:rsid w:val="00B433DF"/>
    <w:rsid w:val="00B43460"/>
    <w:rsid w:val="00B4372A"/>
    <w:rsid w:val="00B43D28"/>
    <w:rsid w:val="00B43D97"/>
    <w:rsid w:val="00B43EF1"/>
    <w:rsid w:val="00B43F4E"/>
    <w:rsid w:val="00B44924"/>
    <w:rsid w:val="00B4498E"/>
    <w:rsid w:val="00B44CCC"/>
    <w:rsid w:val="00B44CD5"/>
    <w:rsid w:val="00B44E4C"/>
    <w:rsid w:val="00B44FB1"/>
    <w:rsid w:val="00B45083"/>
    <w:rsid w:val="00B452EC"/>
    <w:rsid w:val="00B45368"/>
    <w:rsid w:val="00B4544B"/>
    <w:rsid w:val="00B4588A"/>
    <w:rsid w:val="00B45E73"/>
    <w:rsid w:val="00B45F90"/>
    <w:rsid w:val="00B462A6"/>
    <w:rsid w:val="00B463F1"/>
    <w:rsid w:val="00B465BA"/>
    <w:rsid w:val="00B467D8"/>
    <w:rsid w:val="00B46984"/>
    <w:rsid w:val="00B46E66"/>
    <w:rsid w:val="00B47316"/>
    <w:rsid w:val="00B47E1D"/>
    <w:rsid w:val="00B47F86"/>
    <w:rsid w:val="00B47FE1"/>
    <w:rsid w:val="00B50608"/>
    <w:rsid w:val="00B50F94"/>
    <w:rsid w:val="00B50FA3"/>
    <w:rsid w:val="00B515F7"/>
    <w:rsid w:val="00B51FA4"/>
    <w:rsid w:val="00B51FAA"/>
    <w:rsid w:val="00B525D4"/>
    <w:rsid w:val="00B52C45"/>
    <w:rsid w:val="00B52E4D"/>
    <w:rsid w:val="00B53019"/>
    <w:rsid w:val="00B53511"/>
    <w:rsid w:val="00B53C01"/>
    <w:rsid w:val="00B541A2"/>
    <w:rsid w:val="00B54D4C"/>
    <w:rsid w:val="00B54EC4"/>
    <w:rsid w:val="00B55111"/>
    <w:rsid w:val="00B55D4E"/>
    <w:rsid w:val="00B55E3E"/>
    <w:rsid w:val="00B560B9"/>
    <w:rsid w:val="00B5673E"/>
    <w:rsid w:val="00B56B4B"/>
    <w:rsid w:val="00B5715A"/>
    <w:rsid w:val="00B5729E"/>
    <w:rsid w:val="00B573CB"/>
    <w:rsid w:val="00B574FA"/>
    <w:rsid w:val="00B57A7D"/>
    <w:rsid w:val="00B57CBC"/>
    <w:rsid w:val="00B602F6"/>
    <w:rsid w:val="00B6045B"/>
    <w:rsid w:val="00B605EC"/>
    <w:rsid w:val="00B6072F"/>
    <w:rsid w:val="00B607B7"/>
    <w:rsid w:val="00B60DD7"/>
    <w:rsid w:val="00B60E87"/>
    <w:rsid w:val="00B6106F"/>
    <w:rsid w:val="00B612B5"/>
    <w:rsid w:val="00B61398"/>
    <w:rsid w:val="00B615F1"/>
    <w:rsid w:val="00B617F8"/>
    <w:rsid w:val="00B62095"/>
    <w:rsid w:val="00B622FC"/>
    <w:rsid w:val="00B62440"/>
    <w:rsid w:val="00B629DC"/>
    <w:rsid w:val="00B62D30"/>
    <w:rsid w:val="00B63E2B"/>
    <w:rsid w:val="00B64117"/>
    <w:rsid w:val="00B64141"/>
    <w:rsid w:val="00B64337"/>
    <w:rsid w:val="00B64396"/>
    <w:rsid w:val="00B64612"/>
    <w:rsid w:val="00B652B0"/>
    <w:rsid w:val="00B6549A"/>
    <w:rsid w:val="00B65C2C"/>
    <w:rsid w:val="00B65CD2"/>
    <w:rsid w:val="00B6631B"/>
    <w:rsid w:val="00B6698C"/>
    <w:rsid w:val="00B66E84"/>
    <w:rsid w:val="00B6736B"/>
    <w:rsid w:val="00B67370"/>
    <w:rsid w:val="00B678D7"/>
    <w:rsid w:val="00B67A85"/>
    <w:rsid w:val="00B67AEE"/>
    <w:rsid w:val="00B67F1B"/>
    <w:rsid w:val="00B67F2B"/>
    <w:rsid w:val="00B70A17"/>
    <w:rsid w:val="00B70E41"/>
    <w:rsid w:val="00B718A0"/>
    <w:rsid w:val="00B72076"/>
    <w:rsid w:val="00B720BA"/>
    <w:rsid w:val="00B72411"/>
    <w:rsid w:val="00B72505"/>
    <w:rsid w:val="00B7285C"/>
    <w:rsid w:val="00B72AC2"/>
    <w:rsid w:val="00B72EF3"/>
    <w:rsid w:val="00B73713"/>
    <w:rsid w:val="00B73801"/>
    <w:rsid w:val="00B73943"/>
    <w:rsid w:val="00B73B4D"/>
    <w:rsid w:val="00B73B7C"/>
    <w:rsid w:val="00B73EC6"/>
    <w:rsid w:val="00B740D9"/>
    <w:rsid w:val="00B74569"/>
    <w:rsid w:val="00B74FAE"/>
    <w:rsid w:val="00B7509C"/>
    <w:rsid w:val="00B75316"/>
    <w:rsid w:val="00B7553B"/>
    <w:rsid w:val="00B759B4"/>
    <w:rsid w:val="00B761DC"/>
    <w:rsid w:val="00B761E0"/>
    <w:rsid w:val="00B76B26"/>
    <w:rsid w:val="00B76B80"/>
    <w:rsid w:val="00B77204"/>
    <w:rsid w:val="00B77A12"/>
    <w:rsid w:val="00B77D4F"/>
    <w:rsid w:val="00B80082"/>
    <w:rsid w:val="00B80181"/>
    <w:rsid w:val="00B80C4E"/>
    <w:rsid w:val="00B810C6"/>
    <w:rsid w:val="00B8177A"/>
    <w:rsid w:val="00B81803"/>
    <w:rsid w:val="00B81B7E"/>
    <w:rsid w:val="00B81ED7"/>
    <w:rsid w:val="00B82036"/>
    <w:rsid w:val="00B821A4"/>
    <w:rsid w:val="00B82AA6"/>
    <w:rsid w:val="00B82AF5"/>
    <w:rsid w:val="00B82CE0"/>
    <w:rsid w:val="00B82E96"/>
    <w:rsid w:val="00B82FE7"/>
    <w:rsid w:val="00B82FF7"/>
    <w:rsid w:val="00B83739"/>
    <w:rsid w:val="00B83D4E"/>
    <w:rsid w:val="00B83EE6"/>
    <w:rsid w:val="00B850D9"/>
    <w:rsid w:val="00B85EE2"/>
    <w:rsid w:val="00B861AE"/>
    <w:rsid w:val="00B86436"/>
    <w:rsid w:val="00B878C5"/>
    <w:rsid w:val="00B879A1"/>
    <w:rsid w:val="00B87D2A"/>
    <w:rsid w:val="00B87FF9"/>
    <w:rsid w:val="00B90032"/>
    <w:rsid w:val="00B9010B"/>
    <w:rsid w:val="00B902B2"/>
    <w:rsid w:val="00B904E8"/>
    <w:rsid w:val="00B90A55"/>
    <w:rsid w:val="00B90ACC"/>
    <w:rsid w:val="00B9137D"/>
    <w:rsid w:val="00B9153E"/>
    <w:rsid w:val="00B9196E"/>
    <w:rsid w:val="00B92461"/>
    <w:rsid w:val="00B92737"/>
    <w:rsid w:val="00B928A0"/>
    <w:rsid w:val="00B92F07"/>
    <w:rsid w:val="00B92F48"/>
    <w:rsid w:val="00B935AF"/>
    <w:rsid w:val="00B938EB"/>
    <w:rsid w:val="00B94BA8"/>
    <w:rsid w:val="00B951AE"/>
    <w:rsid w:val="00B958BA"/>
    <w:rsid w:val="00B958C2"/>
    <w:rsid w:val="00B95D34"/>
    <w:rsid w:val="00B962D4"/>
    <w:rsid w:val="00B9646C"/>
    <w:rsid w:val="00B96A6F"/>
    <w:rsid w:val="00B96D8D"/>
    <w:rsid w:val="00B976C0"/>
    <w:rsid w:val="00B97D67"/>
    <w:rsid w:val="00BA053F"/>
    <w:rsid w:val="00BA084B"/>
    <w:rsid w:val="00BA177B"/>
    <w:rsid w:val="00BA19B8"/>
    <w:rsid w:val="00BA1EDD"/>
    <w:rsid w:val="00BA2E5F"/>
    <w:rsid w:val="00BA3302"/>
    <w:rsid w:val="00BA37E7"/>
    <w:rsid w:val="00BA52BB"/>
    <w:rsid w:val="00BA5816"/>
    <w:rsid w:val="00BA5A1A"/>
    <w:rsid w:val="00BA5A7E"/>
    <w:rsid w:val="00BA5C6F"/>
    <w:rsid w:val="00BA5E80"/>
    <w:rsid w:val="00BA64C4"/>
    <w:rsid w:val="00BA6967"/>
    <w:rsid w:val="00BA6D10"/>
    <w:rsid w:val="00BA6D53"/>
    <w:rsid w:val="00BB009A"/>
    <w:rsid w:val="00BB0351"/>
    <w:rsid w:val="00BB0725"/>
    <w:rsid w:val="00BB0912"/>
    <w:rsid w:val="00BB0DD4"/>
    <w:rsid w:val="00BB14F6"/>
    <w:rsid w:val="00BB17FD"/>
    <w:rsid w:val="00BB1D42"/>
    <w:rsid w:val="00BB2A70"/>
    <w:rsid w:val="00BB2D6A"/>
    <w:rsid w:val="00BB30D0"/>
    <w:rsid w:val="00BB34F0"/>
    <w:rsid w:val="00BB3665"/>
    <w:rsid w:val="00BB3D3D"/>
    <w:rsid w:val="00BB3F32"/>
    <w:rsid w:val="00BB41FC"/>
    <w:rsid w:val="00BB48C7"/>
    <w:rsid w:val="00BB4985"/>
    <w:rsid w:val="00BB5574"/>
    <w:rsid w:val="00BB57F7"/>
    <w:rsid w:val="00BB585F"/>
    <w:rsid w:val="00BB62CB"/>
    <w:rsid w:val="00BB6712"/>
    <w:rsid w:val="00BB67D8"/>
    <w:rsid w:val="00BB6C4F"/>
    <w:rsid w:val="00BB6DF8"/>
    <w:rsid w:val="00BB722B"/>
    <w:rsid w:val="00BB72CF"/>
    <w:rsid w:val="00BB72E3"/>
    <w:rsid w:val="00BB7579"/>
    <w:rsid w:val="00BB76E9"/>
    <w:rsid w:val="00BB7846"/>
    <w:rsid w:val="00BB78BD"/>
    <w:rsid w:val="00BB7BFA"/>
    <w:rsid w:val="00BB7E2B"/>
    <w:rsid w:val="00BC06D5"/>
    <w:rsid w:val="00BC08FA"/>
    <w:rsid w:val="00BC110B"/>
    <w:rsid w:val="00BC1134"/>
    <w:rsid w:val="00BC13D6"/>
    <w:rsid w:val="00BC13FB"/>
    <w:rsid w:val="00BC1665"/>
    <w:rsid w:val="00BC19B4"/>
    <w:rsid w:val="00BC1F2C"/>
    <w:rsid w:val="00BC24BE"/>
    <w:rsid w:val="00BC2A77"/>
    <w:rsid w:val="00BC2A84"/>
    <w:rsid w:val="00BC2BAF"/>
    <w:rsid w:val="00BC2CF9"/>
    <w:rsid w:val="00BC3073"/>
    <w:rsid w:val="00BC35FE"/>
    <w:rsid w:val="00BC36D0"/>
    <w:rsid w:val="00BC373C"/>
    <w:rsid w:val="00BC398D"/>
    <w:rsid w:val="00BC40FB"/>
    <w:rsid w:val="00BC4727"/>
    <w:rsid w:val="00BC4D0D"/>
    <w:rsid w:val="00BC4E15"/>
    <w:rsid w:val="00BC50D2"/>
    <w:rsid w:val="00BC510A"/>
    <w:rsid w:val="00BC552A"/>
    <w:rsid w:val="00BC57E7"/>
    <w:rsid w:val="00BC5904"/>
    <w:rsid w:val="00BC59D3"/>
    <w:rsid w:val="00BC62C3"/>
    <w:rsid w:val="00BC68BE"/>
    <w:rsid w:val="00BC69D7"/>
    <w:rsid w:val="00BC6F21"/>
    <w:rsid w:val="00BC73D8"/>
    <w:rsid w:val="00BC7589"/>
    <w:rsid w:val="00BC7B42"/>
    <w:rsid w:val="00BC7F25"/>
    <w:rsid w:val="00BD0195"/>
    <w:rsid w:val="00BD01A7"/>
    <w:rsid w:val="00BD05E5"/>
    <w:rsid w:val="00BD0860"/>
    <w:rsid w:val="00BD0B23"/>
    <w:rsid w:val="00BD0CDC"/>
    <w:rsid w:val="00BD157A"/>
    <w:rsid w:val="00BD15E7"/>
    <w:rsid w:val="00BD1B46"/>
    <w:rsid w:val="00BD24A5"/>
    <w:rsid w:val="00BD29A6"/>
    <w:rsid w:val="00BD2C37"/>
    <w:rsid w:val="00BD351E"/>
    <w:rsid w:val="00BD3683"/>
    <w:rsid w:val="00BD3762"/>
    <w:rsid w:val="00BD3ACD"/>
    <w:rsid w:val="00BD3DED"/>
    <w:rsid w:val="00BD4469"/>
    <w:rsid w:val="00BD46AB"/>
    <w:rsid w:val="00BD4AB3"/>
    <w:rsid w:val="00BD4EC7"/>
    <w:rsid w:val="00BD507B"/>
    <w:rsid w:val="00BD5091"/>
    <w:rsid w:val="00BD52D9"/>
    <w:rsid w:val="00BD5504"/>
    <w:rsid w:val="00BD5A7D"/>
    <w:rsid w:val="00BD71DD"/>
    <w:rsid w:val="00BD7314"/>
    <w:rsid w:val="00BD7C34"/>
    <w:rsid w:val="00BD7F1E"/>
    <w:rsid w:val="00BE041D"/>
    <w:rsid w:val="00BE04A3"/>
    <w:rsid w:val="00BE052A"/>
    <w:rsid w:val="00BE0857"/>
    <w:rsid w:val="00BE1204"/>
    <w:rsid w:val="00BE1496"/>
    <w:rsid w:val="00BE2011"/>
    <w:rsid w:val="00BE23ED"/>
    <w:rsid w:val="00BE2DA1"/>
    <w:rsid w:val="00BE2F7A"/>
    <w:rsid w:val="00BE361C"/>
    <w:rsid w:val="00BE3942"/>
    <w:rsid w:val="00BE3984"/>
    <w:rsid w:val="00BE3A3B"/>
    <w:rsid w:val="00BE3D0E"/>
    <w:rsid w:val="00BE41C8"/>
    <w:rsid w:val="00BE4654"/>
    <w:rsid w:val="00BE4AAF"/>
    <w:rsid w:val="00BE4BDD"/>
    <w:rsid w:val="00BE5B3D"/>
    <w:rsid w:val="00BE5C58"/>
    <w:rsid w:val="00BE5F1A"/>
    <w:rsid w:val="00BE607E"/>
    <w:rsid w:val="00BE6093"/>
    <w:rsid w:val="00BE654F"/>
    <w:rsid w:val="00BE6B35"/>
    <w:rsid w:val="00BE7559"/>
    <w:rsid w:val="00BE7579"/>
    <w:rsid w:val="00BE7594"/>
    <w:rsid w:val="00BE7B87"/>
    <w:rsid w:val="00BE7B88"/>
    <w:rsid w:val="00BE7C45"/>
    <w:rsid w:val="00BF0536"/>
    <w:rsid w:val="00BF0BBC"/>
    <w:rsid w:val="00BF0C31"/>
    <w:rsid w:val="00BF0C97"/>
    <w:rsid w:val="00BF1667"/>
    <w:rsid w:val="00BF16ED"/>
    <w:rsid w:val="00BF1742"/>
    <w:rsid w:val="00BF1747"/>
    <w:rsid w:val="00BF1AD1"/>
    <w:rsid w:val="00BF1D5C"/>
    <w:rsid w:val="00BF29AC"/>
    <w:rsid w:val="00BF2AB2"/>
    <w:rsid w:val="00BF2CC4"/>
    <w:rsid w:val="00BF2D38"/>
    <w:rsid w:val="00BF3723"/>
    <w:rsid w:val="00BF3881"/>
    <w:rsid w:val="00BF3F83"/>
    <w:rsid w:val="00BF44F3"/>
    <w:rsid w:val="00BF4842"/>
    <w:rsid w:val="00BF49F7"/>
    <w:rsid w:val="00BF4BA7"/>
    <w:rsid w:val="00BF4E6D"/>
    <w:rsid w:val="00BF4F40"/>
    <w:rsid w:val="00BF591E"/>
    <w:rsid w:val="00BF5ABD"/>
    <w:rsid w:val="00BF6085"/>
    <w:rsid w:val="00BF6129"/>
    <w:rsid w:val="00BF640C"/>
    <w:rsid w:val="00BF6627"/>
    <w:rsid w:val="00BF669A"/>
    <w:rsid w:val="00BF6E09"/>
    <w:rsid w:val="00BF7118"/>
    <w:rsid w:val="00BF7146"/>
    <w:rsid w:val="00BF73BD"/>
    <w:rsid w:val="00BF7914"/>
    <w:rsid w:val="00BF7E28"/>
    <w:rsid w:val="00C0085F"/>
    <w:rsid w:val="00C00B14"/>
    <w:rsid w:val="00C01431"/>
    <w:rsid w:val="00C014CE"/>
    <w:rsid w:val="00C01574"/>
    <w:rsid w:val="00C017B4"/>
    <w:rsid w:val="00C01B34"/>
    <w:rsid w:val="00C01EA7"/>
    <w:rsid w:val="00C01FEF"/>
    <w:rsid w:val="00C020B4"/>
    <w:rsid w:val="00C02247"/>
    <w:rsid w:val="00C02286"/>
    <w:rsid w:val="00C026EE"/>
    <w:rsid w:val="00C02A67"/>
    <w:rsid w:val="00C02ED3"/>
    <w:rsid w:val="00C02FF0"/>
    <w:rsid w:val="00C030F6"/>
    <w:rsid w:val="00C0332F"/>
    <w:rsid w:val="00C0372A"/>
    <w:rsid w:val="00C03A3E"/>
    <w:rsid w:val="00C03FBF"/>
    <w:rsid w:val="00C04032"/>
    <w:rsid w:val="00C043E5"/>
    <w:rsid w:val="00C04662"/>
    <w:rsid w:val="00C04C77"/>
    <w:rsid w:val="00C04D9A"/>
    <w:rsid w:val="00C05641"/>
    <w:rsid w:val="00C05711"/>
    <w:rsid w:val="00C05CB5"/>
    <w:rsid w:val="00C05CD8"/>
    <w:rsid w:val="00C06695"/>
    <w:rsid w:val="00C06CDB"/>
    <w:rsid w:val="00C06D6F"/>
    <w:rsid w:val="00C07206"/>
    <w:rsid w:val="00C07722"/>
    <w:rsid w:val="00C07C08"/>
    <w:rsid w:val="00C10455"/>
    <w:rsid w:val="00C10D6B"/>
    <w:rsid w:val="00C10D90"/>
    <w:rsid w:val="00C10FD8"/>
    <w:rsid w:val="00C111E7"/>
    <w:rsid w:val="00C112B6"/>
    <w:rsid w:val="00C1175C"/>
    <w:rsid w:val="00C11BCC"/>
    <w:rsid w:val="00C124E9"/>
    <w:rsid w:val="00C12622"/>
    <w:rsid w:val="00C12A91"/>
    <w:rsid w:val="00C1300D"/>
    <w:rsid w:val="00C13383"/>
    <w:rsid w:val="00C13450"/>
    <w:rsid w:val="00C1373E"/>
    <w:rsid w:val="00C138DB"/>
    <w:rsid w:val="00C13EBF"/>
    <w:rsid w:val="00C1401F"/>
    <w:rsid w:val="00C14158"/>
    <w:rsid w:val="00C142A5"/>
    <w:rsid w:val="00C14354"/>
    <w:rsid w:val="00C1453F"/>
    <w:rsid w:val="00C1494F"/>
    <w:rsid w:val="00C14990"/>
    <w:rsid w:val="00C14DE5"/>
    <w:rsid w:val="00C14F36"/>
    <w:rsid w:val="00C14FD0"/>
    <w:rsid w:val="00C15CFC"/>
    <w:rsid w:val="00C15E87"/>
    <w:rsid w:val="00C16682"/>
    <w:rsid w:val="00C1669C"/>
    <w:rsid w:val="00C16BD1"/>
    <w:rsid w:val="00C178D6"/>
    <w:rsid w:val="00C17BCF"/>
    <w:rsid w:val="00C17C2C"/>
    <w:rsid w:val="00C17C87"/>
    <w:rsid w:val="00C17D0B"/>
    <w:rsid w:val="00C17FF8"/>
    <w:rsid w:val="00C2006D"/>
    <w:rsid w:val="00C2071E"/>
    <w:rsid w:val="00C2089D"/>
    <w:rsid w:val="00C20985"/>
    <w:rsid w:val="00C20AB8"/>
    <w:rsid w:val="00C20C58"/>
    <w:rsid w:val="00C20D60"/>
    <w:rsid w:val="00C20E66"/>
    <w:rsid w:val="00C20F34"/>
    <w:rsid w:val="00C21157"/>
    <w:rsid w:val="00C2261F"/>
    <w:rsid w:val="00C22B97"/>
    <w:rsid w:val="00C22D89"/>
    <w:rsid w:val="00C23067"/>
    <w:rsid w:val="00C237A8"/>
    <w:rsid w:val="00C23B4A"/>
    <w:rsid w:val="00C2448E"/>
    <w:rsid w:val="00C244F8"/>
    <w:rsid w:val="00C2457B"/>
    <w:rsid w:val="00C2482D"/>
    <w:rsid w:val="00C24A55"/>
    <w:rsid w:val="00C24CD4"/>
    <w:rsid w:val="00C24DB4"/>
    <w:rsid w:val="00C25083"/>
    <w:rsid w:val="00C256E3"/>
    <w:rsid w:val="00C258B4"/>
    <w:rsid w:val="00C25911"/>
    <w:rsid w:val="00C25BA0"/>
    <w:rsid w:val="00C25C68"/>
    <w:rsid w:val="00C25E8F"/>
    <w:rsid w:val="00C26E5A"/>
    <w:rsid w:val="00C26FE7"/>
    <w:rsid w:val="00C278C8"/>
    <w:rsid w:val="00C27BF5"/>
    <w:rsid w:val="00C30100"/>
    <w:rsid w:val="00C3069E"/>
    <w:rsid w:val="00C30AE0"/>
    <w:rsid w:val="00C30E5B"/>
    <w:rsid w:val="00C31C2A"/>
    <w:rsid w:val="00C31EDA"/>
    <w:rsid w:val="00C321B4"/>
    <w:rsid w:val="00C323B0"/>
    <w:rsid w:val="00C326E8"/>
    <w:rsid w:val="00C32BC1"/>
    <w:rsid w:val="00C3334B"/>
    <w:rsid w:val="00C333DE"/>
    <w:rsid w:val="00C33857"/>
    <w:rsid w:val="00C33993"/>
    <w:rsid w:val="00C33B88"/>
    <w:rsid w:val="00C343DB"/>
    <w:rsid w:val="00C359D4"/>
    <w:rsid w:val="00C35C08"/>
    <w:rsid w:val="00C369EF"/>
    <w:rsid w:val="00C36BED"/>
    <w:rsid w:val="00C36D98"/>
    <w:rsid w:val="00C37479"/>
    <w:rsid w:val="00C37DF8"/>
    <w:rsid w:val="00C4013E"/>
    <w:rsid w:val="00C402FE"/>
    <w:rsid w:val="00C405A9"/>
    <w:rsid w:val="00C4081C"/>
    <w:rsid w:val="00C40EEA"/>
    <w:rsid w:val="00C40F05"/>
    <w:rsid w:val="00C41538"/>
    <w:rsid w:val="00C41C0E"/>
    <w:rsid w:val="00C41D47"/>
    <w:rsid w:val="00C41DC9"/>
    <w:rsid w:val="00C420B6"/>
    <w:rsid w:val="00C42D6E"/>
    <w:rsid w:val="00C43359"/>
    <w:rsid w:val="00C43AE8"/>
    <w:rsid w:val="00C43E6D"/>
    <w:rsid w:val="00C43FDC"/>
    <w:rsid w:val="00C44929"/>
    <w:rsid w:val="00C44A45"/>
    <w:rsid w:val="00C44A90"/>
    <w:rsid w:val="00C44B31"/>
    <w:rsid w:val="00C45310"/>
    <w:rsid w:val="00C454A2"/>
    <w:rsid w:val="00C45563"/>
    <w:rsid w:val="00C45AA5"/>
    <w:rsid w:val="00C45AAB"/>
    <w:rsid w:val="00C45B17"/>
    <w:rsid w:val="00C45B7A"/>
    <w:rsid w:val="00C4777C"/>
    <w:rsid w:val="00C478EA"/>
    <w:rsid w:val="00C47A71"/>
    <w:rsid w:val="00C47BC5"/>
    <w:rsid w:val="00C47FC1"/>
    <w:rsid w:val="00C50D3D"/>
    <w:rsid w:val="00C50E34"/>
    <w:rsid w:val="00C51AAD"/>
    <w:rsid w:val="00C51AC1"/>
    <w:rsid w:val="00C51AE6"/>
    <w:rsid w:val="00C527EB"/>
    <w:rsid w:val="00C52D24"/>
    <w:rsid w:val="00C52D86"/>
    <w:rsid w:val="00C53966"/>
    <w:rsid w:val="00C53C83"/>
    <w:rsid w:val="00C53E99"/>
    <w:rsid w:val="00C555A0"/>
    <w:rsid w:val="00C55954"/>
    <w:rsid w:val="00C55B31"/>
    <w:rsid w:val="00C55F77"/>
    <w:rsid w:val="00C56D2F"/>
    <w:rsid w:val="00C56E5D"/>
    <w:rsid w:val="00C57246"/>
    <w:rsid w:val="00C5771D"/>
    <w:rsid w:val="00C57862"/>
    <w:rsid w:val="00C57BEF"/>
    <w:rsid w:val="00C57E87"/>
    <w:rsid w:val="00C60460"/>
    <w:rsid w:val="00C60D7C"/>
    <w:rsid w:val="00C6148A"/>
    <w:rsid w:val="00C615BF"/>
    <w:rsid w:val="00C6199B"/>
    <w:rsid w:val="00C61AE2"/>
    <w:rsid w:val="00C6221B"/>
    <w:rsid w:val="00C6322D"/>
    <w:rsid w:val="00C636F7"/>
    <w:rsid w:val="00C64FA4"/>
    <w:rsid w:val="00C65151"/>
    <w:rsid w:val="00C65487"/>
    <w:rsid w:val="00C65980"/>
    <w:rsid w:val="00C65A38"/>
    <w:rsid w:val="00C65C0A"/>
    <w:rsid w:val="00C6642F"/>
    <w:rsid w:val="00C6659E"/>
    <w:rsid w:val="00C666D6"/>
    <w:rsid w:val="00C66C97"/>
    <w:rsid w:val="00C66E21"/>
    <w:rsid w:val="00C66F65"/>
    <w:rsid w:val="00C6725E"/>
    <w:rsid w:val="00C67307"/>
    <w:rsid w:val="00C6735A"/>
    <w:rsid w:val="00C676AB"/>
    <w:rsid w:val="00C70619"/>
    <w:rsid w:val="00C70675"/>
    <w:rsid w:val="00C70B1E"/>
    <w:rsid w:val="00C71561"/>
    <w:rsid w:val="00C728AB"/>
    <w:rsid w:val="00C7290F"/>
    <w:rsid w:val="00C72EFE"/>
    <w:rsid w:val="00C7308B"/>
    <w:rsid w:val="00C730B0"/>
    <w:rsid w:val="00C7313C"/>
    <w:rsid w:val="00C738F5"/>
    <w:rsid w:val="00C73E33"/>
    <w:rsid w:val="00C7417A"/>
    <w:rsid w:val="00C7417B"/>
    <w:rsid w:val="00C7449C"/>
    <w:rsid w:val="00C746A8"/>
    <w:rsid w:val="00C74AE5"/>
    <w:rsid w:val="00C74B3F"/>
    <w:rsid w:val="00C74D5B"/>
    <w:rsid w:val="00C74E25"/>
    <w:rsid w:val="00C759B7"/>
    <w:rsid w:val="00C76083"/>
    <w:rsid w:val="00C760B5"/>
    <w:rsid w:val="00C761AE"/>
    <w:rsid w:val="00C76C43"/>
    <w:rsid w:val="00C76DDB"/>
    <w:rsid w:val="00C77078"/>
    <w:rsid w:val="00C77DB7"/>
    <w:rsid w:val="00C77E0C"/>
    <w:rsid w:val="00C77E16"/>
    <w:rsid w:val="00C8017D"/>
    <w:rsid w:val="00C804DF"/>
    <w:rsid w:val="00C80831"/>
    <w:rsid w:val="00C81242"/>
    <w:rsid w:val="00C814EB"/>
    <w:rsid w:val="00C81552"/>
    <w:rsid w:val="00C81636"/>
    <w:rsid w:val="00C81860"/>
    <w:rsid w:val="00C8199D"/>
    <w:rsid w:val="00C827CE"/>
    <w:rsid w:val="00C82E9A"/>
    <w:rsid w:val="00C83588"/>
    <w:rsid w:val="00C83A59"/>
    <w:rsid w:val="00C83D0B"/>
    <w:rsid w:val="00C83D2B"/>
    <w:rsid w:val="00C83FB1"/>
    <w:rsid w:val="00C84462"/>
    <w:rsid w:val="00C84E51"/>
    <w:rsid w:val="00C84FAA"/>
    <w:rsid w:val="00C854CA"/>
    <w:rsid w:val="00C86088"/>
    <w:rsid w:val="00C864DB"/>
    <w:rsid w:val="00C86BE5"/>
    <w:rsid w:val="00C872B1"/>
    <w:rsid w:val="00C87546"/>
    <w:rsid w:val="00C876F2"/>
    <w:rsid w:val="00C9084C"/>
    <w:rsid w:val="00C90C4A"/>
    <w:rsid w:val="00C910F8"/>
    <w:rsid w:val="00C9118E"/>
    <w:rsid w:val="00C91BFA"/>
    <w:rsid w:val="00C92348"/>
    <w:rsid w:val="00C926D3"/>
    <w:rsid w:val="00C92A3C"/>
    <w:rsid w:val="00C92CCF"/>
    <w:rsid w:val="00C930FC"/>
    <w:rsid w:val="00C931F9"/>
    <w:rsid w:val="00C93D44"/>
    <w:rsid w:val="00C93DC4"/>
    <w:rsid w:val="00C94F67"/>
    <w:rsid w:val="00C95529"/>
    <w:rsid w:val="00C957E3"/>
    <w:rsid w:val="00C95F53"/>
    <w:rsid w:val="00C96009"/>
    <w:rsid w:val="00C96369"/>
    <w:rsid w:val="00C96B5B"/>
    <w:rsid w:val="00C96E7D"/>
    <w:rsid w:val="00C96FB8"/>
    <w:rsid w:val="00C97B25"/>
    <w:rsid w:val="00CA03F7"/>
    <w:rsid w:val="00CA04BD"/>
    <w:rsid w:val="00CA0519"/>
    <w:rsid w:val="00CA0F8F"/>
    <w:rsid w:val="00CA138F"/>
    <w:rsid w:val="00CA19DE"/>
    <w:rsid w:val="00CA1E44"/>
    <w:rsid w:val="00CA20FE"/>
    <w:rsid w:val="00CA2422"/>
    <w:rsid w:val="00CA28A0"/>
    <w:rsid w:val="00CA2994"/>
    <w:rsid w:val="00CA2E4E"/>
    <w:rsid w:val="00CA3AFB"/>
    <w:rsid w:val="00CA3C6C"/>
    <w:rsid w:val="00CA3D1A"/>
    <w:rsid w:val="00CA44FB"/>
    <w:rsid w:val="00CA47D4"/>
    <w:rsid w:val="00CA4B4D"/>
    <w:rsid w:val="00CA4C23"/>
    <w:rsid w:val="00CA4D1C"/>
    <w:rsid w:val="00CA4F85"/>
    <w:rsid w:val="00CA55BB"/>
    <w:rsid w:val="00CA590E"/>
    <w:rsid w:val="00CA5ACF"/>
    <w:rsid w:val="00CA5BDC"/>
    <w:rsid w:val="00CA6315"/>
    <w:rsid w:val="00CA6316"/>
    <w:rsid w:val="00CA653F"/>
    <w:rsid w:val="00CA660D"/>
    <w:rsid w:val="00CA6870"/>
    <w:rsid w:val="00CA68FE"/>
    <w:rsid w:val="00CA6C53"/>
    <w:rsid w:val="00CA6D25"/>
    <w:rsid w:val="00CA7238"/>
    <w:rsid w:val="00CA7464"/>
    <w:rsid w:val="00CA7627"/>
    <w:rsid w:val="00CB0316"/>
    <w:rsid w:val="00CB0A32"/>
    <w:rsid w:val="00CB0C41"/>
    <w:rsid w:val="00CB12C3"/>
    <w:rsid w:val="00CB15DD"/>
    <w:rsid w:val="00CB1E09"/>
    <w:rsid w:val="00CB1FAC"/>
    <w:rsid w:val="00CB21F9"/>
    <w:rsid w:val="00CB2972"/>
    <w:rsid w:val="00CB2E1A"/>
    <w:rsid w:val="00CB2ED0"/>
    <w:rsid w:val="00CB334D"/>
    <w:rsid w:val="00CB3AD5"/>
    <w:rsid w:val="00CB42F2"/>
    <w:rsid w:val="00CB4E45"/>
    <w:rsid w:val="00CB5277"/>
    <w:rsid w:val="00CB5738"/>
    <w:rsid w:val="00CB58C8"/>
    <w:rsid w:val="00CB58E1"/>
    <w:rsid w:val="00CB612A"/>
    <w:rsid w:val="00CB62CA"/>
    <w:rsid w:val="00CB6B66"/>
    <w:rsid w:val="00CB6C90"/>
    <w:rsid w:val="00CB7A89"/>
    <w:rsid w:val="00CB7B52"/>
    <w:rsid w:val="00CB7BD7"/>
    <w:rsid w:val="00CB7D27"/>
    <w:rsid w:val="00CB7E71"/>
    <w:rsid w:val="00CB7E7B"/>
    <w:rsid w:val="00CC0F0B"/>
    <w:rsid w:val="00CC249D"/>
    <w:rsid w:val="00CC3310"/>
    <w:rsid w:val="00CC3434"/>
    <w:rsid w:val="00CC3ACC"/>
    <w:rsid w:val="00CC3BD9"/>
    <w:rsid w:val="00CC3EBF"/>
    <w:rsid w:val="00CC4411"/>
    <w:rsid w:val="00CC4675"/>
    <w:rsid w:val="00CC4C0E"/>
    <w:rsid w:val="00CC4FB3"/>
    <w:rsid w:val="00CC522C"/>
    <w:rsid w:val="00CC52CD"/>
    <w:rsid w:val="00CC577D"/>
    <w:rsid w:val="00CC5EC1"/>
    <w:rsid w:val="00CC649B"/>
    <w:rsid w:val="00CC6671"/>
    <w:rsid w:val="00CC69F3"/>
    <w:rsid w:val="00CC6A90"/>
    <w:rsid w:val="00CC6BFB"/>
    <w:rsid w:val="00CC7146"/>
    <w:rsid w:val="00CC782C"/>
    <w:rsid w:val="00CC78D1"/>
    <w:rsid w:val="00CC78EE"/>
    <w:rsid w:val="00CD03B8"/>
    <w:rsid w:val="00CD0762"/>
    <w:rsid w:val="00CD0FE1"/>
    <w:rsid w:val="00CD1BF0"/>
    <w:rsid w:val="00CD236D"/>
    <w:rsid w:val="00CD28E6"/>
    <w:rsid w:val="00CD292A"/>
    <w:rsid w:val="00CD2FAF"/>
    <w:rsid w:val="00CD3318"/>
    <w:rsid w:val="00CD332B"/>
    <w:rsid w:val="00CD3940"/>
    <w:rsid w:val="00CD3AEC"/>
    <w:rsid w:val="00CD46CA"/>
    <w:rsid w:val="00CD4B80"/>
    <w:rsid w:val="00CD4CAD"/>
    <w:rsid w:val="00CD4E49"/>
    <w:rsid w:val="00CD4E63"/>
    <w:rsid w:val="00CD52C9"/>
    <w:rsid w:val="00CD5793"/>
    <w:rsid w:val="00CD5D97"/>
    <w:rsid w:val="00CD6049"/>
    <w:rsid w:val="00CD6A3B"/>
    <w:rsid w:val="00CD6CB5"/>
    <w:rsid w:val="00CD702D"/>
    <w:rsid w:val="00CD704B"/>
    <w:rsid w:val="00CD7443"/>
    <w:rsid w:val="00CD74EC"/>
    <w:rsid w:val="00CD77C9"/>
    <w:rsid w:val="00CD7966"/>
    <w:rsid w:val="00CD7B20"/>
    <w:rsid w:val="00CD7BA4"/>
    <w:rsid w:val="00CD7E0B"/>
    <w:rsid w:val="00CE038D"/>
    <w:rsid w:val="00CE0BAC"/>
    <w:rsid w:val="00CE118A"/>
    <w:rsid w:val="00CE11B5"/>
    <w:rsid w:val="00CE1270"/>
    <w:rsid w:val="00CE128C"/>
    <w:rsid w:val="00CE16C8"/>
    <w:rsid w:val="00CE16D8"/>
    <w:rsid w:val="00CE1877"/>
    <w:rsid w:val="00CE20B6"/>
    <w:rsid w:val="00CE2406"/>
    <w:rsid w:val="00CE29D0"/>
    <w:rsid w:val="00CE2CF1"/>
    <w:rsid w:val="00CE2EAF"/>
    <w:rsid w:val="00CE3447"/>
    <w:rsid w:val="00CE3EBA"/>
    <w:rsid w:val="00CE4541"/>
    <w:rsid w:val="00CE495E"/>
    <w:rsid w:val="00CE4A58"/>
    <w:rsid w:val="00CE57EE"/>
    <w:rsid w:val="00CE5DBA"/>
    <w:rsid w:val="00CE5ED3"/>
    <w:rsid w:val="00CE620A"/>
    <w:rsid w:val="00CE6260"/>
    <w:rsid w:val="00CE674F"/>
    <w:rsid w:val="00CE677F"/>
    <w:rsid w:val="00CE69FD"/>
    <w:rsid w:val="00CE761A"/>
    <w:rsid w:val="00CE7C4D"/>
    <w:rsid w:val="00CE7E9C"/>
    <w:rsid w:val="00CE7FAD"/>
    <w:rsid w:val="00CF00EA"/>
    <w:rsid w:val="00CF0505"/>
    <w:rsid w:val="00CF0D31"/>
    <w:rsid w:val="00CF0F3B"/>
    <w:rsid w:val="00CF0FD6"/>
    <w:rsid w:val="00CF1044"/>
    <w:rsid w:val="00CF1047"/>
    <w:rsid w:val="00CF1A11"/>
    <w:rsid w:val="00CF1C1E"/>
    <w:rsid w:val="00CF21AB"/>
    <w:rsid w:val="00CF22DF"/>
    <w:rsid w:val="00CF317C"/>
    <w:rsid w:val="00CF32D5"/>
    <w:rsid w:val="00CF3C72"/>
    <w:rsid w:val="00CF4417"/>
    <w:rsid w:val="00CF4761"/>
    <w:rsid w:val="00CF47BD"/>
    <w:rsid w:val="00CF515A"/>
    <w:rsid w:val="00CF54A1"/>
    <w:rsid w:val="00CF5E5B"/>
    <w:rsid w:val="00CF6008"/>
    <w:rsid w:val="00CF6A3A"/>
    <w:rsid w:val="00CF6B42"/>
    <w:rsid w:val="00CF6BAB"/>
    <w:rsid w:val="00CF75B0"/>
    <w:rsid w:val="00CF793D"/>
    <w:rsid w:val="00CF796C"/>
    <w:rsid w:val="00CF7BEB"/>
    <w:rsid w:val="00CF7D04"/>
    <w:rsid w:val="00CF7F74"/>
    <w:rsid w:val="00D00398"/>
    <w:rsid w:val="00D00546"/>
    <w:rsid w:val="00D008EF"/>
    <w:rsid w:val="00D009E5"/>
    <w:rsid w:val="00D01262"/>
    <w:rsid w:val="00D01433"/>
    <w:rsid w:val="00D014C1"/>
    <w:rsid w:val="00D01B70"/>
    <w:rsid w:val="00D02472"/>
    <w:rsid w:val="00D02668"/>
    <w:rsid w:val="00D03207"/>
    <w:rsid w:val="00D03613"/>
    <w:rsid w:val="00D0391A"/>
    <w:rsid w:val="00D03A89"/>
    <w:rsid w:val="00D03C01"/>
    <w:rsid w:val="00D04564"/>
    <w:rsid w:val="00D04B5B"/>
    <w:rsid w:val="00D04BB5"/>
    <w:rsid w:val="00D04DE6"/>
    <w:rsid w:val="00D04F59"/>
    <w:rsid w:val="00D05ABD"/>
    <w:rsid w:val="00D05E4D"/>
    <w:rsid w:val="00D0635A"/>
    <w:rsid w:val="00D06976"/>
    <w:rsid w:val="00D06EA1"/>
    <w:rsid w:val="00D06F55"/>
    <w:rsid w:val="00D06FCB"/>
    <w:rsid w:val="00D07034"/>
    <w:rsid w:val="00D07719"/>
    <w:rsid w:val="00D10211"/>
    <w:rsid w:val="00D10FF1"/>
    <w:rsid w:val="00D1157E"/>
    <w:rsid w:val="00D11820"/>
    <w:rsid w:val="00D1355F"/>
    <w:rsid w:val="00D137F2"/>
    <w:rsid w:val="00D13D1D"/>
    <w:rsid w:val="00D14036"/>
    <w:rsid w:val="00D14474"/>
    <w:rsid w:val="00D14958"/>
    <w:rsid w:val="00D14CAB"/>
    <w:rsid w:val="00D14DB3"/>
    <w:rsid w:val="00D15011"/>
    <w:rsid w:val="00D152B0"/>
    <w:rsid w:val="00D15719"/>
    <w:rsid w:val="00D16884"/>
    <w:rsid w:val="00D16AA3"/>
    <w:rsid w:val="00D16BCC"/>
    <w:rsid w:val="00D16C03"/>
    <w:rsid w:val="00D1758C"/>
    <w:rsid w:val="00D17715"/>
    <w:rsid w:val="00D2076E"/>
    <w:rsid w:val="00D207B3"/>
    <w:rsid w:val="00D210AA"/>
    <w:rsid w:val="00D21CC2"/>
    <w:rsid w:val="00D21FDD"/>
    <w:rsid w:val="00D22244"/>
    <w:rsid w:val="00D223DE"/>
    <w:rsid w:val="00D224AA"/>
    <w:rsid w:val="00D229A8"/>
    <w:rsid w:val="00D22FBD"/>
    <w:rsid w:val="00D23A4D"/>
    <w:rsid w:val="00D23A5B"/>
    <w:rsid w:val="00D241EB"/>
    <w:rsid w:val="00D24667"/>
    <w:rsid w:val="00D24C88"/>
    <w:rsid w:val="00D24D27"/>
    <w:rsid w:val="00D24E77"/>
    <w:rsid w:val="00D24FAF"/>
    <w:rsid w:val="00D25085"/>
    <w:rsid w:val="00D251D0"/>
    <w:rsid w:val="00D25490"/>
    <w:rsid w:val="00D25C09"/>
    <w:rsid w:val="00D26209"/>
    <w:rsid w:val="00D26684"/>
    <w:rsid w:val="00D26B6F"/>
    <w:rsid w:val="00D27FB5"/>
    <w:rsid w:val="00D30BB6"/>
    <w:rsid w:val="00D314B4"/>
    <w:rsid w:val="00D317F5"/>
    <w:rsid w:val="00D32110"/>
    <w:rsid w:val="00D323CC"/>
    <w:rsid w:val="00D3293B"/>
    <w:rsid w:val="00D33151"/>
    <w:rsid w:val="00D331E3"/>
    <w:rsid w:val="00D336E2"/>
    <w:rsid w:val="00D33A0B"/>
    <w:rsid w:val="00D34141"/>
    <w:rsid w:val="00D34144"/>
    <w:rsid w:val="00D34522"/>
    <w:rsid w:val="00D34722"/>
    <w:rsid w:val="00D347F7"/>
    <w:rsid w:val="00D3485A"/>
    <w:rsid w:val="00D349D1"/>
    <w:rsid w:val="00D34ACF"/>
    <w:rsid w:val="00D34C52"/>
    <w:rsid w:val="00D357D7"/>
    <w:rsid w:val="00D35D11"/>
    <w:rsid w:val="00D36CAA"/>
    <w:rsid w:val="00D36D04"/>
    <w:rsid w:val="00D36DB2"/>
    <w:rsid w:val="00D36DDD"/>
    <w:rsid w:val="00D37745"/>
    <w:rsid w:val="00D3786A"/>
    <w:rsid w:val="00D37A8C"/>
    <w:rsid w:val="00D37B22"/>
    <w:rsid w:val="00D40229"/>
    <w:rsid w:val="00D40594"/>
    <w:rsid w:val="00D408F2"/>
    <w:rsid w:val="00D4095F"/>
    <w:rsid w:val="00D41709"/>
    <w:rsid w:val="00D41C0B"/>
    <w:rsid w:val="00D41F08"/>
    <w:rsid w:val="00D42862"/>
    <w:rsid w:val="00D42903"/>
    <w:rsid w:val="00D42941"/>
    <w:rsid w:val="00D4294F"/>
    <w:rsid w:val="00D4331C"/>
    <w:rsid w:val="00D43A16"/>
    <w:rsid w:val="00D43D56"/>
    <w:rsid w:val="00D442C6"/>
    <w:rsid w:val="00D44438"/>
    <w:rsid w:val="00D444A6"/>
    <w:rsid w:val="00D44622"/>
    <w:rsid w:val="00D448D6"/>
    <w:rsid w:val="00D44939"/>
    <w:rsid w:val="00D44C65"/>
    <w:rsid w:val="00D44D84"/>
    <w:rsid w:val="00D45583"/>
    <w:rsid w:val="00D457D3"/>
    <w:rsid w:val="00D458C1"/>
    <w:rsid w:val="00D45D71"/>
    <w:rsid w:val="00D46285"/>
    <w:rsid w:val="00D46ED2"/>
    <w:rsid w:val="00D47268"/>
    <w:rsid w:val="00D47BEA"/>
    <w:rsid w:val="00D50447"/>
    <w:rsid w:val="00D50AAC"/>
    <w:rsid w:val="00D50BAA"/>
    <w:rsid w:val="00D50D49"/>
    <w:rsid w:val="00D512EA"/>
    <w:rsid w:val="00D51FD2"/>
    <w:rsid w:val="00D524B0"/>
    <w:rsid w:val="00D52C97"/>
    <w:rsid w:val="00D53238"/>
    <w:rsid w:val="00D53616"/>
    <w:rsid w:val="00D5377D"/>
    <w:rsid w:val="00D53A54"/>
    <w:rsid w:val="00D542CB"/>
    <w:rsid w:val="00D54436"/>
    <w:rsid w:val="00D545EB"/>
    <w:rsid w:val="00D55583"/>
    <w:rsid w:val="00D55A2C"/>
    <w:rsid w:val="00D55AC3"/>
    <w:rsid w:val="00D55BAD"/>
    <w:rsid w:val="00D56240"/>
    <w:rsid w:val="00D5649B"/>
    <w:rsid w:val="00D56A3D"/>
    <w:rsid w:val="00D57BAE"/>
    <w:rsid w:val="00D60042"/>
    <w:rsid w:val="00D604A4"/>
    <w:rsid w:val="00D604EE"/>
    <w:rsid w:val="00D60507"/>
    <w:rsid w:val="00D60591"/>
    <w:rsid w:val="00D6094F"/>
    <w:rsid w:val="00D611ED"/>
    <w:rsid w:val="00D616D9"/>
    <w:rsid w:val="00D61F47"/>
    <w:rsid w:val="00D6214C"/>
    <w:rsid w:val="00D629F7"/>
    <w:rsid w:val="00D62B8D"/>
    <w:rsid w:val="00D62E0A"/>
    <w:rsid w:val="00D63053"/>
    <w:rsid w:val="00D634D3"/>
    <w:rsid w:val="00D640BC"/>
    <w:rsid w:val="00D643F3"/>
    <w:rsid w:val="00D64C3F"/>
    <w:rsid w:val="00D656CD"/>
    <w:rsid w:val="00D65C72"/>
    <w:rsid w:val="00D6682E"/>
    <w:rsid w:val="00D66C7F"/>
    <w:rsid w:val="00D66EE7"/>
    <w:rsid w:val="00D671D4"/>
    <w:rsid w:val="00D6783F"/>
    <w:rsid w:val="00D70F17"/>
    <w:rsid w:val="00D7115E"/>
    <w:rsid w:val="00D71A4F"/>
    <w:rsid w:val="00D71CC1"/>
    <w:rsid w:val="00D721A5"/>
    <w:rsid w:val="00D722D4"/>
    <w:rsid w:val="00D72784"/>
    <w:rsid w:val="00D727D0"/>
    <w:rsid w:val="00D7282D"/>
    <w:rsid w:val="00D72BB9"/>
    <w:rsid w:val="00D72EC6"/>
    <w:rsid w:val="00D73D68"/>
    <w:rsid w:val="00D75889"/>
    <w:rsid w:val="00D75A5A"/>
    <w:rsid w:val="00D75D7C"/>
    <w:rsid w:val="00D76357"/>
    <w:rsid w:val="00D769D2"/>
    <w:rsid w:val="00D76AB6"/>
    <w:rsid w:val="00D7711D"/>
    <w:rsid w:val="00D772A1"/>
    <w:rsid w:val="00D77C66"/>
    <w:rsid w:val="00D77F53"/>
    <w:rsid w:val="00D8036E"/>
    <w:rsid w:val="00D804AB"/>
    <w:rsid w:val="00D808DA"/>
    <w:rsid w:val="00D809AD"/>
    <w:rsid w:val="00D80FF5"/>
    <w:rsid w:val="00D8130C"/>
    <w:rsid w:val="00D81312"/>
    <w:rsid w:val="00D8154C"/>
    <w:rsid w:val="00D8163E"/>
    <w:rsid w:val="00D81678"/>
    <w:rsid w:val="00D81E3F"/>
    <w:rsid w:val="00D81F28"/>
    <w:rsid w:val="00D82B85"/>
    <w:rsid w:val="00D82B98"/>
    <w:rsid w:val="00D82F62"/>
    <w:rsid w:val="00D83344"/>
    <w:rsid w:val="00D83F29"/>
    <w:rsid w:val="00D84065"/>
    <w:rsid w:val="00D8466F"/>
    <w:rsid w:val="00D853ED"/>
    <w:rsid w:val="00D855ED"/>
    <w:rsid w:val="00D868C1"/>
    <w:rsid w:val="00D868D1"/>
    <w:rsid w:val="00D869BE"/>
    <w:rsid w:val="00D86A56"/>
    <w:rsid w:val="00D86ADA"/>
    <w:rsid w:val="00D86C0B"/>
    <w:rsid w:val="00D86C47"/>
    <w:rsid w:val="00D87591"/>
    <w:rsid w:val="00D87BE1"/>
    <w:rsid w:val="00D87CF7"/>
    <w:rsid w:val="00D9061A"/>
    <w:rsid w:val="00D90A63"/>
    <w:rsid w:val="00D90C32"/>
    <w:rsid w:val="00D90EC6"/>
    <w:rsid w:val="00D91206"/>
    <w:rsid w:val="00D914FA"/>
    <w:rsid w:val="00D91ACB"/>
    <w:rsid w:val="00D92112"/>
    <w:rsid w:val="00D92EC5"/>
    <w:rsid w:val="00D93A06"/>
    <w:rsid w:val="00D93D5E"/>
    <w:rsid w:val="00D93D6F"/>
    <w:rsid w:val="00D93D8A"/>
    <w:rsid w:val="00D93EEC"/>
    <w:rsid w:val="00D946AE"/>
    <w:rsid w:val="00D94C94"/>
    <w:rsid w:val="00D950B6"/>
    <w:rsid w:val="00D95A1F"/>
    <w:rsid w:val="00D95C85"/>
    <w:rsid w:val="00D95D76"/>
    <w:rsid w:val="00D96272"/>
    <w:rsid w:val="00D9629D"/>
    <w:rsid w:val="00D968D8"/>
    <w:rsid w:val="00D96F02"/>
    <w:rsid w:val="00D971E0"/>
    <w:rsid w:val="00D973E6"/>
    <w:rsid w:val="00D97648"/>
    <w:rsid w:val="00D97C65"/>
    <w:rsid w:val="00DA0297"/>
    <w:rsid w:val="00DA03FB"/>
    <w:rsid w:val="00DA0688"/>
    <w:rsid w:val="00DA0E46"/>
    <w:rsid w:val="00DA1017"/>
    <w:rsid w:val="00DA11D1"/>
    <w:rsid w:val="00DA1956"/>
    <w:rsid w:val="00DA1A0E"/>
    <w:rsid w:val="00DA1B0D"/>
    <w:rsid w:val="00DA1B64"/>
    <w:rsid w:val="00DA23B0"/>
    <w:rsid w:val="00DA26DA"/>
    <w:rsid w:val="00DA2A60"/>
    <w:rsid w:val="00DA2E19"/>
    <w:rsid w:val="00DA366E"/>
    <w:rsid w:val="00DA3CAA"/>
    <w:rsid w:val="00DA3FBA"/>
    <w:rsid w:val="00DA420B"/>
    <w:rsid w:val="00DA4D26"/>
    <w:rsid w:val="00DA5B40"/>
    <w:rsid w:val="00DA5E24"/>
    <w:rsid w:val="00DA6A1E"/>
    <w:rsid w:val="00DA7652"/>
    <w:rsid w:val="00DB0F4B"/>
    <w:rsid w:val="00DB0F8E"/>
    <w:rsid w:val="00DB16B5"/>
    <w:rsid w:val="00DB174E"/>
    <w:rsid w:val="00DB1A07"/>
    <w:rsid w:val="00DB20B4"/>
    <w:rsid w:val="00DB20F5"/>
    <w:rsid w:val="00DB21CD"/>
    <w:rsid w:val="00DB2224"/>
    <w:rsid w:val="00DB2586"/>
    <w:rsid w:val="00DB2759"/>
    <w:rsid w:val="00DB29A0"/>
    <w:rsid w:val="00DB2B49"/>
    <w:rsid w:val="00DB2EA6"/>
    <w:rsid w:val="00DB3593"/>
    <w:rsid w:val="00DB3A1C"/>
    <w:rsid w:val="00DB3A9E"/>
    <w:rsid w:val="00DB3AC1"/>
    <w:rsid w:val="00DB450C"/>
    <w:rsid w:val="00DB462B"/>
    <w:rsid w:val="00DB4C48"/>
    <w:rsid w:val="00DB5234"/>
    <w:rsid w:val="00DB6391"/>
    <w:rsid w:val="00DB63B8"/>
    <w:rsid w:val="00DB647C"/>
    <w:rsid w:val="00DB6745"/>
    <w:rsid w:val="00DB6865"/>
    <w:rsid w:val="00DB6ABA"/>
    <w:rsid w:val="00DB7854"/>
    <w:rsid w:val="00DB7BD5"/>
    <w:rsid w:val="00DB7D7B"/>
    <w:rsid w:val="00DB7E0B"/>
    <w:rsid w:val="00DC0509"/>
    <w:rsid w:val="00DC08E7"/>
    <w:rsid w:val="00DC15AB"/>
    <w:rsid w:val="00DC166E"/>
    <w:rsid w:val="00DC1985"/>
    <w:rsid w:val="00DC20DA"/>
    <w:rsid w:val="00DC23CF"/>
    <w:rsid w:val="00DC2406"/>
    <w:rsid w:val="00DC24F4"/>
    <w:rsid w:val="00DC267D"/>
    <w:rsid w:val="00DC285B"/>
    <w:rsid w:val="00DC3054"/>
    <w:rsid w:val="00DC3282"/>
    <w:rsid w:val="00DC33F7"/>
    <w:rsid w:val="00DC3DF1"/>
    <w:rsid w:val="00DC45B3"/>
    <w:rsid w:val="00DC504C"/>
    <w:rsid w:val="00DC52CA"/>
    <w:rsid w:val="00DC5426"/>
    <w:rsid w:val="00DC5D65"/>
    <w:rsid w:val="00DC5D9E"/>
    <w:rsid w:val="00DC659F"/>
    <w:rsid w:val="00DC77B7"/>
    <w:rsid w:val="00DC7DFE"/>
    <w:rsid w:val="00DD0000"/>
    <w:rsid w:val="00DD011D"/>
    <w:rsid w:val="00DD0672"/>
    <w:rsid w:val="00DD06C0"/>
    <w:rsid w:val="00DD0718"/>
    <w:rsid w:val="00DD0E41"/>
    <w:rsid w:val="00DD0F8D"/>
    <w:rsid w:val="00DD12E0"/>
    <w:rsid w:val="00DD1A71"/>
    <w:rsid w:val="00DD1F2D"/>
    <w:rsid w:val="00DD3112"/>
    <w:rsid w:val="00DD33BA"/>
    <w:rsid w:val="00DD36AF"/>
    <w:rsid w:val="00DD3C1C"/>
    <w:rsid w:val="00DD3D18"/>
    <w:rsid w:val="00DD3F68"/>
    <w:rsid w:val="00DD42AD"/>
    <w:rsid w:val="00DD4403"/>
    <w:rsid w:val="00DD4643"/>
    <w:rsid w:val="00DD475D"/>
    <w:rsid w:val="00DD4DCC"/>
    <w:rsid w:val="00DD4EF3"/>
    <w:rsid w:val="00DD5679"/>
    <w:rsid w:val="00DD5D79"/>
    <w:rsid w:val="00DD5EDF"/>
    <w:rsid w:val="00DD5F36"/>
    <w:rsid w:val="00DD60A0"/>
    <w:rsid w:val="00DD6A3D"/>
    <w:rsid w:val="00DD6B85"/>
    <w:rsid w:val="00DD73B5"/>
    <w:rsid w:val="00DD7631"/>
    <w:rsid w:val="00DD790E"/>
    <w:rsid w:val="00DD7FB0"/>
    <w:rsid w:val="00DE002E"/>
    <w:rsid w:val="00DE016D"/>
    <w:rsid w:val="00DE041D"/>
    <w:rsid w:val="00DE0861"/>
    <w:rsid w:val="00DE1072"/>
    <w:rsid w:val="00DE1235"/>
    <w:rsid w:val="00DE12E5"/>
    <w:rsid w:val="00DE15B1"/>
    <w:rsid w:val="00DE20CD"/>
    <w:rsid w:val="00DE2427"/>
    <w:rsid w:val="00DE2D32"/>
    <w:rsid w:val="00DE32D6"/>
    <w:rsid w:val="00DE35FE"/>
    <w:rsid w:val="00DE37BF"/>
    <w:rsid w:val="00DE3836"/>
    <w:rsid w:val="00DE3CC8"/>
    <w:rsid w:val="00DE3D9B"/>
    <w:rsid w:val="00DE42F5"/>
    <w:rsid w:val="00DE4AF8"/>
    <w:rsid w:val="00DE4C17"/>
    <w:rsid w:val="00DE4DD6"/>
    <w:rsid w:val="00DE57BE"/>
    <w:rsid w:val="00DE5AF3"/>
    <w:rsid w:val="00DE5DF5"/>
    <w:rsid w:val="00DE63DF"/>
    <w:rsid w:val="00DE65EE"/>
    <w:rsid w:val="00DE6F99"/>
    <w:rsid w:val="00DE6FD5"/>
    <w:rsid w:val="00DE74D2"/>
    <w:rsid w:val="00DE768C"/>
    <w:rsid w:val="00DE7804"/>
    <w:rsid w:val="00DE78B0"/>
    <w:rsid w:val="00DE7D92"/>
    <w:rsid w:val="00DF0579"/>
    <w:rsid w:val="00DF0902"/>
    <w:rsid w:val="00DF09FB"/>
    <w:rsid w:val="00DF0E63"/>
    <w:rsid w:val="00DF0ED3"/>
    <w:rsid w:val="00DF1149"/>
    <w:rsid w:val="00DF2428"/>
    <w:rsid w:val="00DF25AC"/>
    <w:rsid w:val="00DF2C60"/>
    <w:rsid w:val="00DF2CC9"/>
    <w:rsid w:val="00DF3135"/>
    <w:rsid w:val="00DF39BB"/>
    <w:rsid w:val="00DF3A84"/>
    <w:rsid w:val="00DF3DEF"/>
    <w:rsid w:val="00DF3F2C"/>
    <w:rsid w:val="00DF4256"/>
    <w:rsid w:val="00DF42E6"/>
    <w:rsid w:val="00DF433B"/>
    <w:rsid w:val="00DF44CB"/>
    <w:rsid w:val="00DF4947"/>
    <w:rsid w:val="00DF4AC6"/>
    <w:rsid w:val="00DF4D2F"/>
    <w:rsid w:val="00DF55F0"/>
    <w:rsid w:val="00DF610E"/>
    <w:rsid w:val="00DF632A"/>
    <w:rsid w:val="00DF6BE1"/>
    <w:rsid w:val="00DF6EB4"/>
    <w:rsid w:val="00DF7660"/>
    <w:rsid w:val="00DF77B6"/>
    <w:rsid w:val="00DF7A33"/>
    <w:rsid w:val="00DF7B56"/>
    <w:rsid w:val="00E00008"/>
    <w:rsid w:val="00E003F0"/>
    <w:rsid w:val="00E00558"/>
    <w:rsid w:val="00E00786"/>
    <w:rsid w:val="00E00AF1"/>
    <w:rsid w:val="00E013D4"/>
    <w:rsid w:val="00E0140A"/>
    <w:rsid w:val="00E015C4"/>
    <w:rsid w:val="00E01BF9"/>
    <w:rsid w:val="00E01C3F"/>
    <w:rsid w:val="00E01E28"/>
    <w:rsid w:val="00E01FA3"/>
    <w:rsid w:val="00E02278"/>
    <w:rsid w:val="00E023AC"/>
    <w:rsid w:val="00E025BA"/>
    <w:rsid w:val="00E02B35"/>
    <w:rsid w:val="00E02D62"/>
    <w:rsid w:val="00E02E6D"/>
    <w:rsid w:val="00E02ECB"/>
    <w:rsid w:val="00E032A4"/>
    <w:rsid w:val="00E0396C"/>
    <w:rsid w:val="00E04725"/>
    <w:rsid w:val="00E04B8F"/>
    <w:rsid w:val="00E04BBB"/>
    <w:rsid w:val="00E04D11"/>
    <w:rsid w:val="00E04D59"/>
    <w:rsid w:val="00E05576"/>
    <w:rsid w:val="00E05BEC"/>
    <w:rsid w:val="00E05D2C"/>
    <w:rsid w:val="00E0602C"/>
    <w:rsid w:val="00E069FA"/>
    <w:rsid w:val="00E06B54"/>
    <w:rsid w:val="00E06BE6"/>
    <w:rsid w:val="00E0729F"/>
    <w:rsid w:val="00E07386"/>
    <w:rsid w:val="00E076E5"/>
    <w:rsid w:val="00E1013A"/>
    <w:rsid w:val="00E101BA"/>
    <w:rsid w:val="00E101E6"/>
    <w:rsid w:val="00E10CAB"/>
    <w:rsid w:val="00E1106B"/>
    <w:rsid w:val="00E1162D"/>
    <w:rsid w:val="00E11759"/>
    <w:rsid w:val="00E13267"/>
    <w:rsid w:val="00E138A4"/>
    <w:rsid w:val="00E13B8A"/>
    <w:rsid w:val="00E13C4A"/>
    <w:rsid w:val="00E13CA2"/>
    <w:rsid w:val="00E14135"/>
    <w:rsid w:val="00E14144"/>
    <w:rsid w:val="00E14368"/>
    <w:rsid w:val="00E147D7"/>
    <w:rsid w:val="00E14D84"/>
    <w:rsid w:val="00E16003"/>
    <w:rsid w:val="00E1629D"/>
    <w:rsid w:val="00E1644D"/>
    <w:rsid w:val="00E1670A"/>
    <w:rsid w:val="00E16A50"/>
    <w:rsid w:val="00E17435"/>
    <w:rsid w:val="00E17A73"/>
    <w:rsid w:val="00E17BCC"/>
    <w:rsid w:val="00E17D35"/>
    <w:rsid w:val="00E202D0"/>
    <w:rsid w:val="00E209F8"/>
    <w:rsid w:val="00E21016"/>
    <w:rsid w:val="00E21316"/>
    <w:rsid w:val="00E2133A"/>
    <w:rsid w:val="00E21357"/>
    <w:rsid w:val="00E213BC"/>
    <w:rsid w:val="00E213D9"/>
    <w:rsid w:val="00E21B16"/>
    <w:rsid w:val="00E21D8F"/>
    <w:rsid w:val="00E21F21"/>
    <w:rsid w:val="00E22864"/>
    <w:rsid w:val="00E2291A"/>
    <w:rsid w:val="00E22CFC"/>
    <w:rsid w:val="00E22EEE"/>
    <w:rsid w:val="00E239B3"/>
    <w:rsid w:val="00E248A6"/>
    <w:rsid w:val="00E251BF"/>
    <w:rsid w:val="00E2530F"/>
    <w:rsid w:val="00E25470"/>
    <w:rsid w:val="00E25996"/>
    <w:rsid w:val="00E260CA"/>
    <w:rsid w:val="00E265C0"/>
    <w:rsid w:val="00E26B32"/>
    <w:rsid w:val="00E26E30"/>
    <w:rsid w:val="00E26E7D"/>
    <w:rsid w:val="00E27053"/>
    <w:rsid w:val="00E27262"/>
    <w:rsid w:val="00E2729C"/>
    <w:rsid w:val="00E27310"/>
    <w:rsid w:val="00E273BC"/>
    <w:rsid w:val="00E27407"/>
    <w:rsid w:val="00E27428"/>
    <w:rsid w:val="00E27647"/>
    <w:rsid w:val="00E27C5C"/>
    <w:rsid w:val="00E27EAD"/>
    <w:rsid w:val="00E30261"/>
    <w:rsid w:val="00E3045D"/>
    <w:rsid w:val="00E30470"/>
    <w:rsid w:val="00E307E7"/>
    <w:rsid w:val="00E30CAA"/>
    <w:rsid w:val="00E31139"/>
    <w:rsid w:val="00E3173F"/>
    <w:rsid w:val="00E31B31"/>
    <w:rsid w:val="00E31C56"/>
    <w:rsid w:val="00E31FD4"/>
    <w:rsid w:val="00E320B3"/>
    <w:rsid w:val="00E32D0B"/>
    <w:rsid w:val="00E32F10"/>
    <w:rsid w:val="00E330D4"/>
    <w:rsid w:val="00E33142"/>
    <w:rsid w:val="00E331D0"/>
    <w:rsid w:val="00E335A8"/>
    <w:rsid w:val="00E33BFD"/>
    <w:rsid w:val="00E34D81"/>
    <w:rsid w:val="00E3502E"/>
    <w:rsid w:val="00E351A0"/>
    <w:rsid w:val="00E351AC"/>
    <w:rsid w:val="00E351FB"/>
    <w:rsid w:val="00E358A9"/>
    <w:rsid w:val="00E35B74"/>
    <w:rsid w:val="00E35E4D"/>
    <w:rsid w:val="00E35EE6"/>
    <w:rsid w:val="00E360CE"/>
    <w:rsid w:val="00E37646"/>
    <w:rsid w:val="00E377C2"/>
    <w:rsid w:val="00E37A8C"/>
    <w:rsid w:val="00E37D60"/>
    <w:rsid w:val="00E40672"/>
    <w:rsid w:val="00E40B1B"/>
    <w:rsid w:val="00E4131D"/>
    <w:rsid w:val="00E41328"/>
    <w:rsid w:val="00E4174A"/>
    <w:rsid w:val="00E417D5"/>
    <w:rsid w:val="00E41CD8"/>
    <w:rsid w:val="00E41E3A"/>
    <w:rsid w:val="00E42626"/>
    <w:rsid w:val="00E42B1D"/>
    <w:rsid w:val="00E42B24"/>
    <w:rsid w:val="00E4341E"/>
    <w:rsid w:val="00E43704"/>
    <w:rsid w:val="00E43895"/>
    <w:rsid w:val="00E438D3"/>
    <w:rsid w:val="00E43AAA"/>
    <w:rsid w:val="00E43AF6"/>
    <w:rsid w:val="00E43C40"/>
    <w:rsid w:val="00E43F1A"/>
    <w:rsid w:val="00E44245"/>
    <w:rsid w:val="00E44319"/>
    <w:rsid w:val="00E444A3"/>
    <w:rsid w:val="00E45293"/>
    <w:rsid w:val="00E457B8"/>
    <w:rsid w:val="00E45F1B"/>
    <w:rsid w:val="00E46A8C"/>
    <w:rsid w:val="00E4731D"/>
    <w:rsid w:val="00E4735F"/>
    <w:rsid w:val="00E479DC"/>
    <w:rsid w:val="00E47DD1"/>
    <w:rsid w:val="00E47EA2"/>
    <w:rsid w:val="00E5020C"/>
    <w:rsid w:val="00E50BD0"/>
    <w:rsid w:val="00E50EA5"/>
    <w:rsid w:val="00E51112"/>
    <w:rsid w:val="00E5167E"/>
    <w:rsid w:val="00E52668"/>
    <w:rsid w:val="00E52C08"/>
    <w:rsid w:val="00E52EE1"/>
    <w:rsid w:val="00E52F1F"/>
    <w:rsid w:val="00E53725"/>
    <w:rsid w:val="00E53744"/>
    <w:rsid w:val="00E5393F"/>
    <w:rsid w:val="00E539EF"/>
    <w:rsid w:val="00E53C57"/>
    <w:rsid w:val="00E53EEC"/>
    <w:rsid w:val="00E5442B"/>
    <w:rsid w:val="00E54467"/>
    <w:rsid w:val="00E54B34"/>
    <w:rsid w:val="00E54EE9"/>
    <w:rsid w:val="00E5523E"/>
    <w:rsid w:val="00E55A71"/>
    <w:rsid w:val="00E55D88"/>
    <w:rsid w:val="00E55EB5"/>
    <w:rsid w:val="00E563BF"/>
    <w:rsid w:val="00E566B1"/>
    <w:rsid w:val="00E5699E"/>
    <w:rsid w:val="00E56B18"/>
    <w:rsid w:val="00E574F3"/>
    <w:rsid w:val="00E575E0"/>
    <w:rsid w:val="00E57C55"/>
    <w:rsid w:val="00E57CD8"/>
    <w:rsid w:val="00E60166"/>
    <w:rsid w:val="00E60331"/>
    <w:rsid w:val="00E60631"/>
    <w:rsid w:val="00E61901"/>
    <w:rsid w:val="00E620A2"/>
    <w:rsid w:val="00E620F5"/>
    <w:rsid w:val="00E62579"/>
    <w:rsid w:val="00E62BDD"/>
    <w:rsid w:val="00E62DEF"/>
    <w:rsid w:val="00E63C1F"/>
    <w:rsid w:val="00E6400B"/>
    <w:rsid w:val="00E6454E"/>
    <w:rsid w:val="00E64ACE"/>
    <w:rsid w:val="00E64E19"/>
    <w:rsid w:val="00E64F60"/>
    <w:rsid w:val="00E65B8F"/>
    <w:rsid w:val="00E6628F"/>
    <w:rsid w:val="00E664C2"/>
    <w:rsid w:val="00E66749"/>
    <w:rsid w:val="00E66808"/>
    <w:rsid w:val="00E6708D"/>
    <w:rsid w:val="00E6718E"/>
    <w:rsid w:val="00E67260"/>
    <w:rsid w:val="00E678B9"/>
    <w:rsid w:val="00E67AC7"/>
    <w:rsid w:val="00E67C61"/>
    <w:rsid w:val="00E67E6E"/>
    <w:rsid w:val="00E706F2"/>
    <w:rsid w:val="00E7082B"/>
    <w:rsid w:val="00E7095A"/>
    <w:rsid w:val="00E719C7"/>
    <w:rsid w:val="00E719E1"/>
    <w:rsid w:val="00E71EC1"/>
    <w:rsid w:val="00E721FA"/>
    <w:rsid w:val="00E72413"/>
    <w:rsid w:val="00E725CF"/>
    <w:rsid w:val="00E72DC7"/>
    <w:rsid w:val="00E7328E"/>
    <w:rsid w:val="00E73459"/>
    <w:rsid w:val="00E73527"/>
    <w:rsid w:val="00E740BF"/>
    <w:rsid w:val="00E740E8"/>
    <w:rsid w:val="00E74313"/>
    <w:rsid w:val="00E74428"/>
    <w:rsid w:val="00E74A8A"/>
    <w:rsid w:val="00E74FB5"/>
    <w:rsid w:val="00E7506D"/>
    <w:rsid w:val="00E75416"/>
    <w:rsid w:val="00E7556D"/>
    <w:rsid w:val="00E760A4"/>
    <w:rsid w:val="00E7659D"/>
    <w:rsid w:val="00E768A3"/>
    <w:rsid w:val="00E773D2"/>
    <w:rsid w:val="00E774E0"/>
    <w:rsid w:val="00E7759F"/>
    <w:rsid w:val="00E7790B"/>
    <w:rsid w:val="00E77A30"/>
    <w:rsid w:val="00E77A96"/>
    <w:rsid w:val="00E77A9B"/>
    <w:rsid w:val="00E77B13"/>
    <w:rsid w:val="00E77B69"/>
    <w:rsid w:val="00E77B74"/>
    <w:rsid w:val="00E77F50"/>
    <w:rsid w:val="00E808A1"/>
    <w:rsid w:val="00E809EE"/>
    <w:rsid w:val="00E8134E"/>
    <w:rsid w:val="00E81744"/>
    <w:rsid w:val="00E81955"/>
    <w:rsid w:val="00E828FA"/>
    <w:rsid w:val="00E82985"/>
    <w:rsid w:val="00E829A7"/>
    <w:rsid w:val="00E832D0"/>
    <w:rsid w:val="00E83D88"/>
    <w:rsid w:val="00E83F42"/>
    <w:rsid w:val="00E84220"/>
    <w:rsid w:val="00E842A8"/>
    <w:rsid w:val="00E84AF3"/>
    <w:rsid w:val="00E84B2C"/>
    <w:rsid w:val="00E84F0D"/>
    <w:rsid w:val="00E84FD3"/>
    <w:rsid w:val="00E85293"/>
    <w:rsid w:val="00E853DF"/>
    <w:rsid w:val="00E85EBC"/>
    <w:rsid w:val="00E867E5"/>
    <w:rsid w:val="00E87E8B"/>
    <w:rsid w:val="00E90366"/>
    <w:rsid w:val="00E904AF"/>
    <w:rsid w:val="00E90CD3"/>
    <w:rsid w:val="00E91184"/>
    <w:rsid w:val="00E9147D"/>
    <w:rsid w:val="00E919E2"/>
    <w:rsid w:val="00E91A0C"/>
    <w:rsid w:val="00E920AE"/>
    <w:rsid w:val="00E9213A"/>
    <w:rsid w:val="00E9223E"/>
    <w:rsid w:val="00E92318"/>
    <w:rsid w:val="00E92855"/>
    <w:rsid w:val="00E92D70"/>
    <w:rsid w:val="00E930E8"/>
    <w:rsid w:val="00E9395A"/>
    <w:rsid w:val="00E93D5F"/>
    <w:rsid w:val="00E94CE4"/>
    <w:rsid w:val="00E94E92"/>
    <w:rsid w:val="00E94FF4"/>
    <w:rsid w:val="00E955A8"/>
    <w:rsid w:val="00E95748"/>
    <w:rsid w:val="00E97245"/>
    <w:rsid w:val="00E97376"/>
    <w:rsid w:val="00E97478"/>
    <w:rsid w:val="00E97887"/>
    <w:rsid w:val="00E97B09"/>
    <w:rsid w:val="00E97B0B"/>
    <w:rsid w:val="00EA05A8"/>
    <w:rsid w:val="00EA0730"/>
    <w:rsid w:val="00EA0DBD"/>
    <w:rsid w:val="00EA1B22"/>
    <w:rsid w:val="00EA1C94"/>
    <w:rsid w:val="00EA274D"/>
    <w:rsid w:val="00EA2939"/>
    <w:rsid w:val="00EA2951"/>
    <w:rsid w:val="00EA2E5D"/>
    <w:rsid w:val="00EA2F36"/>
    <w:rsid w:val="00EA3343"/>
    <w:rsid w:val="00EA35E6"/>
    <w:rsid w:val="00EA3621"/>
    <w:rsid w:val="00EA405E"/>
    <w:rsid w:val="00EA460B"/>
    <w:rsid w:val="00EA479B"/>
    <w:rsid w:val="00EA4867"/>
    <w:rsid w:val="00EA4AA0"/>
    <w:rsid w:val="00EA5016"/>
    <w:rsid w:val="00EA5259"/>
    <w:rsid w:val="00EA5292"/>
    <w:rsid w:val="00EA56D2"/>
    <w:rsid w:val="00EA5B63"/>
    <w:rsid w:val="00EA6506"/>
    <w:rsid w:val="00EA6800"/>
    <w:rsid w:val="00EA73EC"/>
    <w:rsid w:val="00EA7549"/>
    <w:rsid w:val="00EA7C7A"/>
    <w:rsid w:val="00EA7ECB"/>
    <w:rsid w:val="00EB01EE"/>
    <w:rsid w:val="00EB043A"/>
    <w:rsid w:val="00EB0823"/>
    <w:rsid w:val="00EB17FD"/>
    <w:rsid w:val="00EB1A3D"/>
    <w:rsid w:val="00EB24F8"/>
    <w:rsid w:val="00EB2FE0"/>
    <w:rsid w:val="00EB33DC"/>
    <w:rsid w:val="00EB36E8"/>
    <w:rsid w:val="00EB4625"/>
    <w:rsid w:val="00EB48C3"/>
    <w:rsid w:val="00EB4A69"/>
    <w:rsid w:val="00EB4C1B"/>
    <w:rsid w:val="00EB4D97"/>
    <w:rsid w:val="00EB52C1"/>
    <w:rsid w:val="00EB59C5"/>
    <w:rsid w:val="00EB5EFF"/>
    <w:rsid w:val="00EB6CE6"/>
    <w:rsid w:val="00EB6DE5"/>
    <w:rsid w:val="00EB7A15"/>
    <w:rsid w:val="00EB7C5A"/>
    <w:rsid w:val="00EC0292"/>
    <w:rsid w:val="00EC0545"/>
    <w:rsid w:val="00EC0729"/>
    <w:rsid w:val="00EC0C6B"/>
    <w:rsid w:val="00EC0E63"/>
    <w:rsid w:val="00EC1309"/>
    <w:rsid w:val="00EC1467"/>
    <w:rsid w:val="00EC16CD"/>
    <w:rsid w:val="00EC1FC5"/>
    <w:rsid w:val="00EC2240"/>
    <w:rsid w:val="00EC297A"/>
    <w:rsid w:val="00EC29E4"/>
    <w:rsid w:val="00EC2E72"/>
    <w:rsid w:val="00EC3526"/>
    <w:rsid w:val="00EC36B5"/>
    <w:rsid w:val="00EC38B1"/>
    <w:rsid w:val="00EC38D1"/>
    <w:rsid w:val="00EC3A1F"/>
    <w:rsid w:val="00EC3D10"/>
    <w:rsid w:val="00EC3D9A"/>
    <w:rsid w:val="00EC3E58"/>
    <w:rsid w:val="00EC4A54"/>
    <w:rsid w:val="00EC4AC9"/>
    <w:rsid w:val="00EC4BA5"/>
    <w:rsid w:val="00EC5161"/>
    <w:rsid w:val="00EC53D8"/>
    <w:rsid w:val="00EC59A2"/>
    <w:rsid w:val="00EC60A8"/>
    <w:rsid w:val="00EC6152"/>
    <w:rsid w:val="00EC6F5C"/>
    <w:rsid w:val="00EC7263"/>
    <w:rsid w:val="00EC73A7"/>
    <w:rsid w:val="00EC7A2C"/>
    <w:rsid w:val="00EC7D6B"/>
    <w:rsid w:val="00ED05D6"/>
    <w:rsid w:val="00ED05F0"/>
    <w:rsid w:val="00ED1623"/>
    <w:rsid w:val="00ED1631"/>
    <w:rsid w:val="00ED1A08"/>
    <w:rsid w:val="00ED1B07"/>
    <w:rsid w:val="00ED1BCB"/>
    <w:rsid w:val="00ED21B0"/>
    <w:rsid w:val="00ED2346"/>
    <w:rsid w:val="00ED2449"/>
    <w:rsid w:val="00ED24E2"/>
    <w:rsid w:val="00ED2553"/>
    <w:rsid w:val="00ED2F3F"/>
    <w:rsid w:val="00ED36DD"/>
    <w:rsid w:val="00ED38AB"/>
    <w:rsid w:val="00ED3E63"/>
    <w:rsid w:val="00ED4207"/>
    <w:rsid w:val="00ED42E1"/>
    <w:rsid w:val="00ED4589"/>
    <w:rsid w:val="00ED46DB"/>
    <w:rsid w:val="00ED48BE"/>
    <w:rsid w:val="00ED498E"/>
    <w:rsid w:val="00ED4EC0"/>
    <w:rsid w:val="00ED58AB"/>
    <w:rsid w:val="00ED5EAC"/>
    <w:rsid w:val="00ED70C0"/>
    <w:rsid w:val="00ED79D2"/>
    <w:rsid w:val="00ED7C41"/>
    <w:rsid w:val="00EE0436"/>
    <w:rsid w:val="00EE0A43"/>
    <w:rsid w:val="00EE222A"/>
    <w:rsid w:val="00EE227B"/>
    <w:rsid w:val="00EE2603"/>
    <w:rsid w:val="00EE2E37"/>
    <w:rsid w:val="00EE300A"/>
    <w:rsid w:val="00EE32C6"/>
    <w:rsid w:val="00EE33C0"/>
    <w:rsid w:val="00EE37FD"/>
    <w:rsid w:val="00EE3BE1"/>
    <w:rsid w:val="00EE3F23"/>
    <w:rsid w:val="00EE3FF1"/>
    <w:rsid w:val="00EE416E"/>
    <w:rsid w:val="00EE4D32"/>
    <w:rsid w:val="00EE5759"/>
    <w:rsid w:val="00EE58C2"/>
    <w:rsid w:val="00EE625F"/>
    <w:rsid w:val="00EE64C2"/>
    <w:rsid w:val="00EE6778"/>
    <w:rsid w:val="00EE6D7F"/>
    <w:rsid w:val="00EE6E6C"/>
    <w:rsid w:val="00EE6F1A"/>
    <w:rsid w:val="00EE7796"/>
    <w:rsid w:val="00EE7CBB"/>
    <w:rsid w:val="00EF03B1"/>
    <w:rsid w:val="00EF0427"/>
    <w:rsid w:val="00EF048D"/>
    <w:rsid w:val="00EF06D2"/>
    <w:rsid w:val="00EF0723"/>
    <w:rsid w:val="00EF0872"/>
    <w:rsid w:val="00EF0E46"/>
    <w:rsid w:val="00EF1B3C"/>
    <w:rsid w:val="00EF1B9B"/>
    <w:rsid w:val="00EF1EBC"/>
    <w:rsid w:val="00EF1EDF"/>
    <w:rsid w:val="00EF1F6C"/>
    <w:rsid w:val="00EF24C3"/>
    <w:rsid w:val="00EF25EB"/>
    <w:rsid w:val="00EF2C20"/>
    <w:rsid w:val="00EF2EF2"/>
    <w:rsid w:val="00EF3088"/>
    <w:rsid w:val="00EF342B"/>
    <w:rsid w:val="00EF3AE2"/>
    <w:rsid w:val="00EF3C77"/>
    <w:rsid w:val="00EF402F"/>
    <w:rsid w:val="00EF48DB"/>
    <w:rsid w:val="00EF4B95"/>
    <w:rsid w:val="00EF5729"/>
    <w:rsid w:val="00EF5D10"/>
    <w:rsid w:val="00EF64AC"/>
    <w:rsid w:val="00EF6A64"/>
    <w:rsid w:val="00EF6A7D"/>
    <w:rsid w:val="00EF6CF6"/>
    <w:rsid w:val="00EF6D5B"/>
    <w:rsid w:val="00EF6EC6"/>
    <w:rsid w:val="00EF6F2A"/>
    <w:rsid w:val="00EF7252"/>
    <w:rsid w:val="00EF747E"/>
    <w:rsid w:val="00EF7A2E"/>
    <w:rsid w:val="00EF7B41"/>
    <w:rsid w:val="00EF7FA3"/>
    <w:rsid w:val="00F0055F"/>
    <w:rsid w:val="00F00F13"/>
    <w:rsid w:val="00F02400"/>
    <w:rsid w:val="00F02BD6"/>
    <w:rsid w:val="00F02F7A"/>
    <w:rsid w:val="00F02FD4"/>
    <w:rsid w:val="00F03146"/>
    <w:rsid w:val="00F033BB"/>
    <w:rsid w:val="00F035A9"/>
    <w:rsid w:val="00F03B98"/>
    <w:rsid w:val="00F04E91"/>
    <w:rsid w:val="00F05032"/>
    <w:rsid w:val="00F05660"/>
    <w:rsid w:val="00F056BC"/>
    <w:rsid w:val="00F05866"/>
    <w:rsid w:val="00F0586F"/>
    <w:rsid w:val="00F06044"/>
    <w:rsid w:val="00F06A7C"/>
    <w:rsid w:val="00F071E0"/>
    <w:rsid w:val="00F07466"/>
    <w:rsid w:val="00F074A0"/>
    <w:rsid w:val="00F10492"/>
    <w:rsid w:val="00F10DD2"/>
    <w:rsid w:val="00F1111F"/>
    <w:rsid w:val="00F1128E"/>
    <w:rsid w:val="00F1154D"/>
    <w:rsid w:val="00F11C28"/>
    <w:rsid w:val="00F11C36"/>
    <w:rsid w:val="00F11CC9"/>
    <w:rsid w:val="00F11FE1"/>
    <w:rsid w:val="00F12D72"/>
    <w:rsid w:val="00F12ED4"/>
    <w:rsid w:val="00F12FE1"/>
    <w:rsid w:val="00F1377D"/>
    <w:rsid w:val="00F13869"/>
    <w:rsid w:val="00F14056"/>
    <w:rsid w:val="00F14088"/>
    <w:rsid w:val="00F142DC"/>
    <w:rsid w:val="00F14333"/>
    <w:rsid w:val="00F144D3"/>
    <w:rsid w:val="00F150DA"/>
    <w:rsid w:val="00F15138"/>
    <w:rsid w:val="00F15566"/>
    <w:rsid w:val="00F158B9"/>
    <w:rsid w:val="00F158C7"/>
    <w:rsid w:val="00F16053"/>
    <w:rsid w:val="00F16180"/>
    <w:rsid w:val="00F162BF"/>
    <w:rsid w:val="00F16DBE"/>
    <w:rsid w:val="00F16DCE"/>
    <w:rsid w:val="00F16E88"/>
    <w:rsid w:val="00F171AB"/>
    <w:rsid w:val="00F17248"/>
    <w:rsid w:val="00F172ED"/>
    <w:rsid w:val="00F17D2E"/>
    <w:rsid w:val="00F200CD"/>
    <w:rsid w:val="00F201E4"/>
    <w:rsid w:val="00F20A96"/>
    <w:rsid w:val="00F20F4B"/>
    <w:rsid w:val="00F212F5"/>
    <w:rsid w:val="00F21B10"/>
    <w:rsid w:val="00F21BE4"/>
    <w:rsid w:val="00F2205C"/>
    <w:rsid w:val="00F22548"/>
    <w:rsid w:val="00F225B8"/>
    <w:rsid w:val="00F227A0"/>
    <w:rsid w:val="00F22B79"/>
    <w:rsid w:val="00F2358B"/>
    <w:rsid w:val="00F238A8"/>
    <w:rsid w:val="00F23B79"/>
    <w:rsid w:val="00F23CF2"/>
    <w:rsid w:val="00F242A5"/>
    <w:rsid w:val="00F2451B"/>
    <w:rsid w:val="00F249FB"/>
    <w:rsid w:val="00F24B6F"/>
    <w:rsid w:val="00F24BA5"/>
    <w:rsid w:val="00F24FF5"/>
    <w:rsid w:val="00F256A4"/>
    <w:rsid w:val="00F258C4"/>
    <w:rsid w:val="00F26526"/>
    <w:rsid w:val="00F269F7"/>
    <w:rsid w:val="00F26FA4"/>
    <w:rsid w:val="00F27927"/>
    <w:rsid w:val="00F279F3"/>
    <w:rsid w:val="00F27E29"/>
    <w:rsid w:val="00F27E85"/>
    <w:rsid w:val="00F3010A"/>
    <w:rsid w:val="00F30C14"/>
    <w:rsid w:val="00F30C4B"/>
    <w:rsid w:val="00F315A9"/>
    <w:rsid w:val="00F31AF8"/>
    <w:rsid w:val="00F32036"/>
    <w:rsid w:val="00F321DE"/>
    <w:rsid w:val="00F328B2"/>
    <w:rsid w:val="00F32937"/>
    <w:rsid w:val="00F32A52"/>
    <w:rsid w:val="00F32D63"/>
    <w:rsid w:val="00F33106"/>
    <w:rsid w:val="00F3365B"/>
    <w:rsid w:val="00F33E35"/>
    <w:rsid w:val="00F33FE3"/>
    <w:rsid w:val="00F34646"/>
    <w:rsid w:val="00F3502D"/>
    <w:rsid w:val="00F3534D"/>
    <w:rsid w:val="00F356F1"/>
    <w:rsid w:val="00F35D66"/>
    <w:rsid w:val="00F36F9E"/>
    <w:rsid w:val="00F37742"/>
    <w:rsid w:val="00F37766"/>
    <w:rsid w:val="00F37B23"/>
    <w:rsid w:val="00F40643"/>
    <w:rsid w:val="00F40783"/>
    <w:rsid w:val="00F4088B"/>
    <w:rsid w:val="00F4189F"/>
    <w:rsid w:val="00F41A23"/>
    <w:rsid w:val="00F41D66"/>
    <w:rsid w:val="00F42155"/>
    <w:rsid w:val="00F4236E"/>
    <w:rsid w:val="00F4259E"/>
    <w:rsid w:val="00F43AF7"/>
    <w:rsid w:val="00F44B64"/>
    <w:rsid w:val="00F44CFD"/>
    <w:rsid w:val="00F44F3E"/>
    <w:rsid w:val="00F45226"/>
    <w:rsid w:val="00F459EF"/>
    <w:rsid w:val="00F45D44"/>
    <w:rsid w:val="00F45EF3"/>
    <w:rsid w:val="00F46CEB"/>
    <w:rsid w:val="00F4713E"/>
    <w:rsid w:val="00F47332"/>
    <w:rsid w:val="00F476EB"/>
    <w:rsid w:val="00F503CD"/>
    <w:rsid w:val="00F507AA"/>
    <w:rsid w:val="00F50948"/>
    <w:rsid w:val="00F50CA2"/>
    <w:rsid w:val="00F510FE"/>
    <w:rsid w:val="00F51515"/>
    <w:rsid w:val="00F519EE"/>
    <w:rsid w:val="00F51F25"/>
    <w:rsid w:val="00F522B9"/>
    <w:rsid w:val="00F523A1"/>
    <w:rsid w:val="00F52826"/>
    <w:rsid w:val="00F52831"/>
    <w:rsid w:val="00F52C5A"/>
    <w:rsid w:val="00F530D2"/>
    <w:rsid w:val="00F53342"/>
    <w:rsid w:val="00F539A7"/>
    <w:rsid w:val="00F539CC"/>
    <w:rsid w:val="00F5435A"/>
    <w:rsid w:val="00F5492E"/>
    <w:rsid w:val="00F54C43"/>
    <w:rsid w:val="00F54F54"/>
    <w:rsid w:val="00F552D4"/>
    <w:rsid w:val="00F554FF"/>
    <w:rsid w:val="00F555CC"/>
    <w:rsid w:val="00F55F8E"/>
    <w:rsid w:val="00F560A1"/>
    <w:rsid w:val="00F56108"/>
    <w:rsid w:val="00F564BB"/>
    <w:rsid w:val="00F567E1"/>
    <w:rsid w:val="00F56877"/>
    <w:rsid w:val="00F56A19"/>
    <w:rsid w:val="00F56C2C"/>
    <w:rsid w:val="00F56C3D"/>
    <w:rsid w:val="00F56F12"/>
    <w:rsid w:val="00F57549"/>
    <w:rsid w:val="00F5793D"/>
    <w:rsid w:val="00F57E83"/>
    <w:rsid w:val="00F57F3E"/>
    <w:rsid w:val="00F6004D"/>
    <w:rsid w:val="00F6039B"/>
    <w:rsid w:val="00F604A6"/>
    <w:rsid w:val="00F60AE6"/>
    <w:rsid w:val="00F60C34"/>
    <w:rsid w:val="00F614AA"/>
    <w:rsid w:val="00F6159C"/>
    <w:rsid w:val="00F620BF"/>
    <w:rsid w:val="00F62A84"/>
    <w:rsid w:val="00F633EB"/>
    <w:rsid w:val="00F634BA"/>
    <w:rsid w:val="00F638CB"/>
    <w:rsid w:val="00F63A5C"/>
    <w:rsid w:val="00F6452E"/>
    <w:rsid w:val="00F64BBE"/>
    <w:rsid w:val="00F64D4C"/>
    <w:rsid w:val="00F65237"/>
    <w:rsid w:val="00F65497"/>
    <w:rsid w:val="00F6556F"/>
    <w:rsid w:val="00F655C7"/>
    <w:rsid w:val="00F65996"/>
    <w:rsid w:val="00F65DA9"/>
    <w:rsid w:val="00F66550"/>
    <w:rsid w:val="00F66784"/>
    <w:rsid w:val="00F66CEF"/>
    <w:rsid w:val="00F70333"/>
    <w:rsid w:val="00F704A4"/>
    <w:rsid w:val="00F709E6"/>
    <w:rsid w:val="00F70D0F"/>
    <w:rsid w:val="00F70E00"/>
    <w:rsid w:val="00F70FE3"/>
    <w:rsid w:val="00F711BA"/>
    <w:rsid w:val="00F713DD"/>
    <w:rsid w:val="00F71D6B"/>
    <w:rsid w:val="00F72301"/>
    <w:rsid w:val="00F72343"/>
    <w:rsid w:val="00F72640"/>
    <w:rsid w:val="00F72F57"/>
    <w:rsid w:val="00F737FA"/>
    <w:rsid w:val="00F738DB"/>
    <w:rsid w:val="00F7413A"/>
    <w:rsid w:val="00F741E3"/>
    <w:rsid w:val="00F74492"/>
    <w:rsid w:val="00F746C5"/>
    <w:rsid w:val="00F74756"/>
    <w:rsid w:val="00F74830"/>
    <w:rsid w:val="00F74D56"/>
    <w:rsid w:val="00F74FE9"/>
    <w:rsid w:val="00F751E7"/>
    <w:rsid w:val="00F75B0F"/>
    <w:rsid w:val="00F761B0"/>
    <w:rsid w:val="00F76232"/>
    <w:rsid w:val="00F7635B"/>
    <w:rsid w:val="00F767C6"/>
    <w:rsid w:val="00F76C07"/>
    <w:rsid w:val="00F77080"/>
    <w:rsid w:val="00F77137"/>
    <w:rsid w:val="00F77228"/>
    <w:rsid w:val="00F77445"/>
    <w:rsid w:val="00F774D6"/>
    <w:rsid w:val="00F7770A"/>
    <w:rsid w:val="00F77864"/>
    <w:rsid w:val="00F778D2"/>
    <w:rsid w:val="00F778FF"/>
    <w:rsid w:val="00F77950"/>
    <w:rsid w:val="00F77C40"/>
    <w:rsid w:val="00F77F6D"/>
    <w:rsid w:val="00F80021"/>
    <w:rsid w:val="00F8004B"/>
    <w:rsid w:val="00F80561"/>
    <w:rsid w:val="00F808EA"/>
    <w:rsid w:val="00F80A8E"/>
    <w:rsid w:val="00F80B3B"/>
    <w:rsid w:val="00F80FC8"/>
    <w:rsid w:val="00F811DF"/>
    <w:rsid w:val="00F81672"/>
    <w:rsid w:val="00F8212D"/>
    <w:rsid w:val="00F82574"/>
    <w:rsid w:val="00F82677"/>
    <w:rsid w:val="00F82877"/>
    <w:rsid w:val="00F82A7E"/>
    <w:rsid w:val="00F82CA6"/>
    <w:rsid w:val="00F836D2"/>
    <w:rsid w:val="00F83C64"/>
    <w:rsid w:val="00F8473B"/>
    <w:rsid w:val="00F84F39"/>
    <w:rsid w:val="00F85462"/>
    <w:rsid w:val="00F85B8F"/>
    <w:rsid w:val="00F85E75"/>
    <w:rsid w:val="00F85FA9"/>
    <w:rsid w:val="00F86983"/>
    <w:rsid w:val="00F87013"/>
    <w:rsid w:val="00F8703F"/>
    <w:rsid w:val="00F87265"/>
    <w:rsid w:val="00F87453"/>
    <w:rsid w:val="00F876EE"/>
    <w:rsid w:val="00F90507"/>
    <w:rsid w:val="00F91329"/>
    <w:rsid w:val="00F91715"/>
    <w:rsid w:val="00F91A8C"/>
    <w:rsid w:val="00F91CE6"/>
    <w:rsid w:val="00F91E38"/>
    <w:rsid w:val="00F9215E"/>
    <w:rsid w:val="00F928A2"/>
    <w:rsid w:val="00F928F1"/>
    <w:rsid w:val="00F92B7C"/>
    <w:rsid w:val="00F934F5"/>
    <w:rsid w:val="00F93885"/>
    <w:rsid w:val="00F93B75"/>
    <w:rsid w:val="00F9407F"/>
    <w:rsid w:val="00F942DF"/>
    <w:rsid w:val="00F94332"/>
    <w:rsid w:val="00F94712"/>
    <w:rsid w:val="00F948E6"/>
    <w:rsid w:val="00F94A48"/>
    <w:rsid w:val="00F94A53"/>
    <w:rsid w:val="00F95086"/>
    <w:rsid w:val="00F951FE"/>
    <w:rsid w:val="00F95644"/>
    <w:rsid w:val="00F95B62"/>
    <w:rsid w:val="00F965F9"/>
    <w:rsid w:val="00F96C4B"/>
    <w:rsid w:val="00F96D52"/>
    <w:rsid w:val="00F970A1"/>
    <w:rsid w:val="00F9737A"/>
    <w:rsid w:val="00F97B28"/>
    <w:rsid w:val="00FA070C"/>
    <w:rsid w:val="00FA1130"/>
    <w:rsid w:val="00FA113D"/>
    <w:rsid w:val="00FA1289"/>
    <w:rsid w:val="00FA183C"/>
    <w:rsid w:val="00FA1E02"/>
    <w:rsid w:val="00FA1F13"/>
    <w:rsid w:val="00FA1F22"/>
    <w:rsid w:val="00FA20B7"/>
    <w:rsid w:val="00FA3077"/>
    <w:rsid w:val="00FA315F"/>
    <w:rsid w:val="00FA383D"/>
    <w:rsid w:val="00FA3A4C"/>
    <w:rsid w:val="00FA3FAB"/>
    <w:rsid w:val="00FA41A1"/>
    <w:rsid w:val="00FA41D3"/>
    <w:rsid w:val="00FA4275"/>
    <w:rsid w:val="00FA5360"/>
    <w:rsid w:val="00FA5743"/>
    <w:rsid w:val="00FA5863"/>
    <w:rsid w:val="00FA6008"/>
    <w:rsid w:val="00FA64A4"/>
    <w:rsid w:val="00FA64CB"/>
    <w:rsid w:val="00FA68CB"/>
    <w:rsid w:val="00FA6941"/>
    <w:rsid w:val="00FA6E35"/>
    <w:rsid w:val="00FA6F65"/>
    <w:rsid w:val="00FA7258"/>
    <w:rsid w:val="00FA76FD"/>
    <w:rsid w:val="00FA7A21"/>
    <w:rsid w:val="00FB02B3"/>
    <w:rsid w:val="00FB0D78"/>
    <w:rsid w:val="00FB0E87"/>
    <w:rsid w:val="00FB1163"/>
    <w:rsid w:val="00FB15AD"/>
    <w:rsid w:val="00FB186D"/>
    <w:rsid w:val="00FB1C2D"/>
    <w:rsid w:val="00FB1D06"/>
    <w:rsid w:val="00FB2246"/>
    <w:rsid w:val="00FB2283"/>
    <w:rsid w:val="00FB22A1"/>
    <w:rsid w:val="00FB301E"/>
    <w:rsid w:val="00FB319B"/>
    <w:rsid w:val="00FB3A74"/>
    <w:rsid w:val="00FB3B31"/>
    <w:rsid w:val="00FB4082"/>
    <w:rsid w:val="00FB4346"/>
    <w:rsid w:val="00FB43E3"/>
    <w:rsid w:val="00FB49C5"/>
    <w:rsid w:val="00FB5C0D"/>
    <w:rsid w:val="00FB61A8"/>
    <w:rsid w:val="00FB6258"/>
    <w:rsid w:val="00FB6BD7"/>
    <w:rsid w:val="00FB72B6"/>
    <w:rsid w:val="00FB7A3C"/>
    <w:rsid w:val="00FB7A9D"/>
    <w:rsid w:val="00FB7B75"/>
    <w:rsid w:val="00FB7C4C"/>
    <w:rsid w:val="00FB7EE5"/>
    <w:rsid w:val="00FC01AA"/>
    <w:rsid w:val="00FC0261"/>
    <w:rsid w:val="00FC0625"/>
    <w:rsid w:val="00FC0761"/>
    <w:rsid w:val="00FC0920"/>
    <w:rsid w:val="00FC0B6E"/>
    <w:rsid w:val="00FC1496"/>
    <w:rsid w:val="00FC1883"/>
    <w:rsid w:val="00FC19B3"/>
    <w:rsid w:val="00FC2AC2"/>
    <w:rsid w:val="00FC2E1D"/>
    <w:rsid w:val="00FC2E7B"/>
    <w:rsid w:val="00FC33AC"/>
    <w:rsid w:val="00FC36B0"/>
    <w:rsid w:val="00FC4A9C"/>
    <w:rsid w:val="00FC4B69"/>
    <w:rsid w:val="00FC4DCC"/>
    <w:rsid w:val="00FC5025"/>
    <w:rsid w:val="00FC5828"/>
    <w:rsid w:val="00FC5929"/>
    <w:rsid w:val="00FC5A30"/>
    <w:rsid w:val="00FC5D39"/>
    <w:rsid w:val="00FC64C5"/>
    <w:rsid w:val="00FC678E"/>
    <w:rsid w:val="00FC77D3"/>
    <w:rsid w:val="00FD02C0"/>
    <w:rsid w:val="00FD05D3"/>
    <w:rsid w:val="00FD0BE7"/>
    <w:rsid w:val="00FD14AC"/>
    <w:rsid w:val="00FD15ED"/>
    <w:rsid w:val="00FD1739"/>
    <w:rsid w:val="00FD179C"/>
    <w:rsid w:val="00FD1AB2"/>
    <w:rsid w:val="00FD1B48"/>
    <w:rsid w:val="00FD21BD"/>
    <w:rsid w:val="00FD2285"/>
    <w:rsid w:val="00FD2C4A"/>
    <w:rsid w:val="00FD2CB0"/>
    <w:rsid w:val="00FD2E68"/>
    <w:rsid w:val="00FD3186"/>
    <w:rsid w:val="00FD371D"/>
    <w:rsid w:val="00FD3ABF"/>
    <w:rsid w:val="00FD3C87"/>
    <w:rsid w:val="00FD41F8"/>
    <w:rsid w:val="00FD46F8"/>
    <w:rsid w:val="00FD4CBA"/>
    <w:rsid w:val="00FD5038"/>
    <w:rsid w:val="00FD5259"/>
    <w:rsid w:val="00FD5828"/>
    <w:rsid w:val="00FD5A9E"/>
    <w:rsid w:val="00FD61D8"/>
    <w:rsid w:val="00FD6318"/>
    <w:rsid w:val="00FD6333"/>
    <w:rsid w:val="00FD657E"/>
    <w:rsid w:val="00FD6A91"/>
    <w:rsid w:val="00FD6F6E"/>
    <w:rsid w:val="00FD6F94"/>
    <w:rsid w:val="00FD71AB"/>
    <w:rsid w:val="00FD72BD"/>
    <w:rsid w:val="00FD7675"/>
    <w:rsid w:val="00FD7B8A"/>
    <w:rsid w:val="00FD7BF0"/>
    <w:rsid w:val="00FE02D1"/>
    <w:rsid w:val="00FE032D"/>
    <w:rsid w:val="00FE09C8"/>
    <w:rsid w:val="00FE1187"/>
    <w:rsid w:val="00FE15E2"/>
    <w:rsid w:val="00FE1672"/>
    <w:rsid w:val="00FE22F3"/>
    <w:rsid w:val="00FE2487"/>
    <w:rsid w:val="00FE253A"/>
    <w:rsid w:val="00FE2B91"/>
    <w:rsid w:val="00FE2D64"/>
    <w:rsid w:val="00FE311B"/>
    <w:rsid w:val="00FE3919"/>
    <w:rsid w:val="00FE3A37"/>
    <w:rsid w:val="00FE3F85"/>
    <w:rsid w:val="00FE412D"/>
    <w:rsid w:val="00FE42AB"/>
    <w:rsid w:val="00FE42CA"/>
    <w:rsid w:val="00FE4335"/>
    <w:rsid w:val="00FE434C"/>
    <w:rsid w:val="00FE43B6"/>
    <w:rsid w:val="00FE468A"/>
    <w:rsid w:val="00FE4722"/>
    <w:rsid w:val="00FE475E"/>
    <w:rsid w:val="00FE47DF"/>
    <w:rsid w:val="00FE48DB"/>
    <w:rsid w:val="00FE4D9F"/>
    <w:rsid w:val="00FE550D"/>
    <w:rsid w:val="00FE5784"/>
    <w:rsid w:val="00FE5B82"/>
    <w:rsid w:val="00FE5F17"/>
    <w:rsid w:val="00FE6018"/>
    <w:rsid w:val="00FE6199"/>
    <w:rsid w:val="00FE6283"/>
    <w:rsid w:val="00FE652B"/>
    <w:rsid w:val="00FE6B78"/>
    <w:rsid w:val="00FE753C"/>
    <w:rsid w:val="00FE764E"/>
    <w:rsid w:val="00FE7B23"/>
    <w:rsid w:val="00FE7C2B"/>
    <w:rsid w:val="00FE7ECD"/>
    <w:rsid w:val="00FF0DE8"/>
    <w:rsid w:val="00FF1574"/>
    <w:rsid w:val="00FF2C74"/>
    <w:rsid w:val="00FF2FA3"/>
    <w:rsid w:val="00FF2FBA"/>
    <w:rsid w:val="00FF351B"/>
    <w:rsid w:val="00FF3803"/>
    <w:rsid w:val="00FF390B"/>
    <w:rsid w:val="00FF3EC9"/>
    <w:rsid w:val="00FF3F59"/>
    <w:rsid w:val="00FF413F"/>
    <w:rsid w:val="00FF4D28"/>
    <w:rsid w:val="00FF4F07"/>
    <w:rsid w:val="00FF55C8"/>
    <w:rsid w:val="00FF5939"/>
    <w:rsid w:val="00FF5EAD"/>
    <w:rsid w:val="00FF653F"/>
    <w:rsid w:val="00FF656A"/>
    <w:rsid w:val="00FF69D0"/>
    <w:rsid w:val="00FF6D08"/>
    <w:rsid w:val="00FF7578"/>
    <w:rsid w:val="00FF77B1"/>
    <w:rsid w:val="00FF7915"/>
    <w:rsid w:val="00FF7C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place"/>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footer" w:uiPriority="99"/>
    <w:lsdException w:name="caption" w:qFormat="1"/>
    <w:lsdException w:name="table of figures" w:uiPriority="99"/>
    <w:lsdException w:name="footnote reference" w:uiPriority="99" w:qFormat="1"/>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Block Text" w:qFormat="1"/>
    <w:lsdException w:name="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073277"/>
    <w:pPr>
      <w:spacing w:after="240" w:line="260" w:lineRule="atLeast"/>
    </w:pPr>
    <w:rPr>
      <w:rFonts w:ascii="Times New Roman" w:hAnsi="Times New Roman"/>
    </w:rPr>
  </w:style>
  <w:style w:type="paragraph" w:styleId="Heading1">
    <w:name w:val="heading 1"/>
    <w:basedOn w:val="Normal"/>
    <w:next w:val="Normal"/>
    <w:link w:val="Heading1Char"/>
    <w:autoRedefine/>
    <w:qFormat/>
    <w:rsid w:val="00DF39BB"/>
    <w:pPr>
      <w:keepNext/>
      <w:numPr>
        <w:numId w:val="2"/>
      </w:numPr>
      <w:spacing w:line="240" w:lineRule="auto"/>
      <w:outlineLvl w:val="0"/>
    </w:pPr>
    <w:rPr>
      <w:rFonts w:ascii="Arial" w:eastAsia="Times New Roman" w:hAnsi="Arial" w:cs="Times New Roman"/>
      <w:b/>
      <w:bCs/>
      <w:sz w:val="36"/>
      <w:szCs w:val="36"/>
    </w:rPr>
  </w:style>
  <w:style w:type="paragraph" w:styleId="Heading2">
    <w:name w:val="heading 2"/>
    <w:basedOn w:val="Normal"/>
    <w:next w:val="Normal"/>
    <w:link w:val="Heading2Char"/>
    <w:autoRedefine/>
    <w:qFormat/>
    <w:rsid w:val="00C84462"/>
    <w:pPr>
      <w:keepNext/>
      <w:keepLines/>
      <w:numPr>
        <w:ilvl w:val="1"/>
        <w:numId w:val="2"/>
      </w:numPr>
      <w:pBdr>
        <w:bottom w:val="single" w:sz="8" w:space="1" w:color="auto"/>
      </w:pBdr>
      <w:spacing w:before="240" w:after="120"/>
      <w:ind w:left="0"/>
      <w:outlineLvl w:val="1"/>
    </w:pPr>
    <w:rPr>
      <w:rFonts w:ascii="Arial" w:eastAsia="Times New Roman" w:hAnsi="Arial" w:cs="Times New Roman"/>
      <w:b/>
      <w:bCs/>
      <w:iCs/>
      <w:sz w:val="24"/>
      <w:szCs w:val="28"/>
    </w:rPr>
  </w:style>
  <w:style w:type="paragraph" w:styleId="Heading3">
    <w:name w:val="heading 3"/>
    <w:basedOn w:val="Normal"/>
    <w:next w:val="Normal"/>
    <w:link w:val="Heading3Char"/>
    <w:autoRedefine/>
    <w:qFormat/>
    <w:rsid w:val="00B17B0C"/>
    <w:pPr>
      <w:keepNext/>
      <w:keepLines/>
      <w:numPr>
        <w:ilvl w:val="2"/>
        <w:numId w:val="2"/>
      </w:numPr>
      <w:spacing w:before="240" w:after="120"/>
      <w:outlineLvl w:val="2"/>
    </w:pPr>
    <w:rPr>
      <w:rFonts w:ascii="Arial" w:eastAsia="Times New Roman" w:hAnsi="Arial" w:cs="Arial"/>
      <w:b/>
      <w:color w:val="000000"/>
      <w:sz w:val="20"/>
      <w:szCs w:val="20"/>
    </w:rPr>
  </w:style>
  <w:style w:type="paragraph" w:styleId="Heading4">
    <w:name w:val="heading 4"/>
    <w:basedOn w:val="Normal"/>
    <w:next w:val="Normal"/>
    <w:link w:val="Heading4Char"/>
    <w:autoRedefine/>
    <w:qFormat/>
    <w:rsid w:val="00235A65"/>
    <w:pPr>
      <w:keepNext/>
      <w:keepLines/>
      <w:numPr>
        <w:ilvl w:val="3"/>
        <w:numId w:val="2"/>
      </w:numPr>
      <w:spacing w:after="120"/>
      <w:outlineLvl w:val="3"/>
    </w:pPr>
    <w:rPr>
      <w:rFonts w:ascii="Arial" w:eastAsia="Times New Roman" w:hAnsi="Arial" w:cs="Times New Roman"/>
      <w:i/>
      <w:iCs/>
      <w:sz w:val="20"/>
      <w:szCs w:val="20"/>
    </w:rPr>
  </w:style>
  <w:style w:type="paragraph" w:styleId="Heading5">
    <w:name w:val="heading 5"/>
    <w:basedOn w:val="Normal"/>
    <w:next w:val="Normal"/>
    <w:link w:val="Heading5Char"/>
    <w:autoRedefine/>
    <w:unhideWhenUsed/>
    <w:qFormat/>
    <w:rsid w:val="00AC69C3"/>
    <w:pPr>
      <w:keepNext/>
      <w:keepLines/>
      <w:spacing w:before="200"/>
      <w:outlineLvl w:val="4"/>
    </w:pPr>
    <w:rPr>
      <w:rFonts w:eastAsiaTheme="majorEastAsia" w:cstheme="majorBidi"/>
      <w:sz w:val="20"/>
    </w:rPr>
  </w:style>
  <w:style w:type="paragraph" w:styleId="Heading6">
    <w:name w:val="heading 6"/>
    <w:basedOn w:val="Normal"/>
    <w:next w:val="Normal"/>
    <w:link w:val="Heading6Char"/>
    <w:autoRedefine/>
    <w:unhideWhenUsed/>
    <w:qFormat/>
    <w:rsid w:val="00AC69C3"/>
    <w:pPr>
      <w:keepNext/>
      <w:keepLines/>
      <w:spacing w:before="200"/>
      <w:outlineLvl w:val="5"/>
    </w:pPr>
    <w:rPr>
      <w:rFonts w:eastAsiaTheme="majorEastAsia" w:cstheme="majorBidi"/>
      <w:i/>
      <w:iCs/>
      <w:color w:val="904807" w:themeColor="accent1" w:themeShade="7F"/>
      <w:sz w:val="20"/>
    </w:rPr>
  </w:style>
  <w:style w:type="paragraph" w:styleId="Heading7">
    <w:name w:val="heading 7"/>
    <w:basedOn w:val="Normal"/>
    <w:next w:val="Normal"/>
    <w:link w:val="Heading7Char"/>
    <w:autoRedefine/>
    <w:unhideWhenUsed/>
    <w:qFormat/>
    <w:rsid w:val="00AC69C3"/>
    <w:pPr>
      <w:keepNext/>
      <w:keepLines/>
      <w:spacing w:before="200"/>
      <w:outlineLvl w:val="6"/>
    </w:pPr>
    <w:rPr>
      <w:rFonts w:eastAsiaTheme="majorEastAsia" w:cstheme="majorBidi"/>
      <w:i/>
      <w:iCs/>
      <w:color w:val="404040" w:themeColor="text1" w:themeTint="BF"/>
      <w:sz w:val="20"/>
    </w:rPr>
  </w:style>
  <w:style w:type="paragraph" w:styleId="Heading8">
    <w:name w:val="heading 8"/>
    <w:basedOn w:val="Normal"/>
    <w:next w:val="Normal"/>
    <w:link w:val="Heading8Char"/>
    <w:autoRedefine/>
    <w:unhideWhenUsed/>
    <w:qFormat/>
    <w:rsid w:val="00AC69C3"/>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autoRedefine/>
    <w:unhideWhenUsed/>
    <w:qFormat/>
    <w:rsid w:val="00AC69C3"/>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link w:val="Heading1"/>
    <w:rsid w:val="00DF39BB"/>
    <w:rPr>
      <w:rFonts w:ascii="Arial" w:eastAsia="Times New Roman" w:hAnsi="Arial" w:cs="Times New Roman"/>
      <w:b/>
      <w:bCs/>
      <w:sz w:val="36"/>
      <w:szCs w:val="36"/>
    </w:rPr>
  </w:style>
  <w:style w:type="character" w:customStyle="1" w:styleId="Heading2Char">
    <w:name w:val="Heading 2 Char"/>
    <w:basedOn w:val="DefaultParagraphFont"/>
    <w:link w:val="Heading2"/>
    <w:rsid w:val="00C84462"/>
    <w:rPr>
      <w:rFonts w:ascii="Arial" w:eastAsia="Times New Roman" w:hAnsi="Arial" w:cs="Times New Roman"/>
      <w:b/>
      <w:bCs/>
      <w:iCs/>
      <w:sz w:val="24"/>
      <w:szCs w:val="28"/>
    </w:rPr>
  </w:style>
  <w:style w:type="character" w:customStyle="1" w:styleId="Heading3Char">
    <w:name w:val="Heading 3 Char"/>
    <w:basedOn w:val="DefaultParagraphFont"/>
    <w:link w:val="Heading3"/>
    <w:rsid w:val="00B17B0C"/>
    <w:rPr>
      <w:rFonts w:ascii="Arial" w:eastAsia="Times New Roman" w:hAnsi="Arial" w:cs="Arial"/>
      <w:b/>
      <w:color w:val="000000"/>
      <w:sz w:val="20"/>
      <w:szCs w:val="20"/>
    </w:rPr>
  </w:style>
  <w:style w:type="character" w:customStyle="1" w:styleId="Heading4Char">
    <w:name w:val="Heading 4 Char"/>
    <w:basedOn w:val="DefaultParagraphFont"/>
    <w:link w:val="Heading4"/>
    <w:rsid w:val="00235A65"/>
    <w:rPr>
      <w:rFonts w:ascii="Arial" w:eastAsia="Times New Roman" w:hAnsi="Arial" w:cs="Times New Roman"/>
      <w:i/>
      <w:iCs/>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808080" w:themeColor="text1" w:themeTint="7F"/>
    </w:rPr>
  </w:style>
  <w:style w:type="character" w:customStyle="1" w:styleId="Heading5Char">
    <w:name w:val="Heading 5 Char"/>
    <w:basedOn w:val="DefaultParagraphFont"/>
    <w:link w:val="Heading5"/>
    <w:rsid w:val="00AC69C3"/>
    <w:rPr>
      <w:rFonts w:ascii="Times New Roman" w:eastAsiaTheme="majorEastAsia" w:hAnsi="Times New Roman" w:cstheme="majorBidi"/>
      <w:sz w:val="20"/>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7F7F7F"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E7251A" w:themeColor="accent2"/>
      <w:spacing w:val="5"/>
      <w:u w:val="single"/>
    </w:rPr>
  </w:style>
  <w:style w:type="character" w:styleId="SubtleReference">
    <w:name w:val="Subtle Reference"/>
    <w:basedOn w:val="DefaultParagraphFont"/>
    <w:uiPriority w:val="31"/>
    <w:qFormat/>
    <w:rsid w:val="00AC69C3"/>
    <w:rPr>
      <w:rFonts w:ascii="Arial" w:hAnsi="Arial"/>
      <w:smallCaps/>
      <w:color w:val="E7251A" w:themeColor="accent2"/>
      <w:u w:val="single"/>
    </w:rPr>
  </w:style>
  <w:style w:type="paragraph" w:styleId="Quote">
    <w:name w:val="Quote"/>
    <w:basedOn w:val="Normal"/>
    <w:next w:val="Normal"/>
    <w:link w:val="QuoteChar"/>
    <w:autoRedefine/>
    <w:uiPriority w:val="29"/>
    <w:qFormat/>
    <w:rsid w:val="00AC69C3"/>
    <w:rPr>
      <w:i/>
      <w:iCs/>
      <w:color w:val="000000" w:themeColor="text1"/>
    </w:rPr>
  </w:style>
  <w:style w:type="character" w:customStyle="1" w:styleId="QuoteChar">
    <w:name w:val="Quote Char"/>
    <w:basedOn w:val="DefaultParagraphFont"/>
    <w:link w:val="Quote"/>
    <w:uiPriority w:val="29"/>
    <w:rsid w:val="00AC69C3"/>
    <w:rPr>
      <w:rFonts w:ascii="Times New Roman" w:hAnsi="Times New Roman"/>
      <w:i/>
      <w:iCs/>
      <w:color w:val="000000" w:themeColor="text1"/>
    </w:rPr>
  </w:style>
  <w:style w:type="paragraph" w:styleId="ListParagraph">
    <w:name w:val="List Paragraph"/>
    <w:basedOn w:val="Normal"/>
    <w:link w:val="ListParagraphChar"/>
    <w:uiPriority w:val="34"/>
    <w:qFormat/>
    <w:rsid w:val="00125FA7"/>
    <w:pPr>
      <w:numPr>
        <w:ilvl w:val="1"/>
        <w:numId w:val="20"/>
      </w:numPr>
      <w:spacing w:before="120" w:line="240" w:lineRule="auto"/>
      <w:contextualSpacing/>
    </w:p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706A52"/>
    <w:pPr>
      <w:spacing w:after="80" w:line="240" w:lineRule="auto"/>
    </w:pPr>
    <w:rPr>
      <w:rFonts w:ascii="Times New Roman" w:hAnsi="Times New Roman"/>
      <w:szCs w:val="18"/>
    </w:rPr>
  </w:style>
  <w:style w:type="character" w:customStyle="1" w:styleId="Heading6Char">
    <w:name w:val="Heading 6 Char"/>
    <w:basedOn w:val="DefaultParagraphFont"/>
    <w:link w:val="Heading6"/>
    <w:rsid w:val="00AC69C3"/>
    <w:rPr>
      <w:rFonts w:ascii="Times New Roman" w:eastAsiaTheme="majorEastAsia" w:hAnsi="Times New Roman" w:cstheme="majorBidi"/>
      <w:i/>
      <w:iCs/>
      <w:color w:val="904807" w:themeColor="accent1" w:themeShade="7F"/>
      <w:sz w:val="20"/>
    </w:rPr>
  </w:style>
  <w:style w:type="character" w:customStyle="1" w:styleId="Heading7Char">
    <w:name w:val="Heading 7 Char"/>
    <w:basedOn w:val="DefaultParagraphFont"/>
    <w:link w:val="Heading7"/>
    <w:rsid w:val="00AC69C3"/>
    <w:rPr>
      <w:rFonts w:ascii="Times New Roman" w:eastAsiaTheme="majorEastAsia" w:hAnsi="Times New Roman" w:cstheme="majorBidi"/>
      <w:i/>
      <w:iCs/>
      <w:color w:val="404040" w:themeColor="text1" w:themeTint="BF"/>
      <w:sz w:val="20"/>
    </w:rPr>
  </w:style>
  <w:style w:type="character" w:customStyle="1" w:styleId="Heading8Char">
    <w:name w:val="Heading 8 Char"/>
    <w:basedOn w:val="DefaultParagraphFont"/>
    <w:link w:val="Heading8"/>
    <w:rsid w:val="00AC69C3"/>
    <w:rPr>
      <w:rFonts w:ascii="Times New Roman" w:eastAsiaTheme="majorEastAsia" w:hAnsi="Times New Roman" w:cstheme="majorBidi"/>
      <w:color w:val="404040" w:themeColor="text1" w:themeTint="BF"/>
      <w:sz w:val="20"/>
      <w:szCs w:val="20"/>
    </w:rPr>
  </w:style>
  <w:style w:type="character" w:customStyle="1" w:styleId="Heading9Char">
    <w:name w:val="Heading 9 Char"/>
    <w:basedOn w:val="DefaultParagraphFont"/>
    <w:link w:val="Heading9"/>
    <w:rsid w:val="00AC69C3"/>
    <w:rPr>
      <w:rFonts w:ascii="Times New Roman" w:eastAsiaTheme="majorEastAsia" w:hAnsi="Times New Roman" w:cstheme="majorBidi"/>
      <w:i/>
      <w:iCs/>
      <w:color w:val="404040" w:themeColor="text1" w:themeTint="BF"/>
      <w:sz w:val="20"/>
      <w:szCs w:val="20"/>
    </w:rPr>
  </w:style>
  <w:style w:type="paragraph" w:styleId="Caption">
    <w:name w:val="caption"/>
    <w:basedOn w:val="Normal"/>
    <w:next w:val="Normal"/>
    <w:link w:val="CaptionChar"/>
    <w:unhideWhenUsed/>
    <w:qFormat/>
    <w:rsid w:val="00C41DC9"/>
    <w:pPr>
      <w:keepNext/>
      <w:keepLines/>
      <w:spacing w:after="120" w:line="240" w:lineRule="auto"/>
      <w:ind w:left="547" w:right="547"/>
      <w:jc w:val="center"/>
    </w:pPr>
    <w:rPr>
      <w:rFonts w:ascii="Arial" w:hAnsi="Arial"/>
      <w:b/>
      <w:bCs/>
      <w:sz w:val="20"/>
      <w:szCs w:val="18"/>
    </w:rPr>
  </w:style>
  <w:style w:type="paragraph" w:styleId="Bibliography">
    <w:name w:val="Bibliography"/>
    <w:basedOn w:val="Normal"/>
    <w:next w:val="Normal"/>
    <w:autoRedefine/>
    <w:uiPriority w:val="37"/>
    <w:semiHidden/>
    <w:unhideWhenUsed/>
    <w:qFormat/>
    <w:rsid w:val="00AC69C3"/>
  </w:style>
  <w:style w:type="paragraph" w:styleId="TOC1">
    <w:name w:val="toc 1"/>
    <w:basedOn w:val="Normal"/>
    <w:next w:val="Normal"/>
    <w:autoRedefine/>
    <w:uiPriority w:val="39"/>
    <w:unhideWhenUsed/>
    <w:qFormat/>
    <w:rsid w:val="00FE22F3"/>
    <w:pPr>
      <w:tabs>
        <w:tab w:val="right" w:leader="dot" w:pos="9360"/>
      </w:tabs>
      <w:spacing w:after="80" w:line="240" w:lineRule="auto"/>
    </w:pPr>
    <w:rPr>
      <w:rFonts w:ascii="Arial" w:hAnsi="Arial"/>
      <w:b/>
      <w:noProof/>
      <w:sz w:val="24"/>
    </w:rPr>
  </w:style>
  <w:style w:type="paragraph" w:styleId="TOC2">
    <w:name w:val="toc 2"/>
    <w:basedOn w:val="Normal"/>
    <w:next w:val="Normal"/>
    <w:autoRedefine/>
    <w:uiPriority w:val="39"/>
    <w:unhideWhenUsed/>
    <w:qFormat/>
    <w:rsid w:val="003E29CF"/>
    <w:pPr>
      <w:tabs>
        <w:tab w:val="right" w:leader="dot" w:pos="9360"/>
      </w:tabs>
      <w:spacing w:after="80"/>
      <w:ind w:left="360" w:hanging="360"/>
    </w:pPr>
  </w:style>
  <w:style w:type="paragraph" w:styleId="TOC3">
    <w:name w:val="toc 3"/>
    <w:basedOn w:val="Normal"/>
    <w:next w:val="Normal"/>
    <w:autoRedefine/>
    <w:uiPriority w:val="39"/>
    <w:unhideWhenUsed/>
    <w:qFormat/>
    <w:rsid w:val="007F64BB"/>
    <w:pPr>
      <w:tabs>
        <w:tab w:val="right" w:leader="dot" w:pos="9360"/>
        <w:tab w:val="right" w:leader="dot" w:pos="9450"/>
      </w:tabs>
      <w:spacing w:after="40"/>
      <w:ind w:left="907" w:hanging="547"/>
    </w:p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rPr>
      <w:sz w:val="20"/>
    </w:r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Heading1"/>
    <w:next w:val="Normal"/>
    <w:autoRedefine/>
    <w:uiPriority w:val="39"/>
    <w:unhideWhenUsed/>
    <w:qFormat/>
    <w:rsid w:val="00E239B3"/>
    <w:pPr>
      <w:keepLines/>
      <w:numPr>
        <w:numId w:val="0"/>
      </w:numPr>
      <w:spacing w:after="480" w:line="260" w:lineRule="atLeast"/>
      <w:outlineLvl w:val="9"/>
    </w:pPr>
    <w:rPr>
      <w:rFonts w:eastAsiaTheme="majorEastAsia" w:cs="Arial"/>
      <w:szCs w:val="28"/>
    </w:rPr>
  </w:style>
  <w:style w:type="paragraph" w:styleId="BalloonText">
    <w:name w:val="Balloon Text"/>
    <w:basedOn w:val="Normal"/>
    <w:link w:val="BalloonTextChar"/>
    <w:autoRedefine/>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style>
  <w:style w:type="character" w:styleId="Hyperlink">
    <w:name w:val="Hyperlink"/>
    <w:basedOn w:val="DefaultParagraphFont"/>
    <w:uiPriority w:val="99"/>
    <w:unhideWhenUsed/>
    <w:rsid w:val="00DA0E46"/>
    <w:rPr>
      <w:color w:val="0000FF" w:themeColor="hyperlink"/>
      <w:u w:val="single"/>
    </w:rPr>
  </w:style>
  <w:style w:type="paragraph" w:customStyle="1" w:styleId="ISOBodyCopy">
    <w:name w:val="ISO Body Copy"/>
    <w:basedOn w:val="Normal"/>
    <w:link w:val="ISOBodyCopyChar"/>
    <w:rsid w:val="00196ECD"/>
    <w:rPr>
      <w:rFonts w:eastAsia="Times New Roman" w:cs="Times New Roman"/>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EC0545"/>
    <w:pPr>
      <w:spacing w:after="80" w:line="240" w:lineRule="auto"/>
    </w:pPr>
    <w:rPr>
      <w:rFonts w:eastAsia="Times New Roman" w:cs="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EC0545"/>
    <w:rPr>
      <w:rFonts w:ascii="Times New Roman" w:eastAsia="Times New Roman" w:hAnsi="Times New Roman" w:cs="Times New Roman"/>
      <w:sz w:val="18"/>
      <w:szCs w:val="18"/>
    </w:rPr>
  </w:style>
  <w:style w:type="paragraph" w:customStyle="1" w:styleId="ISOBulletList">
    <w:name w:val="ISO Bullet List"/>
    <w:basedOn w:val="Normal"/>
    <w:rsid w:val="00196ECD"/>
    <w:pPr>
      <w:numPr>
        <w:numId w:val="3"/>
      </w:numPr>
      <w:spacing w:after="120"/>
    </w:pPr>
    <w:rPr>
      <w:rFonts w:eastAsia="Times New Roman" w:cs="Times New Roman"/>
      <w:szCs w:val="20"/>
    </w:rPr>
  </w:style>
  <w:style w:type="character" w:styleId="CommentReference">
    <w:name w:val="annotation reference"/>
    <w:basedOn w:val="DefaultParagraphFont"/>
    <w:semiHidden/>
    <w:rsid w:val="00196ECD"/>
    <w:rPr>
      <w:rFonts w:cs="Times New Roman"/>
      <w:sz w:val="16"/>
      <w:szCs w:val="16"/>
    </w:rPr>
  </w:style>
  <w:style w:type="paragraph" w:styleId="CommentText">
    <w:name w:val="annotation text"/>
    <w:basedOn w:val="Normal"/>
    <w:link w:val="CommentTextChar"/>
    <w:semiHidden/>
    <w:rsid w:val="00196ECD"/>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b/>
      <w:bCs/>
    </w:rPr>
  </w:style>
  <w:style w:type="paragraph" w:customStyle="1" w:styleId="Caption-Figure">
    <w:name w:val="Caption-Figure"/>
    <w:basedOn w:val="Caption"/>
    <w:link w:val="Caption-FigureChar"/>
    <w:qFormat/>
    <w:rsid w:val="007A7641"/>
    <w:pPr>
      <w:spacing w:before="120" w:after="0"/>
      <w:ind w:left="0" w:right="0"/>
      <w:jc w:val="left"/>
    </w:pPr>
  </w:style>
  <w:style w:type="paragraph" w:styleId="NormalWeb">
    <w:name w:val="Normal (Web)"/>
    <w:basedOn w:val="Normal"/>
    <w:uiPriority w:val="99"/>
    <w:rsid w:val="00196ECD"/>
    <w:pPr>
      <w:spacing w:before="100" w:beforeAutospacing="1" w:after="100" w:afterAutospacing="1" w:line="240" w:lineRule="auto"/>
    </w:pPr>
    <w:rPr>
      <w:rFonts w:eastAsia="Times New Roman" w:cs="Times New Roman"/>
      <w:sz w:val="24"/>
      <w:szCs w:val="24"/>
    </w:rPr>
  </w:style>
  <w:style w:type="character" w:customStyle="1" w:styleId="EmailStyle80">
    <w:name w:val="EmailStyle801"/>
    <w:aliases w:val="EmailStyle801"/>
    <w:basedOn w:val="DefaultParagraphFont"/>
    <w:semiHidden/>
    <w:personal/>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cs="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szCs w:val="20"/>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
    <w:basedOn w:val="DefaultParagraphFont"/>
    <w:uiPriority w:val="99"/>
    <w:qFormat/>
    <w:rsid w:val="00196ECD"/>
    <w:rPr>
      <w:rFonts w:ascii="Times New Roman" w:hAnsi="Times New Roman" w:cs="Times New Roman"/>
      <w:sz w:val="18"/>
      <w:vertAlign w:val="superscript"/>
    </w:rPr>
  </w:style>
  <w:style w:type="paragraph" w:customStyle="1" w:styleId="Caption-Table">
    <w:name w:val="Caption-Table"/>
    <w:basedOn w:val="Caption"/>
    <w:autoRedefine/>
    <w:rsid w:val="002A7F89"/>
    <w:pPr>
      <w:spacing w:after="60"/>
    </w:pPr>
    <w:rPr>
      <w:rFonts w:eastAsia="Times New Roman" w:cs="Arial"/>
      <w:bCs w:val="0"/>
      <w:szCs w:val="22"/>
    </w:rPr>
  </w:style>
  <w:style w:type="paragraph" w:customStyle="1" w:styleId="TableNote">
    <w:name w:val="Table Note"/>
    <w:rsid w:val="00196ECD"/>
    <w:pPr>
      <w:keepNext/>
      <w:spacing w:before="80" w:after="0" w:line="240" w:lineRule="auto"/>
    </w:pPr>
    <w:rPr>
      <w:rFonts w:ascii="Arial" w:eastAsia="Times New Roman" w:hAnsi="Arial" w:cs="Times New Roman"/>
      <w:sz w:val="16"/>
      <w:szCs w:val="20"/>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cs="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cs="Times New Roman"/>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 w:val="20"/>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cs="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rsid w:val="00196ECD"/>
    <w:pPr>
      <w:tabs>
        <w:tab w:val="center" w:pos="4320"/>
        <w:tab w:val="right" w:pos="8640"/>
      </w:tabs>
      <w:spacing w:after="360" w:line="240" w:lineRule="auto"/>
      <w:jc w:val="center"/>
    </w:pPr>
    <w:rPr>
      <w:rFonts w:eastAsia="Times New Roman" w:cs="Times New Roman"/>
      <w:sz w:val="16"/>
      <w:szCs w:val="16"/>
    </w:rPr>
  </w:style>
  <w:style w:type="character" w:customStyle="1" w:styleId="HeaderChar">
    <w:name w:val="Header Char"/>
    <w:basedOn w:val="DefaultParagraphFont"/>
    <w:link w:val="Header"/>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styleId="TableofFigures">
    <w:name w:val="table of figures"/>
    <w:basedOn w:val="Normal"/>
    <w:next w:val="Normal"/>
    <w:autoRedefine/>
    <w:uiPriority w:val="99"/>
    <w:rsid w:val="00770EB0"/>
    <w:pPr>
      <w:keepLines/>
      <w:tabs>
        <w:tab w:val="left" w:pos="1170"/>
        <w:tab w:val="right" w:leader="dot" w:pos="9360"/>
      </w:tabs>
      <w:spacing w:before="80" w:after="120"/>
      <w:ind w:left="1080" w:hanging="1080"/>
    </w:pPr>
    <w:rPr>
      <w:rFonts w:eastAsia="Times New Roman" w:cs="Times New Roman"/>
      <w:bCs/>
      <w:noProof/>
      <w:sz w:val="20"/>
      <w:szCs w:val="20"/>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FootnoteText"/>
    <w:rsid w:val="00196ECD"/>
    <w:pPr>
      <w:keepNext/>
      <w:keepLines/>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tabs>
        <w:tab w:val="num" w:pos="360"/>
      </w:tabs>
      <w:spacing w:before="240" w:after="120"/>
      <w:outlineLvl w:val="1"/>
    </w:pPr>
    <w:rPr>
      <w:rFonts w:ascii="Arial" w:eastAsia="Times New Roman" w:hAnsi="Arial" w:cs="Times New Roman"/>
      <w:b/>
      <w:sz w:val="28"/>
      <w:szCs w:val="20"/>
      <w:u w:val="single"/>
    </w:rPr>
  </w:style>
  <w:style w:type="paragraph" w:customStyle="1" w:styleId="ISOChapterSectionTitle">
    <w:name w:val="ISO Chapter/Section Title"/>
    <w:basedOn w:val="Title"/>
    <w:rsid w:val="00196ECD"/>
    <w:pPr>
      <w:pageBreakBefore/>
      <w:pBdr>
        <w:bottom w:val="none" w:sz="0" w:space="0" w:color="auto"/>
      </w:pBdr>
      <w:tabs>
        <w:tab w:val="num" w:pos="1800"/>
      </w:tabs>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Heading4"/>
    <w:rsid w:val="00196ECD"/>
    <w:pPr>
      <w:numPr>
        <w:ilvl w:val="0"/>
        <w:numId w:val="0"/>
      </w:numPr>
      <w:tabs>
        <w:tab w:val="num" w:pos="1800"/>
      </w:tabs>
      <w:spacing w:line="240" w:lineRule="atLeast"/>
      <w:ind w:left="1800" w:hanging="360"/>
    </w:pPr>
    <w:rPr>
      <w:b/>
      <w:bCs/>
      <w:i w:val="0"/>
    </w:rPr>
  </w:style>
  <w:style w:type="paragraph" w:customStyle="1" w:styleId="ISOHeading3">
    <w:name w:val="ISO Heading 3"/>
    <w:basedOn w:val="Heading3"/>
    <w:autoRedefine/>
    <w:rsid w:val="00196ECD"/>
    <w:pPr>
      <w:numPr>
        <w:ilvl w:val="0"/>
        <w:numId w:val="0"/>
      </w:numPr>
      <w:tabs>
        <w:tab w:val="num" w:pos="1800"/>
      </w:tabs>
      <w:spacing w:before="0" w:line="240" w:lineRule="atLeast"/>
      <w:ind w:left="1656" w:hanging="1656"/>
    </w:pPr>
    <w:rPr>
      <w:rFonts w:ascii="Times New Roman" w:hAnsi="Times New Roman" w:cs="Times New Roman"/>
      <w:b w:val="0"/>
      <w:szCs w:val="22"/>
    </w:rPr>
  </w:style>
  <w:style w:type="paragraph" w:customStyle="1" w:styleId="Table-FigureBox">
    <w:name w:val="Table-FigureBox"/>
    <w:basedOn w:val="Normal"/>
    <w:rsid w:val="00196ECD"/>
    <w:pPr>
      <w:spacing w:before="240" w:after="120" w:line="240" w:lineRule="auto"/>
      <w:jc w:val="center"/>
    </w:pPr>
    <w:rPr>
      <w:rFonts w:ascii="Arial" w:eastAsia="Times New Roman" w:hAnsi="Arial" w:cs="Times New Roman"/>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 w:val="20"/>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cs="Times New Roman"/>
      <w:sz w:val="24"/>
      <w:szCs w:val="24"/>
    </w:rPr>
  </w:style>
  <w:style w:type="character" w:customStyle="1" w:styleId="EmailStyle111">
    <w:name w:val="EmailStyle1111"/>
    <w:aliases w:val="EmailStyle1111"/>
    <w:basedOn w:val="DefaultParagraphFont"/>
    <w:semiHidden/>
    <w:personal/>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Caption-Figure"/>
    <w:autoRedefine/>
    <w:rsid w:val="00196ECD"/>
    <w:rPr>
      <w:b w:val="0"/>
    </w:rPr>
  </w:style>
  <w:style w:type="paragraph" w:customStyle="1" w:styleId="StyleCaption-FigureLeft031">
    <w:name w:val="Style Caption-Figure + Left:  0.31&quot;"/>
    <w:basedOn w:val="Caption-Figure"/>
    <w:autoRedefine/>
    <w:rsid w:val="00196ECD"/>
    <w:pPr>
      <w:ind w:left="450"/>
    </w:pPr>
    <w:rPr>
      <w:b w:val="0"/>
    </w:rPr>
  </w:style>
  <w:style w:type="paragraph" w:customStyle="1" w:styleId="StyleCaption-FigureLeft031Right025">
    <w:name w:val="Style Caption-Figure + Left:  0.31&quot; Right:  0.25&quot;"/>
    <w:basedOn w:val="Caption-Figure"/>
    <w:autoRedefine/>
    <w:rsid w:val="00196ECD"/>
    <w:pPr>
      <w:ind w:left="450" w:right="360"/>
    </w:pPr>
    <w:rPr>
      <w:b w:val="0"/>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rPr>
      <w:rFonts w:eastAsia="Times New Roman" w:cs="Times New Roman"/>
      <w:bCs/>
      <w:noProof/>
      <w:szCs w:val="20"/>
    </w:rPr>
  </w:style>
  <w:style w:type="paragraph" w:customStyle="1" w:styleId="TableCaption">
    <w:name w:val="Table Caption"/>
    <w:basedOn w:val="Caption"/>
    <w:autoRedefine/>
    <w:rsid w:val="00196ECD"/>
    <w:pPr>
      <w:tabs>
        <w:tab w:val="left" w:pos="1260"/>
        <w:tab w:val="left" w:pos="7740"/>
        <w:tab w:val="left" w:pos="9000"/>
      </w:tabs>
      <w:adjustRightInd w:val="0"/>
      <w:ind w:left="1260" w:right="1260"/>
      <w:textAlignment w:val="baseline"/>
    </w:pPr>
    <w:rPr>
      <w:rFonts w:eastAsia="Times New Roman" w:cs="Times New Roman"/>
    </w:rPr>
  </w:style>
  <w:style w:type="character" w:customStyle="1" w:styleId="CaptionChar">
    <w:name w:val="Caption Char"/>
    <w:basedOn w:val="DefaultParagraphFont"/>
    <w:link w:val="Caption"/>
    <w:locked/>
    <w:rsid w:val="00C41DC9"/>
    <w:rPr>
      <w:rFonts w:ascii="Arial" w:hAnsi="Arial"/>
      <w:b/>
      <w:bCs/>
      <w:sz w:val="20"/>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cs="Times New Roman"/>
      <w:szCs w:val="24"/>
    </w:rPr>
  </w:style>
  <w:style w:type="paragraph" w:customStyle="1" w:styleId="StyleHeading1After6pt">
    <w:name w:val="Style Heading 1 + After:  6 pt"/>
    <w:basedOn w:val="Heading1"/>
    <w:autoRedefine/>
    <w:rsid w:val="00196ECD"/>
    <w:pPr>
      <w:keepLines/>
      <w:numPr>
        <w:numId w:val="0"/>
      </w:numPr>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TableofFigures"/>
    <w:rsid w:val="00196ECD"/>
    <w:pPr>
      <w:ind w:right="360"/>
    </w:pPr>
  </w:style>
  <w:style w:type="table" w:styleId="TableGrid">
    <w:name w:val="Table Grid"/>
    <w:basedOn w:val="TableNormal"/>
    <w:rsid w:val="00196ECD"/>
    <w:pPr>
      <w:widowControl w:val="0"/>
      <w:spacing w:after="0" w:line="26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semiHidden/>
    <w:rsid w:val="00196ECD"/>
    <w:pPr>
      <w:tabs>
        <w:tab w:val="right" w:leader="dot" w:pos="8990"/>
      </w:tabs>
      <w:ind w:left="280" w:hanging="280"/>
    </w:pPr>
    <w:rPr>
      <w:rFonts w:eastAsia="Times New Roman" w:cs="Times New Roman"/>
      <w:noProof/>
      <w:sz w:val="20"/>
      <w:szCs w:val="20"/>
    </w:rPr>
  </w:style>
  <w:style w:type="paragraph" w:styleId="Index2">
    <w:name w:val="index 2"/>
    <w:basedOn w:val="Normal"/>
    <w:next w:val="Normal"/>
    <w:autoRedefine/>
    <w:semiHidden/>
    <w:rsid w:val="00196ECD"/>
    <w:pPr>
      <w:tabs>
        <w:tab w:val="right" w:leader="dot" w:pos="8990"/>
      </w:tabs>
      <w:ind w:left="560" w:hanging="280"/>
    </w:pPr>
    <w:rPr>
      <w:rFonts w:eastAsia="Times New Roman" w:cs="Times New Roman"/>
      <w:noProof/>
      <w:sz w:val="20"/>
      <w:szCs w:val="20"/>
    </w:rPr>
  </w:style>
  <w:style w:type="paragraph" w:styleId="Index3">
    <w:name w:val="index 3"/>
    <w:basedOn w:val="Normal"/>
    <w:next w:val="Normal"/>
    <w:autoRedefine/>
    <w:semiHidden/>
    <w:rsid w:val="00196ECD"/>
    <w:pPr>
      <w:ind w:left="840" w:hanging="280"/>
    </w:pPr>
    <w:rPr>
      <w:rFonts w:eastAsia="Times New Roman" w:cs="Times New Roman"/>
      <w:szCs w:val="20"/>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ption-FigureChar">
    <w:name w:val="Caption-Figure Char"/>
    <w:basedOn w:val="CaptionChar"/>
    <w:link w:val="Caption-Figure"/>
    <w:locked/>
    <w:rsid w:val="007A7641"/>
  </w:style>
  <w:style w:type="character" w:customStyle="1" w:styleId="CaptionFigureChar">
    <w:name w:val="CaptionFigure Char"/>
    <w:basedOn w:val="CaptionChar"/>
    <w:link w:val="CaptionFigure"/>
    <w:locked/>
    <w:rsid w:val="00196ECD"/>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Caption"/>
    <w:link w:val="CaptionFigureChar"/>
    <w:rsid w:val="00196ECD"/>
  </w:style>
  <w:style w:type="character" w:customStyle="1" w:styleId="Caption-Figure-Text">
    <w:name w:val="Caption-Figure-Text"/>
    <w:qFormat/>
    <w:rsid w:val="00196ECD"/>
    <w:rPr>
      <w:rFonts w:ascii="Arial" w:hAnsi="Arial"/>
      <w:b/>
      <w:sz w:val="22"/>
    </w:rPr>
  </w:style>
  <w:style w:type="paragraph" w:customStyle="1" w:styleId="Style1">
    <w:name w:val="Style1"/>
    <w:basedOn w:val="CaptionFigure"/>
    <w:rsid w:val="00196ECD"/>
    <w:pPr>
      <w:keepNext w:val="0"/>
      <w:ind w:left="360"/>
    </w:pPr>
    <w:rPr>
      <w:b w:val="0"/>
    </w:rPr>
  </w:style>
  <w:style w:type="paragraph" w:customStyle="1" w:styleId="NormalBefore6pt">
    <w:name w:val="Normal + Before:  6 pt"/>
    <w:basedOn w:val="Normal"/>
    <w:rsid w:val="00196ECD"/>
    <w:pPr>
      <w:spacing w:before="120" w:line="240" w:lineRule="auto"/>
    </w:pPr>
    <w:rPr>
      <w:rFonts w:eastAsia="Times New Roman" w:cs="Times New Roman"/>
      <w:szCs w:val="24"/>
    </w:rPr>
  </w:style>
  <w:style w:type="paragraph" w:customStyle="1" w:styleId="FoonoteText">
    <w:name w:val="Foonote Text"/>
    <w:basedOn w:val="FootnoteText"/>
    <w:link w:val="FoonoteTextChar"/>
    <w:rsid w:val="00196ECD"/>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cs="Times New Roman"/>
      <w:szCs w:val="20"/>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196ECD"/>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706A52"/>
    <w:rPr>
      <w:rFonts w:ascii="Times New Roman" w:hAnsi="Times New Roman"/>
      <w:szCs w:val="18"/>
    </w:rPr>
  </w:style>
  <w:style w:type="character" w:customStyle="1" w:styleId="EmailStyle150">
    <w:name w:val="EmailStyle1501"/>
    <w:aliases w:val="EmailStyle1501"/>
    <w:basedOn w:val="DefaultParagraphFont"/>
    <w:semiHidden/>
    <w:personal/>
    <w:personalReply/>
    <w:rsid w:val="00196ECD"/>
    <w:rPr>
      <w:rFonts w:ascii="Arial" w:hAnsi="Arial" w:cs="Arial"/>
      <w:color w:val="993366"/>
      <w:sz w:val="20"/>
    </w:rPr>
  </w:style>
  <w:style w:type="character" w:customStyle="1" w:styleId="EmailStyle151">
    <w:name w:val="EmailStyle1511"/>
    <w:aliases w:val="EmailStyle1511"/>
    <w:basedOn w:val="DefaultParagraphFont"/>
    <w:semiHidden/>
    <w:personal/>
    <w:personalReply/>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
    <w:name w:val="EmailStyle1561"/>
    <w:aliases w:val="EmailStyle1561"/>
    <w:basedOn w:val="DefaultParagraphFont"/>
    <w:semiHidden/>
    <w:personal/>
    <w:personalReply/>
    <w:rsid w:val="00196ECD"/>
    <w:rPr>
      <w:rFonts w:ascii="Arial" w:hAnsi="Arial" w:cs="Arial"/>
      <w:color w:val="993366"/>
      <w:sz w:val="20"/>
    </w:rPr>
  </w:style>
  <w:style w:type="character" w:customStyle="1" w:styleId="EmailStyle157">
    <w:name w:val="EmailStyle1571"/>
    <w:aliases w:val="EmailStyle1571"/>
    <w:basedOn w:val="DefaultParagraphFont"/>
    <w:semiHidden/>
    <w:personal/>
    <w:personalReply/>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cs="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cs="Times New Roman"/>
      <w:szCs w:val="20"/>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cs="Times New Roman"/>
      <w:szCs w:val="20"/>
    </w:rPr>
  </w:style>
  <w:style w:type="paragraph" w:customStyle="1" w:styleId="nobottom">
    <w:name w:val="nobottom"/>
    <w:basedOn w:val="Normal"/>
    <w:rsid w:val="00196ECD"/>
    <w:pPr>
      <w:spacing w:line="240" w:lineRule="auto"/>
    </w:pPr>
    <w:rPr>
      <w:rFonts w:eastAsia="Times New Roman" w:cs="Times New Roman"/>
      <w:sz w:val="19"/>
      <w:szCs w:val="19"/>
    </w:rPr>
  </w:style>
  <w:style w:type="character" w:customStyle="1" w:styleId="StyleFootnoteReferenceLatinTimesNewRoman">
    <w:name w:val="Style Footnote Reference + (Latin) Times New Roman"/>
    <w:basedOn w:val="FootnoteReference"/>
    <w:rsid w:val="00196ECD"/>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cs="Times New Roman"/>
      <w:b/>
      <w:sz w:val="24"/>
      <w:szCs w:val="20"/>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cs="Times New Roman"/>
      <w:b/>
      <w:sz w:val="32"/>
      <w:szCs w:val="24"/>
    </w:rPr>
  </w:style>
  <w:style w:type="paragraph" w:customStyle="1" w:styleId="Bullets">
    <w:name w:val="Bullets"/>
    <w:basedOn w:val="Normal"/>
    <w:rsid w:val="00196ECD"/>
    <w:pPr>
      <w:numPr>
        <w:numId w:val="9"/>
      </w:numPr>
      <w:spacing w:after="60" w:line="240" w:lineRule="auto"/>
    </w:pPr>
    <w:rPr>
      <w:rFonts w:eastAsia="Times New Roman" w:cs="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cs="Times New Roman"/>
      <w:sz w:val="24"/>
      <w:szCs w:val="20"/>
    </w:rPr>
  </w:style>
  <w:style w:type="paragraph" w:customStyle="1" w:styleId="Reference">
    <w:name w:val="Reference"/>
    <w:basedOn w:val="Normal"/>
    <w:rsid w:val="00196ECD"/>
    <w:pPr>
      <w:spacing w:line="240" w:lineRule="auto"/>
    </w:pPr>
    <w:rPr>
      <w:rFonts w:eastAsia="Times New Roman" w:cs="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cs="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cs="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cs="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cs="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cs="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cs="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cs="Times New Roman"/>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cs="Times New Roman"/>
      <w:noProof/>
      <w:sz w:val="24"/>
      <w:szCs w:val="20"/>
    </w:rPr>
  </w:style>
  <w:style w:type="paragraph" w:customStyle="1" w:styleId="1Numbering">
    <w:name w:val="1.Numbering"/>
    <w:basedOn w:val="Normal"/>
    <w:rsid w:val="00196ECD"/>
    <w:pPr>
      <w:tabs>
        <w:tab w:val="num" w:pos="1080"/>
      </w:tabs>
      <w:spacing w:line="240" w:lineRule="auto"/>
      <w:ind w:left="1080" w:hanging="360"/>
    </w:pPr>
    <w:rPr>
      <w:rFonts w:eastAsia="Times New Roman" w:cs="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cs="Times New Roman"/>
      <w:b/>
      <w:sz w:val="24"/>
      <w:szCs w:val="20"/>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cs="Times New Roman"/>
      <w:sz w:val="24"/>
      <w:szCs w:val="20"/>
    </w:rPr>
  </w:style>
  <w:style w:type="paragraph" w:customStyle="1" w:styleId="R521DocumentTitle">
    <w:name w:val="R521 Document Title"/>
    <w:basedOn w:val="Heading1"/>
    <w:rsid w:val="00196ECD"/>
    <w:pPr>
      <w:keepLines/>
      <w:pageBreakBefore/>
      <w:numPr>
        <w:numId w:val="0"/>
      </w:numPr>
      <w:tabs>
        <w:tab w:val="num" w:pos="1080"/>
      </w:tabs>
      <w:ind w:left="1080" w:hanging="360"/>
    </w:pPr>
    <w:rPr>
      <w:rFonts w:ascii="Verdana" w:hAnsi="Verdana"/>
      <w:bCs w:val="0"/>
      <w:smallCaps/>
      <w:color w:val="008080"/>
      <w:sz w:val="40"/>
      <w:szCs w:val="2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cs="Times New Roman"/>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szCs w:val="20"/>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cs="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semiHidden/>
    <w:rsid w:val="00196ECD"/>
    <w:pPr>
      <w:spacing w:line="240" w:lineRule="auto"/>
    </w:pPr>
    <w:rPr>
      <w:rFonts w:eastAsia="Times New Roman" w:cs="Times New Roman"/>
      <w:sz w:val="24"/>
      <w:szCs w:val="24"/>
    </w:rPr>
  </w:style>
  <w:style w:type="character" w:customStyle="1" w:styleId="DateChar">
    <w:name w:val="Date Char"/>
    <w:basedOn w:val="DefaultParagraphFont"/>
    <w:link w:val="Date"/>
    <w:semiHidden/>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cs="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cs="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cs="Times New Roman"/>
      <w:sz w:val="24"/>
      <w:szCs w:val="24"/>
    </w:rPr>
  </w:style>
  <w:style w:type="paragraph" w:styleId="List2">
    <w:name w:val="List 2"/>
    <w:basedOn w:val="Normal"/>
    <w:semiHidden/>
    <w:rsid w:val="00196ECD"/>
    <w:pPr>
      <w:spacing w:line="240" w:lineRule="auto"/>
      <w:ind w:left="720" w:hanging="360"/>
    </w:pPr>
    <w:rPr>
      <w:rFonts w:eastAsia="Times New Roman" w:cs="Times New Roman"/>
      <w:sz w:val="24"/>
      <w:szCs w:val="24"/>
    </w:rPr>
  </w:style>
  <w:style w:type="paragraph" w:styleId="List3">
    <w:name w:val="List 3"/>
    <w:basedOn w:val="Normal"/>
    <w:semiHidden/>
    <w:rsid w:val="00196ECD"/>
    <w:pPr>
      <w:spacing w:line="240" w:lineRule="auto"/>
      <w:ind w:left="1080" w:hanging="360"/>
    </w:pPr>
    <w:rPr>
      <w:rFonts w:eastAsia="Times New Roman" w:cs="Times New Roman"/>
      <w:sz w:val="24"/>
      <w:szCs w:val="24"/>
    </w:rPr>
  </w:style>
  <w:style w:type="paragraph" w:styleId="List4">
    <w:name w:val="List 4"/>
    <w:basedOn w:val="Normal"/>
    <w:semiHidden/>
    <w:rsid w:val="00196ECD"/>
    <w:pPr>
      <w:spacing w:line="240" w:lineRule="auto"/>
      <w:ind w:left="1440" w:hanging="360"/>
    </w:pPr>
    <w:rPr>
      <w:rFonts w:eastAsia="Times New Roman" w:cs="Times New Roman"/>
      <w:sz w:val="24"/>
      <w:szCs w:val="24"/>
    </w:rPr>
  </w:style>
  <w:style w:type="paragraph" w:styleId="List5">
    <w:name w:val="List 5"/>
    <w:basedOn w:val="Normal"/>
    <w:semiHidden/>
    <w:rsid w:val="00196ECD"/>
    <w:pPr>
      <w:spacing w:line="240" w:lineRule="auto"/>
      <w:ind w:left="1800" w:hanging="360"/>
    </w:pPr>
    <w:rPr>
      <w:rFonts w:eastAsia="Times New Roman" w:cs="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cs="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cs="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cs="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cs="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cs="Times New Roman"/>
      <w:sz w:val="24"/>
      <w:szCs w:val="24"/>
    </w:rPr>
  </w:style>
  <w:style w:type="paragraph" w:styleId="ListContinue2">
    <w:name w:val="List Continue 2"/>
    <w:basedOn w:val="Normal"/>
    <w:semiHidden/>
    <w:rsid w:val="00196ECD"/>
    <w:pPr>
      <w:spacing w:after="120" w:line="240" w:lineRule="auto"/>
      <w:ind w:left="720"/>
    </w:pPr>
    <w:rPr>
      <w:rFonts w:eastAsia="Times New Roman" w:cs="Times New Roman"/>
      <w:sz w:val="24"/>
      <w:szCs w:val="24"/>
    </w:rPr>
  </w:style>
  <w:style w:type="paragraph" w:styleId="ListContinue3">
    <w:name w:val="List Continue 3"/>
    <w:basedOn w:val="Normal"/>
    <w:semiHidden/>
    <w:rsid w:val="00196ECD"/>
    <w:pPr>
      <w:spacing w:after="120" w:line="240" w:lineRule="auto"/>
      <w:ind w:left="1080"/>
    </w:pPr>
    <w:rPr>
      <w:rFonts w:eastAsia="Times New Roman" w:cs="Times New Roman"/>
      <w:sz w:val="24"/>
      <w:szCs w:val="24"/>
    </w:rPr>
  </w:style>
  <w:style w:type="paragraph" w:styleId="ListContinue4">
    <w:name w:val="List Continue 4"/>
    <w:basedOn w:val="Normal"/>
    <w:semiHidden/>
    <w:rsid w:val="00196ECD"/>
    <w:pPr>
      <w:spacing w:after="120" w:line="240" w:lineRule="auto"/>
      <w:ind w:left="1440"/>
    </w:pPr>
    <w:rPr>
      <w:rFonts w:eastAsia="Times New Roman" w:cs="Times New Roman"/>
      <w:sz w:val="24"/>
      <w:szCs w:val="24"/>
    </w:rPr>
  </w:style>
  <w:style w:type="paragraph" w:styleId="ListContinue5">
    <w:name w:val="List Continue 5"/>
    <w:basedOn w:val="Normal"/>
    <w:semiHidden/>
    <w:rsid w:val="00196ECD"/>
    <w:pPr>
      <w:spacing w:after="120" w:line="240" w:lineRule="auto"/>
      <w:ind w:left="1800"/>
    </w:pPr>
    <w:rPr>
      <w:rFonts w:eastAsia="Times New Roman" w:cs="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cs="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cs="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cs="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cs="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cs="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cs="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cs="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cs="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cs="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cs="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cs="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cs="Times New Roman"/>
      <w:sz w:val="16"/>
      <w:szCs w:val="20"/>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cs="Times New Roman"/>
      <w:sz w:val="24"/>
      <w:szCs w:val="20"/>
    </w:rPr>
  </w:style>
  <w:style w:type="paragraph" w:customStyle="1" w:styleId="numbered">
    <w:name w:val="numbered"/>
    <w:basedOn w:val="Normal"/>
    <w:rsid w:val="00196ECD"/>
    <w:pPr>
      <w:tabs>
        <w:tab w:val="num" w:pos="360"/>
      </w:tabs>
      <w:spacing w:after="60" w:line="240" w:lineRule="auto"/>
      <w:ind w:left="360" w:hanging="360"/>
    </w:pPr>
    <w:rPr>
      <w:rFonts w:eastAsia="Times New Roman" w:cs="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cs="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spacing w:after="200" w:line="276" w:lineRule="auto"/>
    </w:pPr>
    <w:rPr>
      <w:rFonts w:ascii="Cambria" w:eastAsia="Times New Roman" w:hAnsi="Cambria" w:cs="Times New Roman"/>
      <w:lang w:bidi="en-US"/>
    </w:rPr>
  </w:style>
  <w:style w:type="paragraph" w:customStyle="1" w:styleId="Bullet-Solid">
    <w:name w:val="Bullet-Solid"/>
    <w:basedOn w:val="ListParagraph"/>
    <w:link w:val="Bullet-SolidChar"/>
    <w:qFormat/>
    <w:rsid w:val="00972AEF"/>
    <w:pPr>
      <w:numPr>
        <w:ilvl w:val="0"/>
        <w:numId w:val="21"/>
      </w:numPr>
      <w:spacing w:before="0" w:after="120" w:line="260" w:lineRule="atLeast"/>
      <w:ind w:left="720"/>
      <w:contextualSpacing w:val="0"/>
    </w:pPr>
    <w:rPr>
      <w:color w:val="000000"/>
    </w:rPr>
  </w:style>
  <w:style w:type="paragraph" w:customStyle="1" w:styleId="Bullet-Open">
    <w:name w:val="Bullet-Open"/>
    <w:basedOn w:val="ListParagraph"/>
    <w:link w:val="Bullet-OpenChar"/>
    <w:qFormat/>
    <w:rsid w:val="00E06B54"/>
    <w:pPr>
      <w:numPr>
        <w:ilvl w:val="0"/>
        <w:numId w:val="22"/>
      </w:numPr>
      <w:spacing w:after="80"/>
      <w:contextualSpacing w:val="0"/>
    </w:pPr>
    <w:rPr>
      <w:color w:val="000000"/>
    </w:rPr>
  </w:style>
  <w:style w:type="character" w:customStyle="1" w:styleId="ListParagraphChar">
    <w:name w:val="List Paragraph Char"/>
    <w:basedOn w:val="DefaultParagraphFont"/>
    <w:link w:val="ListParagraph"/>
    <w:uiPriority w:val="34"/>
    <w:rsid w:val="00125FA7"/>
    <w:rPr>
      <w:rFonts w:ascii="Times New Roman" w:hAnsi="Times New Roman"/>
    </w:rPr>
  </w:style>
  <w:style w:type="character" w:customStyle="1" w:styleId="Bullet-SolidChar">
    <w:name w:val="Bullet-Solid Char"/>
    <w:basedOn w:val="ListParagraphChar"/>
    <w:link w:val="Bullet-Solid"/>
    <w:rsid w:val="00972AEF"/>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cs="Times New Roman"/>
      <w:szCs w:val="20"/>
    </w:rPr>
  </w:style>
  <w:style w:type="character" w:customStyle="1" w:styleId="Bullet-OpenChar">
    <w:name w:val="Bullet-Open Char"/>
    <w:basedOn w:val="ListParagraphChar"/>
    <w:link w:val="Bullet-Open"/>
    <w:rsid w:val="00E06B54"/>
    <w:rPr>
      <w:color w:val="00000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
    <w:name w:val="EmailStyle2481"/>
    <w:aliases w:val="EmailStyle2481"/>
    <w:basedOn w:val="DefaultParagraphFont"/>
    <w:semiHidden/>
    <w:personal/>
    <w:rsid w:val="00B04808"/>
    <w:rPr>
      <w:rFonts w:ascii="Arial" w:hAnsi="Arial" w:cs="Arial"/>
      <w:color w:val="993366"/>
      <w:sz w:val="20"/>
    </w:rPr>
  </w:style>
  <w:style w:type="character" w:customStyle="1" w:styleId="EmailStyle249">
    <w:name w:val="EmailStyle2491"/>
    <w:aliases w:val="EmailStyle2491"/>
    <w:basedOn w:val="DefaultParagraphFont"/>
    <w:semiHidden/>
    <w:personal/>
    <w:rsid w:val="00B04808"/>
    <w:rPr>
      <w:rFonts w:ascii="Arial" w:hAnsi="Arial" w:cs="Arial"/>
      <w:color w:val="000080"/>
      <w:sz w:val="20"/>
    </w:rPr>
  </w:style>
  <w:style w:type="character" w:customStyle="1" w:styleId="EmailStyle250">
    <w:name w:val="EmailStyle2501"/>
    <w:aliases w:val="EmailStyle2501"/>
    <w:basedOn w:val="DefaultParagraphFont"/>
    <w:semiHidden/>
    <w:personal/>
    <w:personalReply/>
    <w:rsid w:val="00B04808"/>
    <w:rPr>
      <w:rFonts w:ascii="Arial" w:hAnsi="Arial" w:cs="Arial"/>
      <w:color w:val="993366"/>
      <w:sz w:val="20"/>
    </w:rPr>
  </w:style>
  <w:style w:type="character" w:customStyle="1" w:styleId="EmailStyle251">
    <w:name w:val="EmailStyle2511"/>
    <w:aliases w:val="EmailStyle2511"/>
    <w:basedOn w:val="DefaultParagraphFont"/>
    <w:semiHidden/>
    <w:personal/>
    <w:personalReply/>
    <w:rsid w:val="00B04808"/>
    <w:rPr>
      <w:rFonts w:ascii="Arial" w:hAnsi="Arial" w:cs="Arial"/>
      <w:color w:val="000080"/>
      <w:sz w:val="20"/>
    </w:rPr>
  </w:style>
  <w:style w:type="character" w:customStyle="1" w:styleId="EmailStyle252">
    <w:name w:val="EmailStyle2521"/>
    <w:aliases w:val="EmailStyle2521"/>
    <w:basedOn w:val="DefaultParagraphFont"/>
    <w:semiHidden/>
    <w:personal/>
    <w:personalReply/>
    <w:rsid w:val="00B04808"/>
    <w:rPr>
      <w:rFonts w:ascii="Arial" w:hAnsi="Arial" w:cs="Arial"/>
      <w:color w:val="993366"/>
      <w:sz w:val="20"/>
    </w:rPr>
  </w:style>
  <w:style w:type="character" w:customStyle="1" w:styleId="EmailStyle253">
    <w:name w:val="EmailStyle2531"/>
    <w:aliases w:val="EmailStyle2531"/>
    <w:basedOn w:val="DefaultParagraphFont"/>
    <w:semiHidden/>
    <w:personal/>
    <w:personalReply/>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ParaText">
    <w:name w:val="ParaText"/>
    <w:basedOn w:val="Normal"/>
    <w:rsid w:val="00B04808"/>
    <w:pPr>
      <w:spacing w:line="312" w:lineRule="auto"/>
    </w:pPr>
    <w:rPr>
      <w:rFonts w:ascii="Arial" w:eastAsia="Times New Roman" w:hAnsi="Arial" w:cs="Times New Roman"/>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shd w:val="clear" w:color="auto" w:fill="F5943C" w:themeFill="accent1"/>
      </w:tcPr>
    </w:tblStylePr>
    <w:tblStylePr w:type="lastRow">
      <w:pPr>
        <w:spacing w:before="0" w:after="0" w:line="240" w:lineRule="auto"/>
      </w:pPr>
      <w:rPr>
        <w:b/>
        <w:bCs/>
      </w:rPr>
      <w:tblPr/>
      <w:tcPr>
        <w:tcBorders>
          <w:top w:val="double" w:sz="6"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E4CE" w:themeFill="accent1" w:themeFillTint="3F"/>
      </w:tcPr>
    </w:tblStylePr>
    <w:tblStylePr w:type="band1Horz">
      <w:tblPr/>
      <w:tcPr>
        <w:tcBorders>
          <w:insideH w:val="nil"/>
          <w:insideV w:val="nil"/>
        </w:tcBorders>
        <w:shd w:val="clear" w:color="auto" w:fill="FCE4CE" w:themeFill="accent1" w:themeFillTint="3F"/>
      </w:tcPr>
    </w:tblStylePr>
    <w:tblStylePr w:type="band2Horz">
      <w:tblPr/>
      <w:tcPr>
        <w:tcBorders>
          <w:insideH w:val="nil"/>
          <w:insideV w:val="nil"/>
        </w:tcBorders>
      </w:tcPr>
    </w:tblStylePr>
  </w:style>
  <w:style w:type="character" w:customStyle="1" w:styleId="EmailStyle258">
    <w:name w:val="EmailStyle2581"/>
    <w:aliases w:val="EmailStyle2581"/>
    <w:basedOn w:val="DefaultParagraphFont"/>
    <w:semiHidden/>
    <w:personal/>
    <w:rsid w:val="00B04808"/>
    <w:rPr>
      <w:rFonts w:ascii="Arial" w:hAnsi="Arial" w:cs="Arial"/>
      <w:color w:val="993366"/>
      <w:sz w:val="20"/>
    </w:rPr>
  </w:style>
  <w:style w:type="character" w:customStyle="1" w:styleId="EmailStyle259">
    <w:name w:val="EmailStyle2591"/>
    <w:aliases w:val="EmailStyle2591"/>
    <w:basedOn w:val="DefaultParagraphFont"/>
    <w:semiHidden/>
    <w:personal/>
    <w:rsid w:val="00B04808"/>
    <w:rPr>
      <w:rFonts w:ascii="Arial" w:hAnsi="Arial" w:cs="Arial"/>
      <w:color w:val="000080"/>
      <w:sz w:val="20"/>
    </w:rPr>
  </w:style>
  <w:style w:type="character" w:customStyle="1" w:styleId="EmailStyle260">
    <w:name w:val="EmailStyle2601"/>
    <w:aliases w:val="EmailStyle2601"/>
    <w:basedOn w:val="DefaultParagraphFont"/>
    <w:semiHidden/>
    <w:personal/>
    <w:personalReply/>
    <w:rsid w:val="00B04808"/>
    <w:rPr>
      <w:rFonts w:ascii="Arial" w:hAnsi="Arial" w:cs="Arial"/>
      <w:color w:val="993366"/>
      <w:sz w:val="20"/>
    </w:rPr>
  </w:style>
  <w:style w:type="character" w:customStyle="1" w:styleId="EmailStyle261">
    <w:name w:val="EmailStyle2611"/>
    <w:aliases w:val="EmailStyle2611"/>
    <w:basedOn w:val="DefaultParagraphFont"/>
    <w:semiHidden/>
    <w:personal/>
    <w:personalReply/>
    <w:rsid w:val="00B04808"/>
    <w:rPr>
      <w:rFonts w:ascii="Arial" w:hAnsi="Arial" w:cs="Arial"/>
      <w:color w:val="000080"/>
      <w:sz w:val="20"/>
    </w:rPr>
  </w:style>
  <w:style w:type="character" w:customStyle="1" w:styleId="EmailStyle262">
    <w:name w:val="EmailStyle2621"/>
    <w:aliases w:val="EmailStyle2621"/>
    <w:basedOn w:val="DefaultParagraphFont"/>
    <w:semiHidden/>
    <w:personal/>
    <w:personalReply/>
    <w:rsid w:val="00B04808"/>
    <w:rPr>
      <w:rFonts w:ascii="Arial" w:hAnsi="Arial" w:cs="Arial"/>
      <w:color w:val="993366"/>
      <w:sz w:val="20"/>
    </w:rPr>
  </w:style>
  <w:style w:type="character" w:customStyle="1" w:styleId="EmailStyle263">
    <w:name w:val="EmailStyle2631"/>
    <w:aliases w:val="EmailStyle2631"/>
    <w:basedOn w:val="DefaultParagraphFont"/>
    <w:semiHidden/>
    <w:personal/>
    <w:personalReply/>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
    <w:name w:val="EmailStyle2651"/>
    <w:aliases w:val="EmailStyle2651"/>
    <w:basedOn w:val="DefaultParagraphFont"/>
    <w:semiHidden/>
    <w:personal/>
    <w:rsid w:val="00107F1F"/>
    <w:rPr>
      <w:rFonts w:ascii="Arial" w:hAnsi="Arial" w:cs="Arial"/>
      <w:color w:val="993366"/>
      <w:sz w:val="20"/>
    </w:rPr>
  </w:style>
  <w:style w:type="character" w:customStyle="1" w:styleId="EmailStyle266">
    <w:name w:val="EmailStyle2661"/>
    <w:aliases w:val="EmailStyle2661"/>
    <w:basedOn w:val="DefaultParagraphFont"/>
    <w:semiHidden/>
    <w:personal/>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Ind w:w="0" w:type="dxa"/>
      <w:tblBorders>
        <w:top w:val="single" w:sz="8" w:space="0" w:color="F7AE6C" w:themeColor="accent1" w:themeTint="BF"/>
        <w:left w:val="single" w:sz="8" w:space="0" w:color="F7AE6C" w:themeColor="accent1" w:themeTint="BF"/>
        <w:bottom w:val="single" w:sz="8" w:space="0" w:color="F7AE6C" w:themeColor="accent1" w:themeTint="BF"/>
        <w:right w:val="single" w:sz="8" w:space="0" w:color="F7AE6C" w:themeColor="accent1" w:themeTint="BF"/>
        <w:insideH w:val="single" w:sz="8" w:space="0" w:color="F7AE6C" w:themeColor="accent1" w:themeTint="BF"/>
        <w:insideV w:val="single" w:sz="8" w:space="0" w:color="F7AE6C" w:themeColor="accent1" w:themeTint="BF"/>
      </w:tblBorders>
      <w:tblCellMar>
        <w:top w:w="0" w:type="dxa"/>
        <w:left w:w="108" w:type="dxa"/>
        <w:bottom w:w="0" w:type="dxa"/>
        <w:right w:w="108" w:type="dxa"/>
      </w:tblCellMar>
    </w:tblPr>
    <w:tcPr>
      <w:shd w:val="clear" w:color="auto" w:fill="FCE4CE" w:themeFill="accent1" w:themeFillTint="3F"/>
    </w:tcPr>
    <w:tblStylePr w:type="firstRow">
      <w:rPr>
        <w:b/>
        <w:bCs/>
      </w:rPr>
    </w:tblStylePr>
    <w:tblStylePr w:type="lastRow">
      <w:rPr>
        <w:b/>
        <w:bCs/>
      </w:rPr>
      <w:tblPr/>
      <w:tcPr>
        <w:tcBorders>
          <w:top w:val="single" w:sz="18" w:space="0" w:color="F7AE6C" w:themeColor="accent1" w:themeTint="BF"/>
        </w:tcBorders>
      </w:tcPr>
    </w:tblStylePr>
    <w:tblStylePr w:type="firstCol">
      <w:rPr>
        <w:b/>
        <w:bCs/>
      </w:rPr>
    </w:tblStylePr>
    <w:tblStylePr w:type="lastCol">
      <w:rPr>
        <w:b/>
        <w:bCs/>
      </w:rPr>
    </w:tblStylePr>
    <w:tblStylePr w:type="band1Vert">
      <w:tblPr/>
      <w:tcPr>
        <w:shd w:val="clear" w:color="auto" w:fill="FAC99D" w:themeFill="accent1" w:themeFillTint="7F"/>
      </w:tcPr>
    </w:tblStylePr>
    <w:tblStylePr w:type="band1Horz">
      <w:tblPr/>
      <w:tcPr>
        <w:shd w:val="clear" w:color="auto" w:fill="FAC99D"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cs="Times New Roman"/>
      <w:i/>
      <w:sz w:val="20"/>
      <w:szCs w:val="20"/>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D96C0B" w:themeColor="accent1" w:themeShade="BF"/>
    </w:rPr>
    <w:tblPr>
      <w:tblStyleRowBandSize w:val="1"/>
      <w:tblStyleColBandSize w:val="1"/>
      <w:tblInd w:w="0" w:type="dxa"/>
      <w:tblBorders>
        <w:top w:val="single" w:sz="8" w:space="0" w:color="F5943C" w:themeColor="accent1"/>
        <w:bottom w:val="single" w:sz="8" w:space="0" w:color="F5943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lastRow">
      <w:pPr>
        <w:spacing w:before="0" w:after="0" w:line="240" w:lineRule="auto"/>
      </w:pPr>
      <w:rPr>
        <w:b/>
        <w:bCs/>
      </w:rPr>
      <w:tblPr/>
      <w:tcPr>
        <w:tcBorders>
          <w:top w:val="single" w:sz="8" w:space="0" w:color="F5943C" w:themeColor="accent1"/>
          <w:left w:val="nil"/>
          <w:bottom w:val="single" w:sz="8" w:space="0" w:color="F594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4CE" w:themeFill="accent1" w:themeFillTint="3F"/>
      </w:tcPr>
    </w:tblStylePr>
    <w:tblStylePr w:type="band1Horz">
      <w:tblPr/>
      <w:tcPr>
        <w:tcBorders>
          <w:left w:val="nil"/>
          <w:right w:val="nil"/>
          <w:insideH w:val="nil"/>
          <w:insideV w:val="nil"/>
        </w:tcBorders>
        <w:shd w:val="clear" w:color="auto" w:fill="FCE4CE" w:themeFill="accent1" w:themeFillTint="3F"/>
      </w:tcPr>
    </w:tblStylePr>
  </w:style>
  <w:style w:type="table" w:customStyle="1" w:styleId="RSPStyle">
    <w:name w:val="RSP_Style"/>
    <w:basedOn w:val="TableNormal"/>
    <w:uiPriority w:val="99"/>
    <w:qFormat/>
    <w:rsid w:val="005354AB"/>
    <w:pPr>
      <w:spacing w:after="0" w:line="240" w:lineRule="auto"/>
    </w:pPr>
    <w:tblPr>
      <w:tblInd w:w="0" w:type="dxa"/>
      <w:tblCellMar>
        <w:top w:w="0" w:type="dxa"/>
        <w:left w:w="108" w:type="dxa"/>
        <w:bottom w:w="0" w:type="dxa"/>
        <w:right w:w="108" w:type="dxa"/>
      </w:tblCellMar>
    </w:tblPr>
  </w:style>
  <w:style w:type="table" w:customStyle="1" w:styleId="MediumShading1-Accent12">
    <w:name w:val="Medium Shading 1 - Accent 12"/>
    <w:basedOn w:val="TableNormal"/>
    <w:uiPriority w:val="63"/>
    <w:rsid w:val="00D656CD"/>
    <w:pPr>
      <w:spacing w:after="0" w:line="240" w:lineRule="auto"/>
    </w:pPr>
    <w:rPr>
      <w:rFonts w:ascii="Arial" w:hAnsi="Arial"/>
      <w:sz w:val="20"/>
    </w:rPr>
    <w:tblPr>
      <w:tblStyleRowBandSize w:val="1"/>
      <w:tblStyleColBandSize w:val="1"/>
      <w:jc w:val="center"/>
      <w:tblInd w:w="0" w:type="dxa"/>
      <w:tblBorders>
        <w:top w:val="single" w:sz="12" w:space="0" w:color="auto"/>
        <w:left w:val="single" w:sz="12" w:space="0" w:color="auto"/>
        <w:bottom w:val="single" w:sz="12" w:space="0" w:color="auto"/>
        <w:right w:val="single" w:sz="12" w:space="0" w:color="auto"/>
        <w:insideH w:val="single" w:sz="4" w:space="0" w:color="0082CF"/>
        <w:insideV w:val="single" w:sz="4" w:space="0" w:color="0082CF"/>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Arial" w:hAnsi="Arial"/>
        <w:b/>
        <w:bCs/>
        <w:color w:val="FFFFFF" w:themeColor="background1"/>
        <w:sz w:val="20"/>
      </w:rPr>
      <w:tblPr/>
      <w:trPr>
        <w:tblHeader/>
      </w:trPr>
      <w:tcPr>
        <w:shd w:val="clear" w:color="auto" w:fill="11479D"/>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jc w:val="left"/>
        <w:outlineLvl w:val="9"/>
      </w:pPr>
      <w:rPr>
        <w:rFonts w:ascii="Arial" w:hAnsi="Arial"/>
        <w:b/>
        <w:bCs/>
        <w:sz w:val="20"/>
      </w:rPr>
    </w:tblStylePr>
    <w:tblStylePr w:type="lastCol">
      <w:rPr>
        <w:rFonts w:ascii="Arial" w:hAnsi="Arial"/>
        <w:b w:val="0"/>
        <w:bCs/>
        <w:sz w:val="18"/>
      </w:rPr>
    </w:tblStylePr>
    <w:tblStylePr w:type="band1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2Vert">
      <w:pPr>
        <w:wordWrap/>
        <w:spacing w:beforeLines="0" w:beforeAutospacing="0" w:afterLines="0" w:afterAutospacing="0" w:line="240" w:lineRule="auto"/>
        <w:ind w:leftChars="0" w:left="0" w:rightChars="0" w:right="0" w:firstLineChars="0" w:firstLine="0"/>
        <w:outlineLvl w:val="9"/>
      </w:pPr>
      <w:rPr>
        <w:rFonts w:ascii="Arial" w:hAnsi="Arial"/>
        <w:sz w:val="20"/>
      </w:rPr>
    </w:tblStylePr>
    <w:tblStylePr w:type="band1Horz">
      <w:pPr>
        <w:jc w:val="center"/>
      </w:pPr>
      <w:rPr>
        <w:rFonts w:ascii="Arial" w:hAnsi="Arial"/>
        <w:sz w:val="20"/>
      </w:rPr>
    </w:tblStylePr>
    <w:tblStylePr w:type="band2Horz">
      <w:pPr>
        <w:jc w:val="center"/>
      </w:pPr>
      <w:rPr>
        <w:rFonts w:ascii="Arial" w:hAnsi="Arial"/>
        <w:sz w:val="20"/>
      </w:rPr>
      <w:tblPr/>
      <w:tcPr>
        <w:shd w:val="clear" w:color="auto" w:fill="BED4F8"/>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cs="Times New Roman"/>
      <w:sz w:val="24"/>
      <w:szCs w:val="24"/>
    </w:rPr>
  </w:style>
  <w:style w:type="character" w:customStyle="1" w:styleId="EmailStyle2751">
    <w:name w:val="EmailStyle275"/>
    <w:aliases w:val="EmailStyle275"/>
    <w:basedOn w:val="DefaultParagraphFont"/>
    <w:semiHidden/>
    <w:personal/>
    <w:rsid w:val="0034080E"/>
    <w:rPr>
      <w:rFonts w:ascii="Arial" w:hAnsi="Arial" w:cs="Arial"/>
      <w:color w:val="993366"/>
      <w:sz w:val="20"/>
    </w:rPr>
  </w:style>
  <w:style w:type="character" w:customStyle="1" w:styleId="EmailStyle2761">
    <w:name w:val="EmailStyle276"/>
    <w:aliases w:val="EmailStyle276"/>
    <w:basedOn w:val="DefaultParagraphFont"/>
    <w:semiHidden/>
    <w:personal/>
    <w:rsid w:val="0034080E"/>
    <w:rPr>
      <w:rFonts w:ascii="Arial" w:hAnsi="Arial" w:cs="Arial"/>
      <w:color w:val="000080"/>
      <w:sz w:val="20"/>
    </w:rPr>
  </w:style>
  <w:style w:type="character" w:customStyle="1" w:styleId="EmailStyle2771">
    <w:name w:val="EmailStyle277"/>
    <w:aliases w:val="EmailStyle277"/>
    <w:basedOn w:val="DefaultParagraphFont"/>
    <w:semiHidden/>
    <w:personal/>
    <w:personalReply/>
    <w:rsid w:val="0034080E"/>
    <w:rPr>
      <w:rFonts w:ascii="Arial" w:hAnsi="Arial" w:cs="Arial"/>
      <w:color w:val="993366"/>
      <w:sz w:val="20"/>
    </w:rPr>
  </w:style>
  <w:style w:type="character" w:customStyle="1" w:styleId="EmailStyle2781">
    <w:name w:val="EmailStyle278"/>
    <w:aliases w:val="EmailStyle278"/>
    <w:basedOn w:val="DefaultParagraphFont"/>
    <w:semiHidden/>
    <w:personal/>
    <w:personalReply/>
    <w:rsid w:val="0034080E"/>
    <w:rPr>
      <w:rFonts w:ascii="Arial" w:hAnsi="Arial" w:cs="Arial"/>
      <w:color w:val="000080"/>
      <w:sz w:val="20"/>
    </w:rPr>
  </w:style>
  <w:style w:type="character" w:customStyle="1" w:styleId="EmailStyle2791">
    <w:name w:val="EmailStyle279"/>
    <w:aliases w:val="EmailStyle279"/>
    <w:basedOn w:val="DefaultParagraphFont"/>
    <w:semiHidden/>
    <w:personal/>
    <w:personalReply/>
    <w:rsid w:val="0034080E"/>
    <w:rPr>
      <w:rFonts w:ascii="Arial" w:hAnsi="Arial" w:cs="Arial"/>
      <w:color w:val="993366"/>
      <w:sz w:val="20"/>
    </w:rPr>
  </w:style>
  <w:style w:type="character" w:customStyle="1" w:styleId="EmailStyle2801">
    <w:name w:val="EmailStyle280"/>
    <w:aliases w:val="EmailStyle280"/>
    <w:basedOn w:val="DefaultParagraphFont"/>
    <w:semiHidden/>
    <w:personal/>
    <w:personalReply/>
    <w:rsid w:val="0034080E"/>
    <w:rPr>
      <w:rFonts w:ascii="Arial" w:hAnsi="Arial" w:cs="Arial"/>
      <w:color w:val="000080"/>
      <w:sz w:val="20"/>
    </w:rPr>
  </w:style>
  <w:style w:type="character" w:customStyle="1" w:styleId="EmailStyle2811">
    <w:name w:val="EmailStyle281"/>
    <w:aliases w:val="EmailStyle281"/>
    <w:basedOn w:val="DefaultParagraphFont"/>
    <w:semiHidden/>
    <w:personal/>
    <w:rsid w:val="0034080E"/>
    <w:rPr>
      <w:rFonts w:ascii="Arial" w:hAnsi="Arial" w:cs="Arial"/>
      <w:color w:val="993366"/>
      <w:sz w:val="20"/>
    </w:rPr>
  </w:style>
  <w:style w:type="character" w:customStyle="1" w:styleId="EmailStyle2821">
    <w:name w:val="EmailStyle282"/>
    <w:aliases w:val="EmailStyle282"/>
    <w:basedOn w:val="DefaultParagraphFont"/>
    <w:semiHidden/>
    <w:personal/>
    <w:rsid w:val="0034080E"/>
    <w:rPr>
      <w:rFonts w:ascii="Arial" w:hAnsi="Arial" w:cs="Arial"/>
      <w:color w:val="000080"/>
      <w:sz w:val="20"/>
    </w:rPr>
  </w:style>
  <w:style w:type="character" w:customStyle="1" w:styleId="EmailStyle2831">
    <w:name w:val="EmailStyle283"/>
    <w:aliases w:val="EmailStyle283"/>
    <w:basedOn w:val="DefaultParagraphFont"/>
    <w:semiHidden/>
    <w:personal/>
    <w:personalReply/>
    <w:rsid w:val="0034080E"/>
    <w:rPr>
      <w:rFonts w:ascii="Arial" w:hAnsi="Arial" w:cs="Arial"/>
      <w:color w:val="993366"/>
      <w:sz w:val="20"/>
    </w:rPr>
  </w:style>
  <w:style w:type="character" w:customStyle="1" w:styleId="EmailStyle2841">
    <w:name w:val="EmailStyle284"/>
    <w:aliases w:val="EmailStyle284"/>
    <w:basedOn w:val="DefaultParagraphFont"/>
    <w:semiHidden/>
    <w:personal/>
    <w:personalReply/>
    <w:rsid w:val="0034080E"/>
    <w:rPr>
      <w:rFonts w:ascii="Arial" w:hAnsi="Arial" w:cs="Arial"/>
      <w:color w:val="000080"/>
      <w:sz w:val="20"/>
    </w:rPr>
  </w:style>
  <w:style w:type="character" w:customStyle="1" w:styleId="EmailStyle2851">
    <w:name w:val="EmailStyle285"/>
    <w:aliases w:val="EmailStyle285"/>
    <w:basedOn w:val="DefaultParagraphFont"/>
    <w:semiHidden/>
    <w:personal/>
    <w:personalReply/>
    <w:rsid w:val="0034080E"/>
    <w:rPr>
      <w:rFonts w:ascii="Arial" w:hAnsi="Arial" w:cs="Arial"/>
      <w:color w:val="993366"/>
      <w:sz w:val="20"/>
    </w:rPr>
  </w:style>
  <w:style w:type="character" w:customStyle="1" w:styleId="EmailStyle2861">
    <w:name w:val="EmailStyle286"/>
    <w:aliases w:val="EmailStyle286"/>
    <w:basedOn w:val="DefaultParagraphFont"/>
    <w:semiHidden/>
    <w:personal/>
    <w:personalReply/>
    <w:rsid w:val="0034080E"/>
    <w:rPr>
      <w:rFonts w:ascii="Arial" w:hAnsi="Arial" w:cs="Arial"/>
      <w:color w:val="000080"/>
      <w:sz w:val="20"/>
    </w:rPr>
  </w:style>
  <w:style w:type="character" w:customStyle="1" w:styleId="EmailStyle2871">
    <w:name w:val="EmailStyle287"/>
    <w:aliases w:val="EmailStyle287"/>
    <w:basedOn w:val="DefaultParagraphFont"/>
    <w:semiHidden/>
    <w:personal/>
    <w:rsid w:val="0034080E"/>
    <w:rPr>
      <w:rFonts w:ascii="Arial" w:hAnsi="Arial" w:cs="Arial"/>
      <w:color w:val="993366"/>
      <w:sz w:val="20"/>
    </w:rPr>
  </w:style>
  <w:style w:type="character" w:customStyle="1" w:styleId="EmailStyle2881">
    <w:name w:val="EmailStyle288"/>
    <w:aliases w:val="EmailStyle288"/>
    <w:basedOn w:val="DefaultParagraphFont"/>
    <w:semiHidden/>
    <w:personal/>
    <w:rsid w:val="0034080E"/>
    <w:rPr>
      <w:rFonts w:ascii="Arial" w:hAnsi="Arial" w:cs="Arial"/>
      <w:color w:val="000080"/>
      <w:sz w:val="20"/>
    </w:rPr>
  </w:style>
  <w:style w:type="character" w:customStyle="1" w:styleId="EmailStyle2891">
    <w:name w:val="EmailStyle289"/>
    <w:aliases w:val="EmailStyle289"/>
    <w:basedOn w:val="DefaultParagraphFont"/>
    <w:semiHidden/>
    <w:personal/>
    <w:personalReply/>
    <w:rsid w:val="0034080E"/>
    <w:rPr>
      <w:rFonts w:ascii="Arial" w:hAnsi="Arial" w:cs="Arial"/>
      <w:color w:val="993366"/>
      <w:sz w:val="20"/>
    </w:rPr>
  </w:style>
  <w:style w:type="character" w:customStyle="1" w:styleId="EmailStyle2901">
    <w:name w:val="EmailStyle290"/>
    <w:aliases w:val="EmailStyle290"/>
    <w:basedOn w:val="DefaultParagraphFont"/>
    <w:semiHidden/>
    <w:personal/>
    <w:personalReply/>
    <w:rsid w:val="0034080E"/>
    <w:rPr>
      <w:rFonts w:ascii="Arial" w:hAnsi="Arial" w:cs="Arial"/>
      <w:color w:val="000080"/>
      <w:sz w:val="20"/>
    </w:rPr>
  </w:style>
  <w:style w:type="character" w:customStyle="1" w:styleId="EmailStyle2911">
    <w:name w:val="EmailStyle291"/>
    <w:aliases w:val="EmailStyle291"/>
    <w:basedOn w:val="DefaultParagraphFont"/>
    <w:semiHidden/>
    <w:personal/>
    <w:personalReply/>
    <w:rsid w:val="0034080E"/>
    <w:rPr>
      <w:rFonts w:ascii="Arial" w:hAnsi="Arial" w:cs="Arial"/>
      <w:color w:val="993366"/>
      <w:sz w:val="20"/>
    </w:rPr>
  </w:style>
  <w:style w:type="character" w:customStyle="1" w:styleId="EmailStyle2921">
    <w:name w:val="EmailStyle292"/>
    <w:aliases w:val="EmailStyle292"/>
    <w:basedOn w:val="DefaultParagraphFont"/>
    <w:semiHidden/>
    <w:personal/>
    <w:personalReply/>
    <w:rsid w:val="0034080E"/>
    <w:rPr>
      <w:rFonts w:ascii="Arial" w:hAnsi="Arial" w:cs="Arial"/>
      <w:color w:val="000080"/>
      <w:sz w:val="20"/>
    </w:rPr>
  </w:style>
  <w:style w:type="character" w:customStyle="1" w:styleId="EmailStyle2931">
    <w:name w:val="EmailStyle293"/>
    <w:aliases w:val="EmailStyle293"/>
    <w:basedOn w:val="DefaultParagraphFont"/>
    <w:semiHidden/>
    <w:personal/>
    <w:rsid w:val="0034080E"/>
    <w:rPr>
      <w:rFonts w:ascii="Arial" w:hAnsi="Arial" w:cs="Arial"/>
      <w:color w:val="993366"/>
      <w:sz w:val="20"/>
    </w:rPr>
  </w:style>
  <w:style w:type="character" w:customStyle="1" w:styleId="EmailStyle2941">
    <w:name w:val="EmailStyle294"/>
    <w:aliases w:val="EmailStyle294"/>
    <w:basedOn w:val="DefaultParagraphFont"/>
    <w:semiHidden/>
    <w:personal/>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cs="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z w:val="36"/>
      <w:szCs w:val="20"/>
    </w:rPr>
  </w:style>
  <w:style w:type="paragraph" w:customStyle="1" w:styleId="BulletedPara">
    <w:name w:val="Bulleted Para"/>
    <w:rsid w:val="00ED05F0"/>
    <w:pPr>
      <w:numPr>
        <w:numId w:val="24"/>
      </w:numPr>
      <w:spacing w:before="120" w:after="120" w:line="240" w:lineRule="auto"/>
      <w:jc w:val="both"/>
    </w:pPr>
    <w:rPr>
      <w:rFonts w:ascii="Times New Roman" w:eastAsia="Times New Roman" w:hAnsi="Times New Roman" w:cs="Times New Roman"/>
      <w:sz w:val="24"/>
      <w:szCs w:val="20"/>
    </w:rPr>
  </w:style>
  <w:style w:type="table" w:styleId="MediumGrid1-Accent6">
    <w:name w:val="Medium Grid 1 Accent 6"/>
    <w:basedOn w:val="TableNormal"/>
    <w:uiPriority w:val="67"/>
    <w:rsid w:val="00696730"/>
    <w:pPr>
      <w:spacing w:after="0" w:line="240" w:lineRule="auto"/>
    </w:pPr>
    <w:tblPr>
      <w:tblStyleRowBandSize w:val="1"/>
      <w:tblStyleColBandSize w:val="1"/>
      <w:tblInd w:w="0" w:type="dxa"/>
      <w:tblBorders>
        <w:top w:val="single" w:sz="8" w:space="0" w:color="B4AAA2" w:themeColor="accent6" w:themeTint="BF"/>
        <w:left w:val="single" w:sz="8" w:space="0" w:color="B4AAA2" w:themeColor="accent6" w:themeTint="BF"/>
        <w:bottom w:val="single" w:sz="8" w:space="0" w:color="B4AAA2" w:themeColor="accent6" w:themeTint="BF"/>
        <w:right w:val="single" w:sz="8" w:space="0" w:color="B4AAA2" w:themeColor="accent6" w:themeTint="BF"/>
        <w:insideH w:val="single" w:sz="8" w:space="0" w:color="B4AAA2" w:themeColor="accent6" w:themeTint="BF"/>
        <w:insideV w:val="single" w:sz="8" w:space="0" w:color="B4AAA2" w:themeColor="accent6" w:themeTint="BF"/>
      </w:tblBorders>
      <w:tblCellMar>
        <w:top w:w="0" w:type="dxa"/>
        <w:left w:w="108" w:type="dxa"/>
        <w:bottom w:w="0" w:type="dxa"/>
        <w:right w:w="108" w:type="dxa"/>
      </w:tblCellMar>
    </w:tblPr>
    <w:tcPr>
      <w:shd w:val="clear" w:color="auto" w:fill="E6E3E0" w:themeFill="accent6" w:themeFillTint="3F"/>
    </w:tcPr>
    <w:tblStylePr w:type="firstRow">
      <w:rPr>
        <w:b/>
        <w:bCs/>
      </w:rPr>
    </w:tblStylePr>
    <w:tblStylePr w:type="lastRow">
      <w:rPr>
        <w:b/>
        <w:bCs/>
      </w:rPr>
      <w:tblPr/>
      <w:tcPr>
        <w:tcBorders>
          <w:top w:val="single" w:sz="18" w:space="0" w:color="B4AAA2" w:themeColor="accent6" w:themeTint="BF"/>
        </w:tcBorders>
      </w:tcPr>
    </w:tblStylePr>
    <w:tblStylePr w:type="firstCol">
      <w:rPr>
        <w:b/>
        <w:bCs/>
      </w:rPr>
    </w:tblStylePr>
    <w:tblStylePr w:type="lastCol">
      <w:rPr>
        <w:b/>
        <w:bCs/>
      </w:rPr>
    </w:tblStylePr>
    <w:tblStylePr w:type="band1Vert">
      <w:tblPr/>
      <w:tcPr>
        <w:shd w:val="clear" w:color="auto" w:fill="CDC7C1" w:themeFill="accent6" w:themeFillTint="7F"/>
      </w:tcPr>
    </w:tblStylePr>
    <w:tblStylePr w:type="band1Horz">
      <w:tblPr/>
      <w:tcPr>
        <w:shd w:val="clear" w:color="auto" w:fill="CDC7C1" w:themeFill="accent6" w:themeFillTint="7F"/>
      </w:tcPr>
    </w:tblStylePr>
  </w:style>
  <w:style w:type="character" w:customStyle="1" w:styleId="EmailStyle300">
    <w:name w:val="EmailStyle3001"/>
    <w:aliases w:val="EmailStyle3001"/>
    <w:basedOn w:val="DefaultParagraphFont"/>
    <w:semiHidden/>
    <w:personal/>
    <w:rsid w:val="004001CC"/>
    <w:rPr>
      <w:rFonts w:ascii="Arial" w:hAnsi="Arial" w:cs="Arial"/>
      <w:color w:val="993366"/>
      <w:sz w:val="20"/>
    </w:rPr>
  </w:style>
  <w:style w:type="character" w:customStyle="1" w:styleId="EmailStyle301">
    <w:name w:val="EmailStyle3011"/>
    <w:aliases w:val="EmailStyle3011"/>
    <w:basedOn w:val="DefaultParagraphFont"/>
    <w:semiHidden/>
    <w:personal/>
    <w:rsid w:val="004001CC"/>
    <w:rPr>
      <w:rFonts w:ascii="Arial" w:hAnsi="Arial" w:cs="Arial"/>
      <w:color w:val="000080"/>
      <w:sz w:val="20"/>
    </w:rPr>
  </w:style>
  <w:style w:type="character" w:customStyle="1" w:styleId="EmailStyle302">
    <w:name w:val="EmailStyle3021"/>
    <w:aliases w:val="EmailStyle3021"/>
    <w:basedOn w:val="DefaultParagraphFont"/>
    <w:semiHidden/>
    <w:personal/>
    <w:personalReply/>
    <w:rsid w:val="004001CC"/>
    <w:rPr>
      <w:rFonts w:ascii="Arial" w:hAnsi="Arial" w:cs="Arial"/>
      <w:color w:val="993366"/>
      <w:sz w:val="20"/>
    </w:rPr>
  </w:style>
  <w:style w:type="character" w:customStyle="1" w:styleId="EmailStyle303">
    <w:name w:val="EmailStyle3031"/>
    <w:aliases w:val="EmailStyle3031"/>
    <w:basedOn w:val="DefaultParagraphFont"/>
    <w:semiHidden/>
    <w:personal/>
    <w:personalReply/>
    <w:rsid w:val="004001CC"/>
    <w:rPr>
      <w:rFonts w:ascii="Arial" w:hAnsi="Arial" w:cs="Arial"/>
      <w:color w:val="000080"/>
      <w:sz w:val="20"/>
    </w:rPr>
  </w:style>
  <w:style w:type="character" w:customStyle="1" w:styleId="EmailStyle304">
    <w:name w:val="EmailStyle3041"/>
    <w:aliases w:val="EmailStyle3041"/>
    <w:basedOn w:val="DefaultParagraphFont"/>
    <w:semiHidden/>
    <w:personal/>
    <w:personalReply/>
    <w:rsid w:val="004001CC"/>
    <w:rPr>
      <w:rFonts w:ascii="Arial" w:hAnsi="Arial" w:cs="Arial"/>
      <w:color w:val="993366"/>
      <w:sz w:val="20"/>
    </w:rPr>
  </w:style>
  <w:style w:type="character" w:customStyle="1" w:styleId="EmailStyle305">
    <w:name w:val="EmailStyle3051"/>
    <w:aliases w:val="EmailStyle3051"/>
    <w:basedOn w:val="DefaultParagraphFont"/>
    <w:semiHidden/>
    <w:personal/>
    <w:personalReply/>
    <w:rsid w:val="004001CC"/>
    <w:rPr>
      <w:rFonts w:ascii="Arial" w:hAnsi="Arial" w:cs="Arial"/>
      <w:color w:val="000080"/>
      <w:sz w:val="20"/>
    </w:rPr>
  </w:style>
  <w:style w:type="character" w:customStyle="1" w:styleId="EmailStyle306">
    <w:name w:val="EmailStyle3061"/>
    <w:aliases w:val="EmailStyle3061"/>
    <w:basedOn w:val="DefaultParagraphFont"/>
    <w:semiHidden/>
    <w:personal/>
    <w:rsid w:val="004001CC"/>
    <w:rPr>
      <w:rFonts w:ascii="Arial" w:hAnsi="Arial" w:cs="Arial"/>
      <w:color w:val="993366"/>
      <w:sz w:val="20"/>
    </w:rPr>
  </w:style>
  <w:style w:type="character" w:customStyle="1" w:styleId="EmailStyle307">
    <w:name w:val="EmailStyle3071"/>
    <w:aliases w:val="EmailStyle3071"/>
    <w:basedOn w:val="DefaultParagraphFont"/>
    <w:semiHidden/>
    <w:personal/>
    <w:rsid w:val="004001CC"/>
    <w:rPr>
      <w:rFonts w:ascii="Arial" w:hAnsi="Arial" w:cs="Arial"/>
      <w:color w:val="000080"/>
      <w:sz w:val="20"/>
    </w:rPr>
  </w:style>
  <w:style w:type="character" w:customStyle="1" w:styleId="EmailStyle308">
    <w:name w:val="EmailStyle3081"/>
    <w:aliases w:val="EmailStyle3081"/>
    <w:basedOn w:val="DefaultParagraphFont"/>
    <w:semiHidden/>
    <w:personal/>
    <w:personalReply/>
    <w:rsid w:val="004001CC"/>
    <w:rPr>
      <w:rFonts w:ascii="Arial" w:hAnsi="Arial" w:cs="Arial"/>
      <w:color w:val="993366"/>
      <w:sz w:val="20"/>
    </w:rPr>
  </w:style>
  <w:style w:type="character" w:customStyle="1" w:styleId="EmailStyle309">
    <w:name w:val="EmailStyle3091"/>
    <w:aliases w:val="EmailStyle3091"/>
    <w:basedOn w:val="DefaultParagraphFont"/>
    <w:semiHidden/>
    <w:personal/>
    <w:personalReply/>
    <w:rsid w:val="004001CC"/>
    <w:rPr>
      <w:rFonts w:ascii="Arial" w:hAnsi="Arial" w:cs="Arial"/>
      <w:color w:val="000080"/>
      <w:sz w:val="20"/>
    </w:rPr>
  </w:style>
  <w:style w:type="character" w:customStyle="1" w:styleId="EmailStyle310">
    <w:name w:val="EmailStyle3101"/>
    <w:aliases w:val="EmailStyle3101"/>
    <w:basedOn w:val="DefaultParagraphFont"/>
    <w:semiHidden/>
    <w:personal/>
    <w:personalReply/>
    <w:rsid w:val="004001CC"/>
    <w:rPr>
      <w:rFonts w:ascii="Arial" w:hAnsi="Arial" w:cs="Arial"/>
      <w:color w:val="993366"/>
      <w:sz w:val="20"/>
    </w:rPr>
  </w:style>
  <w:style w:type="character" w:customStyle="1" w:styleId="EmailStyle311">
    <w:name w:val="EmailStyle3111"/>
    <w:aliases w:val="EmailStyle3111"/>
    <w:basedOn w:val="DefaultParagraphFont"/>
    <w:semiHidden/>
    <w:personal/>
    <w:personalReply/>
    <w:rsid w:val="004001CC"/>
    <w:rPr>
      <w:rFonts w:ascii="Arial" w:hAnsi="Arial" w:cs="Arial"/>
      <w:color w:val="000080"/>
      <w:sz w:val="20"/>
    </w:rPr>
  </w:style>
  <w:style w:type="character" w:customStyle="1" w:styleId="EmailStyle312">
    <w:name w:val="EmailStyle3121"/>
    <w:aliases w:val="EmailStyle3121"/>
    <w:basedOn w:val="DefaultParagraphFont"/>
    <w:semiHidden/>
    <w:personal/>
    <w:rsid w:val="004001CC"/>
    <w:rPr>
      <w:rFonts w:ascii="Arial" w:hAnsi="Arial" w:cs="Arial"/>
      <w:color w:val="993366"/>
      <w:sz w:val="20"/>
    </w:rPr>
  </w:style>
  <w:style w:type="character" w:customStyle="1" w:styleId="EmailStyle313">
    <w:name w:val="EmailStyle3131"/>
    <w:aliases w:val="EmailStyle3131"/>
    <w:basedOn w:val="DefaultParagraphFont"/>
    <w:semiHidden/>
    <w:personal/>
    <w:rsid w:val="004001CC"/>
    <w:rPr>
      <w:rFonts w:ascii="Arial" w:hAnsi="Arial" w:cs="Arial"/>
      <w:color w:val="000080"/>
      <w:sz w:val="20"/>
    </w:rPr>
  </w:style>
  <w:style w:type="character" w:customStyle="1" w:styleId="EmailStyle314">
    <w:name w:val="EmailStyle3141"/>
    <w:aliases w:val="EmailStyle3141"/>
    <w:basedOn w:val="DefaultParagraphFont"/>
    <w:semiHidden/>
    <w:personal/>
    <w:personalReply/>
    <w:rsid w:val="004001CC"/>
    <w:rPr>
      <w:rFonts w:ascii="Arial" w:hAnsi="Arial" w:cs="Arial"/>
      <w:color w:val="993366"/>
      <w:sz w:val="20"/>
    </w:rPr>
  </w:style>
  <w:style w:type="character" w:customStyle="1" w:styleId="EmailStyle315">
    <w:name w:val="EmailStyle3151"/>
    <w:aliases w:val="EmailStyle3151"/>
    <w:basedOn w:val="DefaultParagraphFont"/>
    <w:semiHidden/>
    <w:personal/>
    <w:personalReply/>
    <w:rsid w:val="004001CC"/>
    <w:rPr>
      <w:rFonts w:ascii="Arial" w:hAnsi="Arial" w:cs="Arial"/>
      <w:color w:val="000080"/>
      <w:sz w:val="20"/>
    </w:rPr>
  </w:style>
  <w:style w:type="character" w:customStyle="1" w:styleId="EmailStyle316">
    <w:name w:val="EmailStyle3161"/>
    <w:aliases w:val="EmailStyle3161"/>
    <w:basedOn w:val="DefaultParagraphFont"/>
    <w:semiHidden/>
    <w:personal/>
    <w:personalReply/>
    <w:rsid w:val="004001CC"/>
    <w:rPr>
      <w:rFonts w:ascii="Arial" w:hAnsi="Arial" w:cs="Arial"/>
      <w:color w:val="993366"/>
      <w:sz w:val="20"/>
    </w:rPr>
  </w:style>
  <w:style w:type="character" w:customStyle="1" w:styleId="EmailStyle317">
    <w:name w:val="EmailStyle3171"/>
    <w:aliases w:val="EmailStyle3171"/>
    <w:basedOn w:val="DefaultParagraphFont"/>
    <w:semiHidden/>
    <w:personal/>
    <w:personalReply/>
    <w:rsid w:val="004001CC"/>
    <w:rPr>
      <w:rFonts w:ascii="Arial" w:hAnsi="Arial" w:cs="Arial"/>
      <w:color w:val="000080"/>
      <w:sz w:val="20"/>
    </w:rPr>
  </w:style>
  <w:style w:type="character" w:customStyle="1" w:styleId="EmailStyle318">
    <w:name w:val="EmailStyle3181"/>
    <w:aliases w:val="EmailStyle3181"/>
    <w:basedOn w:val="DefaultParagraphFont"/>
    <w:semiHidden/>
    <w:personal/>
    <w:rsid w:val="004001CC"/>
    <w:rPr>
      <w:rFonts w:ascii="Arial" w:hAnsi="Arial" w:cs="Arial"/>
      <w:color w:val="993366"/>
      <w:sz w:val="20"/>
    </w:rPr>
  </w:style>
  <w:style w:type="character" w:customStyle="1" w:styleId="EmailStyle319">
    <w:name w:val="EmailStyle3191"/>
    <w:aliases w:val="EmailStyle3191"/>
    <w:basedOn w:val="DefaultParagraphFont"/>
    <w:semiHidden/>
    <w:personal/>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cs="Times New Roman"/>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1">
    <w:name w:val="EmailStyle322"/>
    <w:aliases w:val="EmailStyle322"/>
    <w:basedOn w:val="DefaultParagraphFont"/>
    <w:semiHidden/>
    <w:personal/>
    <w:personalReply/>
    <w:rsid w:val="004E3B8A"/>
    <w:rPr>
      <w:rFonts w:ascii="Arial" w:hAnsi="Arial" w:cs="Arial"/>
      <w:color w:val="993366"/>
      <w:sz w:val="20"/>
    </w:rPr>
  </w:style>
  <w:style w:type="character" w:customStyle="1" w:styleId="EmailStyle3231">
    <w:name w:val="EmailStyle323"/>
    <w:aliases w:val="EmailStyle323"/>
    <w:basedOn w:val="DefaultParagraphFont"/>
    <w:semiHidden/>
    <w:personal/>
    <w:personalReply/>
    <w:rsid w:val="004E3B8A"/>
    <w:rPr>
      <w:rFonts w:ascii="Arial" w:hAnsi="Arial" w:cs="Arial"/>
      <w:color w:val="000080"/>
      <w:sz w:val="20"/>
    </w:rPr>
  </w:style>
  <w:style w:type="character" w:customStyle="1" w:styleId="EmailStyle3241">
    <w:name w:val="EmailStyle324"/>
    <w:aliases w:val="EmailStyle324"/>
    <w:basedOn w:val="DefaultParagraphFont"/>
    <w:semiHidden/>
    <w:personal/>
    <w:personalReply/>
    <w:rsid w:val="004E3B8A"/>
    <w:rPr>
      <w:rFonts w:ascii="Arial" w:hAnsi="Arial" w:cs="Arial"/>
      <w:color w:val="993366"/>
      <w:sz w:val="20"/>
    </w:rPr>
  </w:style>
  <w:style w:type="character" w:customStyle="1" w:styleId="EmailStyle3251">
    <w:name w:val="EmailStyle325"/>
    <w:aliases w:val="EmailStyle325"/>
    <w:basedOn w:val="DefaultParagraphFont"/>
    <w:semiHidden/>
    <w:personal/>
    <w:personalReply/>
    <w:rsid w:val="004E3B8A"/>
    <w:rPr>
      <w:rFonts w:ascii="Arial" w:hAnsi="Arial" w:cs="Arial"/>
      <w:color w:val="000080"/>
      <w:sz w:val="20"/>
    </w:rPr>
  </w:style>
  <w:style w:type="character" w:customStyle="1" w:styleId="EmailStyle3261">
    <w:name w:val="EmailStyle326"/>
    <w:aliases w:val="EmailStyle326"/>
    <w:basedOn w:val="DefaultParagraphFont"/>
    <w:semiHidden/>
    <w:personal/>
    <w:rsid w:val="004E3B8A"/>
    <w:rPr>
      <w:rFonts w:ascii="Arial" w:hAnsi="Arial" w:cs="Arial"/>
      <w:color w:val="000080"/>
      <w:sz w:val="20"/>
    </w:rPr>
  </w:style>
  <w:style w:type="character" w:customStyle="1" w:styleId="EmailStyle3271">
    <w:name w:val="EmailStyle327"/>
    <w:aliases w:val="EmailStyle327"/>
    <w:basedOn w:val="DefaultParagraphFont"/>
    <w:semiHidden/>
    <w:personal/>
    <w:personalReply/>
    <w:rsid w:val="004E3B8A"/>
    <w:rPr>
      <w:rFonts w:ascii="Arial" w:hAnsi="Arial" w:cs="Arial"/>
      <w:color w:val="993366"/>
      <w:sz w:val="20"/>
    </w:rPr>
  </w:style>
  <w:style w:type="character" w:customStyle="1" w:styleId="EmailStyle3281">
    <w:name w:val="EmailStyle328"/>
    <w:aliases w:val="EmailStyle328"/>
    <w:basedOn w:val="DefaultParagraphFont"/>
    <w:semiHidden/>
    <w:personal/>
    <w:personalReply/>
    <w:rsid w:val="004E3B8A"/>
    <w:rPr>
      <w:rFonts w:ascii="Arial" w:hAnsi="Arial" w:cs="Arial"/>
      <w:color w:val="000080"/>
      <w:sz w:val="20"/>
    </w:rPr>
  </w:style>
  <w:style w:type="character" w:customStyle="1" w:styleId="EmailStyle3291">
    <w:name w:val="EmailStyle329"/>
    <w:aliases w:val="EmailStyle329"/>
    <w:basedOn w:val="DefaultParagraphFont"/>
    <w:semiHidden/>
    <w:personal/>
    <w:personalReply/>
    <w:rsid w:val="004E3B8A"/>
    <w:rPr>
      <w:rFonts w:ascii="Arial" w:hAnsi="Arial" w:cs="Arial"/>
      <w:color w:val="993366"/>
      <w:sz w:val="20"/>
    </w:rPr>
  </w:style>
  <w:style w:type="character" w:customStyle="1" w:styleId="EmailStyle3301">
    <w:name w:val="EmailStyle330"/>
    <w:aliases w:val="EmailStyle330"/>
    <w:basedOn w:val="DefaultParagraphFont"/>
    <w:semiHidden/>
    <w:personal/>
    <w:personalReply/>
    <w:rsid w:val="004E3B8A"/>
    <w:rPr>
      <w:rFonts w:ascii="Arial" w:hAnsi="Arial" w:cs="Arial"/>
      <w:color w:val="000080"/>
      <w:sz w:val="20"/>
    </w:rPr>
  </w:style>
  <w:style w:type="character" w:customStyle="1" w:styleId="EmailStyle3311">
    <w:name w:val="EmailStyle331"/>
    <w:aliases w:val="EmailStyle331"/>
    <w:basedOn w:val="DefaultParagraphFont"/>
    <w:semiHidden/>
    <w:personal/>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cs="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1">
    <w:name w:val="EmailStyle335"/>
    <w:aliases w:val="EmailStyle335"/>
    <w:basedOn w:val="DefaultParagraphFont"/>
    <w:semiHidden/>
    <w:personal/>
    <w:personalReply/>
    <w:rsid w:val="00BA5816"/>
    <w:rPr>
      <w:rFonts w:ascii="Arial" w:hAnsi="Arial" w:cs="Arial"/>
      <w:color w:val="993366"/>
      <w:sz w:val="20"/>
    </w:rPr>
  </w:style>
  <w:style w:type="character" w:customStyle="1" w:styleId="EmailStyle3361">
    <w:name w:val="EmailStyle336"/>
    <w:aliases w:val="EmailStyle336"/>
    <w:basedOn w:val="DefaultParagraphFont"/>
    <w:semiHidden/>
    <w:personal/>
    <w:personalReply/>
    <w:rsid w:val="00BA5816"/>
    <w:rPr>
      <w:rFonts w:ascii="Arial" w:hAnsi="Arial" w:cs="Arial"/>
      <w:color w:val="000080"/>
      <w:sz w:val="20"/>
    </w:rPr>
  </w:style>
  <w:style w:type="character" w:customStyle="1" w:styleId="EmailStyle3371">
    <w:name w:val="EmailStyle337"/>
    <w:aliases w:val="EmailStyle337"/>
    <w:basedOn w:val="DefaultParagraphFont"/>
    <w:semiHidden/>
    <w:personal/>
    <w:personalReply/>
    <w:rsid w:val="00BA5816"/>
    <w:rPr>
      <w:rFonts w:ascii="Arial" w:hAnsi="Arial" w:cs="Arial"/>
      <w:color w:val="993366"/>
      <w:sz w:val="20"/>
    </w:rPr>
  </w:style>
  <w:style w:type="character" w:customStyle="1" w:styleId="EmailStyle3381">
    <w:name w:val="EmailStyle338"/>
    <w:aliases w:val="EmailStyle338"/>
    <w:basedOn w:val="DefaultParagraphFont"/>
    <w:semiHidden/>
    <w:personal/>
    <w:personalReply/>
    <w:rsid w:val="00BA5816"/>
    <w:rPr>
      <w:rFonts w:ascii="Arial" w:hAnsi="Arial" w:cs="Arial"/>
      <w:color w:val="000080"/>
      <w:sz w:val="20"/>
    </w:rPr>
  </w:style>
  <w:style w:type="character" w:customStyle="1" w:styleId="EmailStyle3391">
    <w:name w:val="EmailStyle339"/>
    <w:aliases w:val="EmailStyle339"/>
    <w:basedOn w:val="DefaultParagraphFont"/>
    <w:semiHidden/>
    <w:personal/>
    <w:rsid w:val="00BA5816"/>
    <w:rPr>
      <w:rFonts w:ascii="Arial" w:hAnsi="Arial" w:cs="Arial"/>
      <w:color w:val="000080"/>
      <w:sz w:val="20"/>
    </w:rPr>
  </w:style>
  <w:style w:type="character" w:customStyle="1" w:styleId="EmailStyle3401">
    <w:name w:val="EmailStyle340"/>
    <w:aliases w:val="EmailStyle340"/>
    <w:basedOn w:val="DefaultParagraphFont"/>
    <w:semiHidden/>
    <w:personal/>
    <w:personalReply/>
    <w:rsid w:val="00BA5816"/>
    <w:rPr>
      <w:rFonts w:ascii="Arial" w:hAnsi="Arial" w:cs="Arial"/>
      <w:color w:val="993366"/>
      <w:sz w:val="20"/>
    </w:rPr>
  </w:style>
  <w:style w:type="character" w:customStyle="1" w:styleId="EmailStyle3411">
    <w:name w:val="EmailStyle341"/>
    <w:aliases w:val="EmailStyle341"/>
    <w:basedOn w:val="DefaultParagraphFont"/>
    <w:semiHidden/>
    <w:personal/>
    <w:personalReply/>
    <w:rsid w:val="00BA5816"/>
    <w:rPr>
      <w:rFonts w:ascii="Arial" w:hAnsi="Arial" w:cs="Arial"/>
      <w:color w:val="000080"/>
      <w:sz w:val="20"/>
    </w:rPr>
  </w:style>
  <w:style w:type="character" w:customStyle="1" w:styleId="EmailStyle3421">
    <w:name w:val="EmailStyle342"/>
    <w:aliases w:val="EmailStyle342"/>
    <w:basedOn w:val="DefaultParagraphFont"/>
    <w:semiHidden/>
    <w:personal/>
    <w:personalReply/>
    <w:rsid w:val="00BA5816"/>
    <w:rPr>
      <w:rFonts w:ascii="Arial" w:hAnsi="Arial" w:cs="Arial"/>
      <w:color w:val="993366"/>
      <w:sz w:val="20"/>
    </w:rPr>
  </w:style>
  <w:style w:type="character" w:customStyle="1" w:styleId="EmailStyle3431">
    <w:name w:val="EmailStyle343"/>
    <w:aliases w:val="EmailStyle343"/>
    <w:basedOn w:val="DefaultParagraphFont"/>
    <w:semiHidden/>
    <w:personal/>
    <w:personalReply/>
    <w:rsid w:val="00BA5816"/>
    <w:rPr>
      <w:rFonts w:ascii="Arial" w:hAnsi="Arial" w:cs="Arial"/>
      <w:color w:val="000080"/>
      <w:sz w:val="20"/>
    </w:rPr>
  </w:style>
  <w:style w:type="character" w:customStyle="1" w:styleId="EmailStyle3441">
    <w:name w:val="EmailStyle344"/>
    <w:aliases w:val="EmailStyle344"/>
    <w:basedOn w:val="DefaultParagraphFont"/>
    <w:semiHidden/>
    <w:personal/>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s="Times New Roman"/>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s="Times New Roman"/>
      <w:color w:val="000000"/>
      <w:sz w:val="24"/>
      <w:szCs w:val="24"/>
    </w:rPr>
  </w:style>
  <w:style w:type="table" w:styleId="LightList-Accent6">
    <w:name w:val="Light List Accent 6"/>
    <w:basedOn w:val="TableNormal"/>
    <w:uiPriority w:val="61"/>
    <w:rsid w:val="00FB15AD"/>
    <w:pPr>
      <w:spacing w:after="0" w:line="240" w:lineRule="auto"/>
    </w:pPr>
    <w:rPr>
      <w:rFonts w:ascii="Calibri" w:hAnsi="Calibri" w:cs="Times New Roman"/>
      <w:sz w:val="20"/>
      <w:szCs w:val="20"/>
    </w:rPr>
    <w:tblPr>
      <w:tblStyleRowBandSize w:val="1"/>
      <w:tblStyleColBandSize w:val="1"/>
      <w:tblInd w:w="0" w:type="dxa"/>
      <w:tblBorders>
        <w:top w:val="single" w:sz="8" w:space="0" w:color="9B8F83" w:themeColor="accent6"/>
        <w:left w:val="single" w:sz="8" w:space="0" w:color="9B8F83" w:themeColor="accent6"/>
        <w:bottom w:val="single" w:sz="8" w:space="0" w:color="9B8F83" w:themeColor="accent6"/>
        <w:right w:val="single" w:sz="8" w:space="0" w:color="9B8F8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8F83" w:themeFill="accent6"/>
      </w:tcPr>
    </w:tblStylePr>
    <w:tblStylePr w:type="lastRow">
      <w:pPr>
        <w:spacing w:before="0" w:after="0" w:line="240" w:lineRule="auto"/>
      </w:pPr>
      <w:rPr>
        <w:b/>
        <w:bCs/>
      </w:rPr>
      <w:tblPr/>
      <w:tcPr>
        <w:tcBorders>
          <w:top w:val="double" w:sz="6" w:space="0" w:color="9B8F83" w:themeColor="accent6"/>
          <w:left w:val="single" w:sz="8" w:space="0" w:color="9B8F83" w:themeColor="accent6"/>
          <w:bottom w:val="single" w:sz="8" w:space="0" w:color="9B8F83" w:themeColor="accent6"/>
          <w:right w:val="single" w:sz="8" w:space="0" w:color="9B8F83" w:themeColor="accent6"/>
        </w:tcBorders>
      </w:tcPr>
    </w:tblStylePr>
    <w:tblStylePr w:type="firstCol">
      <w:rPr>
        <w:b/>
        <w:bCs/>
      </w:rPr>
    </w:tblStylePr>
    <w:tblStylePr w:type="lastCol">
      <w:rPr>
        <w:b/>
        <w:bCs/>
      </w:rPr>
    </w:tblStylePr>
    <w:tblStylePr w:type="band1Vert">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tblStylePr w:type="band1Horz">
      <w:tblPr/>
      <w:tcPr>
        <w:tcBorders>
          <w:top w:val="single" w:sz="8" w:space="0" w:color="9B8F83" w:themeColor="accent6"/>
          <w:left w:val="single" w:sz="8" w:space="0" w:color="9B8F83" w:themeColor="accent6"/>
          <w:bottom w:val="single" w:sz="8" w:space="0" w:color="9B8F83" w:themeColor="accent6"/>
          <w:right w:val="single" w:sz="8" w:space="0" w:color="9B8F83" w:themeColor="accent6"/>
        </w:tcBorders>
      </w:tcPr>
    </w:tblStylePr>
  </w:style>
  <w:style w:type="character" w:customStyle="1" w:styleId="A0">
    <w:name w:val="A0"/>
    <w:uiPriority w:val="99"/>
    <w:rsid w:val="00F17D2E"/>
    <w:rPr>
      <w:rFonts w:cs="Gotham Narrow Medium"/>
      <w:color w:val="000000"/>
      <w:sz w:val="45"/>
      <w:szCs w:val="45"/>
    </w:rPr>
  </w:style>
</w:styles>
</file>

<file path=word/webSettings.xml><?xml version="1.0" encoding="utf-8"?>
<w:webSettings xmlns:r="http://schemas.openxmlformats.org/officeDocument/2006/relationships" xmlns:w="http://schemas.openxmlformats.org/wordprocessingml/2006/main">
  <w:divs>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hyperlink" Target="http://www.iso-ne.com/rules_proceds/operating/isone/op4/OP4_RTO_FIN.doc" TargetMode="External"/><Relationship Id="rId34" Type="http://schemas.openxmlformats.org/officeDocument/2006/relationships/image" Target="media/image11.emf"/><Relationship Id="rId42" Type="http://schemas.openxmlformats.org/officeDocument/2006/relationships/image" Target="media/image17.emf"/><Relationship Id="rId47" Type="http://schemas.openxmlformats.org/officeDocument/2006/relationships/hyperlink" Target="http://www.pjm.com/~/media/about-pjm/newsroom/2010-releases/20100325-pjm-reports-new-carbon-dioxide-emissions-data.ashx" TargetMode="External"/><Relationship Id="rId50" Type="http://schemas.openxmlformats.org/officeDocument/2006/relationships/hyperlink" Target="http://www.iso-ne.com/trans/celt/report/index.html" TargetMode="External"/><Relationship Id="rId55" Type="http://schemas.openxmlformats.org/officeDocument/2006/relationships/footer" Target="footer5.xml"/><Relationship Id="rId63" Type="http://schemas.openxmlformats.org/officeDocument/2006/relationships/image" Target="media/image28.jpeg"/><Relationship Id="rId68" Type="http://schemas.openxmlformats.org/officeDocument/2006/relationships/hyperlink" Target="http://www.dsireusa.org/" TargetMode="External"/><Relationship Id="rId76" Type="http://schemas.openxmlformats.org/officeDocument/2006/relationships/image" Target="media/image31.emf"/><Relationship Id="rId7" Type="http://schemas.openxmlformats.org/officeDocument/2006/relationships/footnotes" Target="footnotes.xml"/><Relationship Id="rId71" Type="http://schemas.openxmlformats.org/officeDocument/2006/relationships/hyperlink" Target="http://www.ctcleanenergy.com/CleanEnergyIncentives/tabid/57/Default.aspx"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www.iso-ne.com/regulatory/ferc/orders/2009/aug/er09-1415-000_8-14-09_accept%202012-2013%20icr.pdf" TargetMode="Externa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hyperlink" Target="http://www.iso-ne.com/regulatory/ferc/orders/2010/jun/er10-1182_6-25-10_ltr_ordr_accept_2013-2014_icr.pdf" TargetMode="External"/><Relationship Id="rId37" Type="http://schemas.openxmlformats.org/officeDocument/2006/relationships/hyperlink" Target="http://www.iso-ne.com/committees/comm_wkgrps/trans_comm/tariff_comm/mtrls/2010/aug16172010/a11_rns_rate_forecast_%202010_2014.pdf" TargetMode="External"/><Relationship Id="rId40" Type="http://schemas.openxmlformats.org/officeDocument/2006/relationships/hyperlink" Target="http://www.eia.doe.gov/cneaf/electricity/page/capacity/capacity.html" TargetMode="External"/><Relationship Id="rId45" Type="http://schemas.openxmlformats.org/officeDocument/2006/relationships/hyperlink" Target="http://www.otcair.org/document.asp?fview=meeting" TargetMode="External"/><Relationship Id="rId53" Type="http://schemas.openxmlformats.org/officeDocument/2006/relationships/hyperlink" Target="http://www.env.state.ma.us/dpu/docs/electric/09-116/12810dpuord.pdf" TargetMode="External"/><Relationship Id="rId58" Type="http://schemas.openxmlformats.org/officeDocument/2006/relationships/image" Target="media/image24.emf"/><Relationship Id="rId66" Type="http://schemas.openxmlformats.org/officeDocument/2006/relationships/hyperlink" Target="http://www.nrel.gov/gis/images/map_pv_national_lo-res.jpg" TargetMode="External"/><Relationship Id="rId74" Type="http://schemas.openxmlformats.org/officeDocument/2006/relationships/hyperlink" Target="http://fit.powerauthority.on.ca/Storage/101/11057_FIT_Program_Overview_July_6_10_version_1.3.1_final_for_posting.pdf" TargetMode="External"/><Relationship Id="rId79" Type="http://schemas.openxmlformats.org/officeDocument/2006/relationships/image" Target="media/image33.emf"/><Relationship Id="rId5" Type="http://schemas.openxmlformats.org/officeDocument/2006/relationships/settings" Target="settings.xml"/><Relationship Id="rId61" Type="http://schemas.openxmlformats.org/officeDocument/2006/relationships/footer" Target="footer6.xm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yperlink" Target="http://www.iso-ne.com/regulatory/ferc/orders/2010/mar/er10-714-000_3-29-10_ltr_order_accept_2011-2012_icr.pdf" TargetMode="External"/><Relationship Id="rId44" Type="http://schemas.openxmlformats.org/officeDocument/2006/relationships/image" Target="media/image19.png"/><Relationship Id="rId52" Type="http://schemas.openxmlformats.org/officeDocument/2006/relationships/hyperlink" Target="http://www.iso-ne.com/committees/comm_wkgrps/othr/reei/mtrls/index.html" TargetMode="External"/><Relationship Id="rId60" Type="http://schemas.openxmlformats.org/officeDocument/2006/relationships/image" Target="media/image26.wmf"/><Relationship Id="rId65" Type="http://schemas.openxmlformats.org/officeDocument/2006/relationships/footer" Target="footer7.xml"/><Relationship Id="rId73" Type="http://schemas.openxmlformats.org/officeDocument/2006/relationships/hyperlink" Target="http://www.neny.org/download.cfm/NENY_Membership_Application.pdf?AssetID=225" TargetMode="External"/><Relationship Id="rId78" Type="http://schemas.openxmlformats.org/officeDocument/2006/relationships/image" Target="media/image32.emf"/><Relationship Id="rId81" Type="http://schemas.openxmlformats.org/officeDocument/2006/relationships/hyperlink" Target="http://www.iso-ne.com/committees/comm_wkgrps/prtcpnts_comm/pac/projects/index.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yperlink" Target="http://www.iso-ne.com/regulatory/ferc/orders/2010/feb/er10-438-000_2-12-10_icr_jump_ball_order.pdf" TargetMode="External"/><Relationship Id="rId30" Type="http://schemas.openxmlformats.org/officeDocument/2006/relationships/hyperlink" Target="http://www.iso-ne.com/markets/othrmkts_data/fcm/doc/summary_of_icr_values.xls" TargetMode="External"/><Relationship Id="rId35"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image" Target="media/image22.emf"/><Relationship Id="rId64" Type="http://schemas.openxmlformats.org/officeDocument/2006/relationships/image" Target="media/image29.jpeg"/><Relationship Id="rId69" Type="http://schemas.openxmlformats.org/officeDocument/2006/relationships/hyperlink" Target="http://www.necanews.org/dev/documents/100303_grace_bob_1.pdf" TargetMode="External"/><Relationship Id="rId77"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ctsavesenergy.org/files/Final%202009%20Legislative%20Report%202.19.10.pdf" TargetMode="External"/><Relationship Id="rId72" Type="http://schemas.openxmlformats.org/officeDocument/2006/relationships/hyperlink" Target="http://www.mainelegislature.org/legis/bills/bills_124th/chappdfs/RESOLVE20.pdf" TargetMode="External"/><Relationship Id="rId80"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0.emf"/><Relationship Id="rId38" Type="http://schemas.openxmlformats.org/officeDocument/2006/relationships/image" Target="media/image14.wmf"/><Relationship Id="rId46" Type="http://schemas.openxmlformats.org/officeDocument/2006/relationships/hyperlink" Target="http://www.iso-ne.com/genrtion_resrcs/reports/emission/index.html" TargetMode="External"/><Relationship Id="rId59" Type="http://schemas.openxmlformats.org/officeDocument/2006/relationships/image" Target="media/image25.emf"/><Relationship Id="rId67" Type="http://schemas.openxmlformats.org/officeDocument/2006/relationships/image" Target="media/image30.emf"/><Relationship Id="rId20" Type="http://schemas.openxmlformats.org/officeDocument/2006/relationships/image" Target="media/image3.jpeg"/><Relationship Id="rId41" Type="http://schemas.openxmlformats.org/officeDocument/2006/relationships/image" Target="media/image16.emf"/><Relationship Id="rId54" Type="http://schemas.openxmlformats.org/officeDocument/2006/relationships/hyperlink" Target="http://www.efficiencymaine.com/pdf/EM_AnnualReport2009_FINAL.pdf.%20Also%20see%20the%20" TargetMode="External"/><Relationship Id="rId62" Type="http://schemas.openxmlformats.org/officeDocument/2006/relationships/image" Target="media/image27.jpeg"/><Relationship Id="rId70" Type="http://schemas.openxmlformats.org/officeDocument/2006/relationships/hyperlink" Target="http://www.ctenergyinfo.com/dpuc_net_metering.htm" TargetMode="External"/><Relationship Id="rId75" Type="http://schemas.openxmlformats.org/officeDocument/2006/relationships/footer" Target="foot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yperlink" Target="http://www.iso-ne.com/regulatory/ferc/orders/2010/mar/er10-714-000_3-29-10_ltr_order_accept_2011-2012_icr.pdf" TargetMode="External"/><Relationship Id="rId36" Type="http://schemas.openxmlformats.org/officeDocument/2006/relationships/image" Target="media/image13.emf"/><Relationship Id="rId49" Type="http://schemas.openxmlformats.org/officeDocument/2006/relationships/image" Target="media/image21.emf"/><Relationship Id="rId57" Type="http://schemas.openxmlformats.org/officeDocument/2006/relationships/image" Target="media/image23.emf"/></Relationships>
</file>

<file path=word/_rels/footnotes.xml.rels><?xml version="1.0" encoding="UTF-8" standalone="yes"?>
<Relationships xmlns="http://schemas.openxmlformats.org/package/2006/relationships"><Relationship Id="rId26" Type="http://schemas.openxmlformats.org/officeDocument/2006/relationships/hyperlink" Target="%20http://www.iso-ne.com/regulatory/ferc/filings/2010/may/er10-___-000_05-04-10_icr_2013-2014.pdf.%20" TargetMode="External"/><Relationship Id="rId117" Type="http://schemas.openxmlformats.org/officeDocument/2006/relationships/hyperlink" Target="http://www.dpuc.state.ct.us/FINALDEC.NSF/0d1e102026cb64d98525644800691cfe/e38fd40db43adb3a85257562007065bc?OpenDocument" TargetMode="External"/><Relationship Id="rId21" Type="http://schemas.openxmlformats.org/officeDocument/2006/relationships/hyperlink" Target="http://www.iso-ne.com/committees/comm_wkgrps/prtcpnts_comm/pac/mtrls/2009/feb252009/index.html" TargetMode="External"/><Relationship Id="rId42" Type="http://schemas.openxmlformats.org/officeDocument/2006/relationships/hyperlink" Target="http://www.iso-ne.com/committees/comm_wkgrps/prtcpnts_comm/pac/ceii/mtrls/2009/jul162009/littleton.pdf" TargetMode="External"/><Relationship Id="rId47" Type="http://schemas.openxmlformats.org/officeDocument/2006/relationships/hyperlink" Target="http://www.cmpco.com/OurCompany/MPRP_CPCN_APPLCTN.html" TargetMode="External"/><Relationship Id="rId63" Type="http://schemas.openxmlformats.org/officeDocument/2006/relationships/hyperlink" Target="http://www.otcair.org/document.asp?Fview=Formal%20Actions" TargetMode="External"/><Relationship Id="rId68" Type="http://schemas.openxmlformats.org/officeDocument/2006/relationships/hyperlink" Target="http://rggi.org/docs/mou_12_20_05.pdf" TargetMode="External"/><Relationship Id="rId84" Type="http://schemas.openxmlformats.org/officeDocument/2006/relationships/hyperlink" Target="http://www.iso-ne.com/regulatory/ferc/filings/2010/apr/rm10-11-000_4-12-10_irc_ver_comments.pdf" TargetMode="External"/><Relationship Id="rId89" Type="http://schemas.openxmlformats.org/officeDocument/2006/relationships/hyperlink" Target="http://www.nerc.com/files/IVGTF_Report_041609.pdf" TargetMode="External"/><Relationship Id="rId112" Type="http://schemas.openxmlformats.org/officeDocument/2006/relationships/hyperlink" Target="http://www.congestion09.anl.gov/documents/docs/EasternInterconnection.pdf" TargetMode="External"/><Relationship Id="rId133" Type="http://schemas.openxmlformats.org/officeDocument/2006/relationships/hyperlink" Target="%20http://dirac.rilin.state.ri.us/BillStatus/WebClass1.ASP?WCI=BillStatus&amp;WCE=ifrmBillStatus&amp;WCU" TargetMode="External"/><Relationship Id="rId138" Type="http://schemas.openxmlformats.org/officeDocument/2006/relationships/hyperlink" Target="http://www.negc.org" TargetMode="External"/><Relationship Id="rId16" Type="http://schemas.openxmlformats.org/officeDocument/2006/relationships/hyperlink" Target="http://www.iso-ne.com/markets/othrmkts_data/fcm/index.html" TargetMode="External"/><Relationship Id="rId107" Type="http://schemas.openxmlformats.org/officeDocument/2006/relationships/hyperlink" Target="http://www.nyiso.com/public/webdocs/newsroom/press_releases/2009/RNA_2009_Final_1_13_09.pdf" TargetMode="External"/><Relationship Id="rId11" Type="http://schemas.openxmlformats.org/officeDocument/2006/relationships/hyperlink" Target="http://iso-ne.com/committees/comm_wkgrps/prtcpnts_comm/pac/mtrls/2009/index.html" TargetMode="External"/><Relationship Id="rId32" Type="http://schemas.openxmlformats.org/officeDocument/2006/relationships/hyperlink" Target="http://www.iso-ne.com/rules_proceds/operating/isone/op18/index.html" TargetMode="External"/><Relationship Id="rId37" Type="http://schemas.openxmlformats.org/officeDocument/2006/relationships/hyperlink" Target="http://www.iso-ne.com/committees/comm_wkgrps/prtcpnts_comm/pac/ceii/reports/2010/final_vt_report.pdf" TargetMode="External"/><Relationship Id="rId53" Type="http://schemas.openxmlformats.org/officeDocument/2006/relationships/hyperlink" Target="https://iso-ne.com/committees/comm_wkgrps/prtcpnts_comm/pac/ceii/reports/2010/pitts-green_assess.pdf" TargetMode="External"/><Relationship Id="rId58" Type="http://schemas.openxmlformats.org/officeDocument/2006/relationships/hyperlink" Target="http://www.iso-ne.com/trans/celt/index.html.%20The" TargetMode="External"/><Relationship Id="rId74" Type="http://schemas.openxmlformats.org/officeDocument/2006/relationships/hyperlink" Target="http://www.mass.gov/legis/laws/seslaw08/sl080169.htm" TargetMode="External"/><Relationship Id="rId79" Type="http://schemas.openxmlformats.org/officeDocument/2006/relationships/hyperlink" Target="http://www.ferc.gov/whats-new/comm-meet/2007/021507/E-1.pdf" TargetMode="External"/><Relationship Id="rId102" Type="http://schemas.openxmlformats.org/officeDocument/2006/relationships/hyperlink" Target="http://www.iso-ne.com/committees/comm_wkgrps/othr/ipsac/index.html" TargetMode="External"/><Relationship Id="rId123" Type="http://schemas.openxmlformats.org/officeDocument/2006/relationships/hyperlink" Target="http://www.mass.gov/legis/laws/seslaw08/sl080169.htm" TargetMode="External"/><Relationship Id="rId128" Type="http://schemas.openxmlformats.org/officeDocument/2006/relationships/hyperlink" Target="http://www.mass.gov/?pageID=eoeeaterminal&amp;L=4&amp;L0=Home&amp;L1=Energy,+Utilities+%26+Clean+Technologies&amp;L2=Renewable+Energy&amp;L3=Biomass&amp;sid=Eoeea&amp;b=terminalcontent&amp;f=doer_arra_bscps&amp;csid=Eoeea" TargetMode="External"/><Relationship Id="rId144" Type="http://schemas.openxmlformats.org/officeDocument/2006/relationships/hyperlink" Target="http://www.iso-ne.com/committees/comm_wkgrps/othr/clg/index.html" TargetMode="External"/><Relationship Id="rId5" Type="http://schemas.openxmlformats.org/officeDocument/2006/relationships/hyperlink" Target="http://www.nerc.com" TargetMode="External"/><Relationship Id="rId90" Type="http://schemas.openxmlformats.org/officeDocument/2006/relationships/hyperlink" Target="http://www.renewablesbiz.com/article/10/04/shaping-future-power" TargetMode="External"/><Relationship Id="rId95" Type="http://schemas.openxmlformats.org/officeDocument/2006/relationships/hyperlink" Target="http://fit.powerauthority.on.ca/Storage/100/10986_Apr_8_News_Release_FINAL.pdf" TargetMode="External"/><Relationship Id="rId22" Type="http://schemas.openxmlformats.org/officeDocument/2006/relationships/hyperlink" Target="http://www.npcc.org/documents/regStandards/Criteria.aspx" TargetMode="External"/><Relationship Id="rId27" Type="http://schemas.openxmlformats.org/officeDocument/2006/relationships/hyperlink" Target="http://www.iso-ne.com/markets/mkt_anlys_rpts/annl_mkt_rpts/index.html" TargetMode="External"/><Relationship Id="rId43" Type="http://schemas.openxmlformats.org/officeDocument/2006/relationships/hyperlink" Target="http://www.iso-ne.com/trans/sys_studies/rsp_docs/pres/2007/maine_power_reliability_program_steady_state_needs_assessment.pdf" TargetMode="External"/><Relationship Id="rId48" Type="http://schemas.openxmlformats.org/officeDocument/2006/relationships/hyperlink" Target="http://mpuc.informe.org/easyfile/easyweb.php?func=easyweb_query" TargetMode="External"/><Relationship Id="rId64" Type="http://schemas.openxmlformats.org/officeDocument/2006/relationships/hyperlink" Target="http://www.otcair.org/document.asp?Fview=Formal%20Actions" TargetMode="External"/><Relationship Id="rId69" Type="http://schemas.openxmlformats.org/officeDocument/2006/relationships/hyperlink" Target="http://www.epa.gov/NSR/fs20090930action.html" TargetMode="External"/><Relationship Id="rId113" Type="http://schemas.openxmlformats.org/officeDocument/2006/relationships/hyperlink" Target="http://www.nerc.com/page.php?cid=1|7|114" TargetMode="External"/><Relationship Id="rId118" Type="http://schemas.openxmlformats.org/officeDocument/2006/relationships/hyperlink" Target="http://www.mainelegislature.org/legis/statutes/35-A/title35-Asec3404.html" TargetMode="External"/><Relationship Id="rId134" Type="http://schemas.openxmlformats.org/officeDocument/2006/relationships/hyperlink" Target="http://www.cvps.com/AboutUs/news/viewStory.aspx?story_id=264" TargetMode="External"/><Relationship Id="rId139" Type="http://schemas.openxmlformats.org/officeDocument/2006/relationships/hyperlink" Target="http://www.negc.org" TargetMode="External"/><Relationship Id="rId80" Type="http://schemas.openxmlformats.org/officeDocument/2006/relationships/hyperlink" Target="http://www.businesswire.com/portal/site/home/permalink/?ndmViewId=news_view&amp;newsId=20090720005598&amp;newsLang=en" TargetMode="External"/><Relationship Id="rId85" Type="http://schemas.openxmlformats.org/officeDocument/2006/relationships/hyperlink" Target="http://www.iso-ne.com/aboutiso/vendor/exhibits/index.html" TargetMode="External"/><Relationship Id="rId3" Type="http://schemas.openxmlformats.org/officeDocument/2006/relationships/hyperlink" Target="http://www.iso-ne.com/trans/rsp/index.html" TargetMode="External"/><Relationship Id="rId12" Type="http://schemas.openxmlformats.org/officeDocument/2006/relationships/hyperlink" Target="http://www.iso-ne.com/regulatory/tariff/index.html." TargetMode="External"/><Relationship Id="rId17" Type="http://schemas.openxmlformats.org/officeDocument/2006/relationships/hyperlink" Target="http://www.iso-ne.com/trans/celt/fsct_detail/index.html" TargetMode="External"/><Relationship Id="rId25" Type="http://schemas.openxmlformats.org/officeDocument/2006/relationships/hyperlink" Target="http://www.iso-ne.com/regulatory/ferc/filings/2009/jul/er09-___-000_7-7-09_2012-2013_icr_values.pdf" TargetMode="External"/><Relationship Id="rId33" Type="http://schemas.openxmlformats.org/officeDocument/2006/relationships/hyperlink" Target="http://www.iso-ne.com/committees/comm_wkgrps/prtcpnts_comm/pac/index.html" TargetMode="External"/><Relationship Id="rId38" Type="http://schemas.openxmlformats.org/officeDocument/2006/relationships/hyperlink" Target="http://www.iso-ne.com/committees/comm_wkgrps/prtcpnts_comm/pac/mtrls/2008/jan172008/avelcosouthernloop.pdf" TargetMode="External"/><Relationship Id="rId46" Type="http://schemas.openxmlformats.org/officeDocument/2006/relationships/hyperlink" Target="http://www.iso-ne.com/trans/sys_studies/rsp_docs/pres/2008/mprp_final_report.pdf" TargetMode="External"/><Relationship Id="rId59" Type="http://schemas.openxmlformats.org/officeDocument/2006/relationships/hyperlink" Target="http://www.iso-ne.com/rules_proceds/operating/isone/op4/index.html" TargetMode="External"/><Relationship Id="rId67" Type="http://schemas.openxmlformats.org/officeDocument/2006/relationships/hyperlink" Target="http://www.pointcarbon.com/news/cmna/1.1439092" TargetMode="External"/><Relationship Id="rId103" Type="http://schemas.openxmlformats.org/officeDocument/2006/relationships/hyperlink" Target="http://iso-ne.com/committees/comm_wkgrps/othr/ipsac/mtrls/2009/jun302009/index.html)%20and%20the%202009%20Northeast%20Coordinated%20System%20Plan%20(see%20Section%20" TargetMode="External"/><Relationship Id="rId108" Type="http://schemas.openxmlformats.org/officeDocument/2006/relationships/hyperlink" Target="http://www.iso-ne.com/rules_proceds/operating/isone/op4/index.html" TargetMode="External"/><Relationship Id="rId116" Type="http://schemas.openxmlformats.org/officeDocument/2006/relationships/hyperlink" Target="http://www.iso-ne.com/regulatory/seams/2008/index.html" TargetMode="External"/><Relationship Id="rId124" Type="http://schemas.openxmlformats.org/officeDocument/2006/relationships/hyperlink" Target="http://www.ma-eeac.org/docs/DPU-filing/ElectricPlanFinalOct09.pdf" TargetMode="External"/><Relationship Id="rId129" Type="http://schemas.openxmlformats.org/officeDocument/2006/relationships/hyperlink" Target="http://www.gencourt.state.nh.us/legislation/2008/SB0383.html" TargetMode="External"/><Relationship Id="rId137" Type="http://schemas.openxmlformats.org/officeDocument/2006/relationships/hyperlink" Target="http://www.nescoe.com/Blueprint.html" TargetMode="External"/><Relationship Id="rId20" Type="http://schemas.openxmlformats.org/officeDocument/2006/relationships/hyperlink" Target="http://www.iso-ne.com/markets/mkt_anlys_rpts/annl_mkt_rpts/index.html" TargetMode="External"/><Relationship Id="rId41" Type="http://schemas.openxmlformats.org/officeDocument/2006/relationships/hyperlink" Target="http://www.iso-ne.com/trans/sys_studies/rsp_docs/pres/2008/deerfield.pdf" TargetMode="External"/><Relationship Id="rId54" Type="http://schemas.openxmlformats.org/officeDocument/2006/relationships/hyperlink" Target="http://www.iso-ne.com/committees/comm_wkgrps/prtcpnts_comm/pac/ceii/mtrls/2010/mar182010/greaterhartford.pdf" TargetMode="External"/><Relationship Id="rId62" Type="http://schemas.openxmlformats.org/officeDocument/2006/relationships/hyperlink" Target="http://www.epa.gov/waste/nonhaz/industrial/special/fossil/ccr-rule/index.htm" TargetMode="External"/><Relationship Id="rId70" Type="http://schemas.openxmlformats.org/officeDocument/2006/relationships/hyperlink" Target="http://www.aceee.org/pubs/e097.htm" TargetMode="External"/><Relationship Id="rId75" Type="http://schemas.openxmlformats.org/officeDocument/2006/relationships/hyperlink" Target="http://www.ripuc.org/eventsactions/docket/4000-NGrid-Ord19608(4-6-09).pdf" TargetMode="External"/><Relationship Id="rId83" Type="http://schemas.openxmlformats.org/officeDocument/2006/relationships/hyperlink" Target="http://www.nerc.com/filez/ivgtf.html" TargetMode="External"/><Relationship Id="rId88" Type="http://schemas.openxmlformats.org/officeDocument/2006/relationships/hyperlink" Target="http://www.necanews.org/dev/documents/100303_chleboski_richard_4.pdf" TargetMode="External"/><Relationship Id="rId91" Type="http://schemas.openxmlformats.org/officeDocument/2006/relationships/hyperlink" Target="http://www.mass.gov/legis/laws/seslaw08/sl080169.htm" TargetMode="External"/><Relationship Id="rId96" Type="http://schemas.openxmlformats.org/officeDocument/2006/relationships/hyperlink" Target="http://www.iso-ne.com/committees/comm_wkgrps/prtcpnts_comm/pac/reports/index.html" TargetMode="External"/><Relationship Id="rId111" Type="http://schemas.openxmlformats.org/officeDocument/2006/relationships/hyperlink" Target="http://congestion09.anl.gov/documents/docs/Congestion_Study_2009.pdf" TargetMode="External"/><Relationship Id="rId132" Type="http://schemas.openxmlformats.org/officeDocument/2006/relationships/hyperlink" Target="http://www.puc.state.nh.us/Transmission%20Commission/2010-04-29%20Press%20Release%20-%20KEMA%20selected%20to%20do%20transmission%20lines%20action%20plan.pdf" TargetMode="External"/><Relationship Id="rId140" Type="http://schemas.openxmlformats.org/officeDocument/2006/relationships/hyperlink" Target="http://www,nescoe.com" TargetMode="External"/><Relationship Id="rId145" Type="http://schemas.openxmlformats.org/officeDocument/2006/relationships/hyperlink" Target="http://www.energy.gov/recovery/smartgrid_maps/SGIGSelections_State.pdf" TargetMode="External"/><Relationship Id="rId1" Type="http://schemas.openxmlformats.org/officeDocument/2006/relationships/hyperlink" Target="http://www.iso-ne.com/regulatory/tariff/sect_2/oatt/2-1-09_sect_ii.pdf" TargetMode="External"/><Relationship Id="rId6" Type="http://schemas.openxmlformats.org/officeDocument/2006/relationships/hyperlink" Target="http://www.iso-ne.com/regulatory/ferc/orders/2010/apr/er10-787-000_el10-50_el10-57_order_fcm_redesign.pdf" TargetMode="External"/><Relationship Id="rId15" Type="http://schemas.openxmlformats.org/officeDocument/2006/relationships/hyperlink" Target="http://www.npcc.org/regStandards/Overview.aspx." TargetMode="External"/><Relationship Id="rId23" Type="http://schemas.openxmlformats.org/officeDocument/2006/relationships/hyperlink" Target="http://www.iso-ne.com/regulatory/ferc/filings/2008/sep/er08-1512-000_9-9-08_2011-2012_icr_filing.pdf" TargetMode="External"/><Relationship Id="rId28" Type="http://schemas.openxmlformats.org/officeDocument/2006/relationships/hyperlink" Target="http://www.iso-ne.com/regulatory/ferc/filings/2009/jun/er09-1282-000_06-05-09_market_monitor_report_for_fcm.pdf" TargetMode="External"/><Relationship Id="rId36" Type="http://schemas.openxmlformats.org/officeDocument/2006/relationships/hyperlink" Target="http://www.iso-ne.com/committees/comm_wkgrps/prtcpnts_comm/pac/ceii/mtrls/2009/jul162009/nh_needs.pdf" TargetMode="External"/><Relationship Id="rId49" Type="http://schemas.openxmlformats.org/officeDocument/2006/relationships/hyperlink" Target="http://www.iso-ne.com/committees/comm_wkgrps/prtcpnts_comm/pac/ceii/mtrls/2009/jan212009/a_nh_alternative_assessment.pdf" TargetMode="External"/><Relationship Id="rId57" Type="http://schemas.openxmlformats.org/officeDocument/2006/relationships/hyperlink" Target="http://www.iso-ne.com/markets/othrmkts_data/ncpc/ncpc_sum/index.html" TargetMode="External"/><Relationship Id="rId106" Type="http://schemas.openxmlformats.org/officeDocument/2006/relationships/hyperlink" Target="http://www.nyiso.com/public/webdocs/newsroom/press_releases/2008/2008_Comprensive_Reliability_Plan_Final_Report_07152008.pdf" TargetMode="External"/><Relationship Id="rId114" Type="http://schemas.openxmlformats.org/officeDocument/2006/relationships/hyperlink" Target="http://www.interiso.com" TargetMode="External"/><Relationship Id="rId119" Type="http://schemas.openxmlformats.org/officeDocument/2006/relationships/hyperlink" Target="http://www.mainelegislature.org/legis/bills/bills_124th/billpdfs/SP071001.pdf" TargetMode="External"/><Relationship Id="rId127" Type="http://schemas.openxmlformats.org/officeDocument/2006/relationships/hyperlink" Target="http://www.mass.gov/legis/laws/seslaw08/sl080298.htm" TargetMode="External"/><Relationship Id="rId10" Type="http://schemas.openxmlformats.org/officeDocument/2006/relationships/hyperlink" Target="http://www.iso-ne.com/pubs/spcl_rpts/2004/final_report_jan2004_cold_snap.pdf" TargetMode="External"/><Relationship Id="rId31" Type="http://schemas.openxmlformats.org/officeDocument/2006/relationships/hyperlink" Target="http://www.iso-ne.com/rules_proceds/operating/isone/op4/index.html" TargetMode="External"/><Relationship Id="rId44" Type="http://schemas.openxmlformats.org/officeDocument/2006/relationships/hyperlink" Target="http://www.iso-ne.com/trans/sys_studies/rsp_docs/pres/2007/maine_power_reliability_program_needs_assessment_final_report.pdf" TargetMode="External"/><Relationship Id="rId52" Type="http://schemas.openxmlformats.org/officeDocument/2006/relationships/hyperlink" Target="http://www.iso-ne.com/trans/sys_studies/rsp_docs/pres/2007/western_massachusetts_transmission_planning_studies.pdf" TargetMode="External"/><Relationship Id="rId60" Type="http://schemas.openxmlformats.org/officeDocument/2006/relationships/hyperlink" Target="http://www.wealthdaily.com/articles/renewable-energy-stimulus/1706" TargetMode="External"/><Relationship Id="rId65" Type="http://schemas.openxmlformats.org/officeDocument/2006/relationships/hyperlink" Target="http://pacer.cadc.uscourts.gov/docs/common/opinions/200807/05-1244-1127017.pdf" TargetMode="External"/><Relationship Id="rId73" Type="http://schemas.openxmlformats.org/officeDocument/2006/relationships/hyperlink" Target="http://www.env.state.ma.us/dpu/docs/electric/09-116/12810dpuord.pdf" TargetMode="External"/><Relationship Id="rId78" Type="http://schemas.openxmlformats.org/officeDocument/2006/relationships/hyperlink" Target="http://www.mass.gov/Eoeea/docs/doer/renewables/biomass/biomass-suspend-clarify-2009dec22.pdf" TargetMode="External"/><Relationship Id="rId81" Type="http://schemas.openxmlformats.org/officeDocument/2006/relationships/hyperlink" Target="http://www.ieee-pes.org/nari-hingorani-facts-award" TargetMode="External"/><Relationship Id="rId86" Type="http://schemas.openxmlformats.org/officeDocument/2006/relationships/hyperlink" Target="http://www.iso-ne.com/committees/comm_wkgrps/prtcpnts_comm/pac/mtrls/index.html" TargetMode="External"/><Relationship Id="rId94" Type="http://schemas.openxmlformats.org/officeDocument/2006/relationships/hyperlink" Target="http://fit.powerauthority.on.ca/Page.asp?PageID=1115&amp;SiteNodeID=1052" TargetMode="External"/><Relationship Id="rId99" Type="http://schemas.openxmlformats.org/officeDocument/2006/relationships/hyperlink" Target="http://www.nescoe.com/Blueprint.html" TargetMode="External"/><Relationship Id="rId101" Type="http://schemas.openxmlformats.org/officeDocument/2006/relationships/hyperlink" Target="http://www.interiso.com" TargetMode="External"/><Relationship Id="rId122" Type="http://schemas.openxmlformats.org/officeDocument/2006/relationships/hyperlink" Target="http://www.efficiencymainetrust.org/docs/EMT_Final_Tri_Plan.pdf" TargetMode="External"/><Relationship Id="rId130" Type="http://schemas.openxmlformats.org/officeDocument/2006/relationships/hyperlink" Target="http://www.gencourt.state.nh.us/legislation/2009/SB0085.html" TargetMode="External"/><Relationship Id="rId135" Type="http://schemas.openxmlformats.org/officeDocument/2006/relationships/hyperlink" Target="http://www.leg.state.vt.us/docs/2010/bills/Passed/H-781.pdf" TargetMode="External"/><Relationship Id="rId143" Type="http://schemas.openxmlformats.org/officeDocument/2006/relationships/hyperlink" Target="http://www.iso-ne.com/committees/comm_wkgrps/mrkts_comm/mrkts/mtrls/2010/mar232010/a2_ferc_nopr_03_18_10.pdf" TargetMode="External"/><Relationship Id="rId4" Type="http://schemas.openxmlformats.org/officeDocument/2006/relationships/hyperlink" Target="http://www.iso-ne.com/regulatory/tariff/index.html." TargetMode="External"/><Relationship Id="rId9" Type="http://schemas.openxmlformats.org/officeDocument/2006/relationships/hyperlink" Target="http://www.eipconline.com/" TargetMode="External"/><Relationship Id="rId13" Type="http://schemas.openxmlformats.org/officeDocument/2006/relationships/hyperlink" Target="http://www.ferc.gov/docs-filing/eforms/form-715/overview.asp" TargetMode="External"/><Relationship Id="rId18" Type="http://schemas.openxmlformats.org/officeDocument/2006/relationships/hyperlink" Target="http://www.economy.com/default.asp.%20Electricity%20load%20forecasters%20throughout%20the%20United%20States%20and%20New%20England%20use%20Moody's%20" TargetMode="External"/><Relationship Id="rId39" Type="http://schemas.openxmlformats.org/officeDocument/2006/relationships/hyperlink" Target="http://www.iso-ne.com/trans/sys_studies/rsp_docs/pres/2008/avtsoloop.pdf" TargetMode="External"/><Relationship Id="rId109" Type="http://schemas.openxmlformats.org/officeDocument/2006/relationships/hyperlink" Target="http://www.eia.doe.gov/oiaf/archive/aeo09/index.html" TargetMode="External"/><Relationship Id="rId34" Type="http://schemas.openxmlformats.org/officeDocument/2006/relationships/hyperlink" Target="http://www.iso-ne.com/committees/comm_wkgrps/prtcpnts_comm/pac/index.html" TargetMode="External"/><Relationship Id="rId50" Type="http://schemas.openxmlformats.org/officeDocument/2006/relationships/hyperlink" Target="http://iso-ne.com/committees/comm_wkgrps/prtcpnts_comm/pac/reports/index.html" TargetMode="External"/><Relationship Id="rId55" Type="http://schemas.openxmlformats.org/officeDocument/2006/relationships/hyperlink" Target="http://www.iso-ne.com/committees/comm_wkgrps/relblty_comm/relblty/mtrls/2007/dec192007/index.html" TargetMode="External"/><Relationship Id="rId76" Type="http://schemas.openxmlformats.org/officeDocument/2006/relationships/hyperlink" Target="http://www.puc.nh.gov/Electric/GDS%20Report/NH%20Additional%20EE%20Opportunities%20Study%202-19-09%20-%20Final.pdf" TargetMode="External"/><Relationship Id="rId97" Type="http://schemas.openxmlformats.org/officeDocument/2006/relationships/hyperlink" Target="http://www.iso-ne.com/committees/comm_wkgrps/prtcpnts_comm/pac/mtrls/index.html" TargetMode="External"/><Relationship Id="rId104" Type="http://schemas.openxmlformats.org/officeDocument/2006/relationships/hyperlink" Target="http://www.iso-ne.com/trans/rsp/2009/rsp09_final.pdf" TargetMode="External"/><Relationship Id="rId120" Type="http://schemas.openxmlformats.org/officeDocument/2006/relationships/hyperlink" Target="http://www.maine.gov/tools/whatsnew/index.php?topic=puc-pressreleases&amp;id=92548&amp;v=article08" TargetMode="External"/><Relationship Id="rId125" Type="http://schemas.openxmlformats.org/officeDocument/2006/relationships/hyperlink" Target="http://www.env.state.ma.us/dpu/docs/gas/08-75/62609dpuord.pdf" TargetMode="External"/><Relationship Id="rId141" Type="http://schemas.openxmlformats.org/officeDocument/2006/relationships/hyperlink" Target="http://www.iso-ne.com/regulatory/tariff/sect_3/index.html" TargetMode="External"/><Relationship Id="rId146" Type="http://schemas.openxmlformats.org/officeDocument/2006/relationships/hyperlink" Target="http://www.iso-ne.com/rules_proceds/isone_plan/" TargetMode="External"/><Relationship Id="rId7" Type="http://schemas.openxmlformats.org/officeDocument/2006/relationships/hyperlink" Target="http://www.iso-ne.com/committees/comm_wkgrps/prtcpnts_comm/pac/projects/index.html" TargetMode="External"/><Relationship Id="rId71" Type="http://schemas.openxmlformats.org/officeDocument/2006/relationships/hyperlink" Target="http://www.iso-ne.com/regulatory/ferc/filings/2009/oct/er10-___-000_10-29-09_fca_3_results_filing.pdf" TargetMode="External"/><Relationship Id="rId92" Type="http://schemas.openxmlformats.org/officeDocument/2006/relationships/hyperlink" Target="http://www.mass.gov/Eoeea/docs/doer/renewables/solar/solar-tip.pdf" TargetMode="External"/><Relationship Id="rId2" Type="http://schemas.openxmlformats.org/officeDocument/2006/relationships/hyperlink" Target="http://www.iso-ne.com/regulatory/tariff/index.html." TargetMode="External"/><Relationship Id="rId29" Type="http://schemas.openxmlformats.org/officeDocument/2006/relationships/hyperlink" Target="http://www.iso-ne.com/trans/celt/report/2010/2010_celt_report.xls" TargetMode="External"/><Relationship Id="rId24" Type="http://schemas.openxmlformats.org/officeDocument/2006/relationships/hyperlink" Target="http://www.iso-ne.com/regulatory/ferc/filings/2008/sep/er08-1512-000_9-9-08_2011-2012_icr_filing.pdf" TargetMode="External"/><Relationship Id="rId40" Type="http://schemas.openxmlformats.org/officeDocument/2006/relationships/hyperlink" Target="http://www.iso-ne.com/trans/sys_studies/rsp_docs/pres/2008/deerfield_area.pdf" TargetMode="External"/><Relationship Id="rId45" Type="http://schemas.openxmlformats.org/officeDocument/2006/relationships/hyperlink" Target="http://www.iso-ne.com/trans/sys_studies/rsp_docs/pres/2008/amprprevised.pdf" TargetMode="External"/><Relationship Id="rId66" Type="http://schemas.openxmlformats.org/officeDocument/2006/relationships/hyperlink" Target="http://camddataandmaps.epa.gov/gdm/index.cfm?fuseaction=emissions.wizard" TargetMode="External"/><Relationship Id="rId87" Type="http://schemas.openxmlformats.org/officeDocument/2006/relationships/hyperlink" Target="http://iso-ne.com/committees/comm_wkgrps/prtcpnts_comm/pac/reports/2009/newis_report.pdf" TargetMode="External"/><Relationship Id="rId110" Type="http://schemas.openxmlformats.org/officeDocument/2006/relationships/hyperlink" Target="http://nietc.anl.gov/documents/docs/Congestion_Study_2006-9MB.pdf" TargetMode="External"/><Relationship Id="rId115" Type="http://schemas.openxmlformats.org/officeDocument/2006/relationships/hyperlink" Target="http://www.iso-ne.com/committees/comm_wkgrps/othr/ipsac/index.html" TargetMode="External"/><Relationship Id="rId131" Type="http://schemas.openxmlformats.org/officeDocument/2006/relationships/hyperlink" Target="http://www.puc.nh.gov/TransmissionCommission.htm" TargetMode="External"/><Relationship Id="rId136" Type="http://schemas.openxmlformats.org/officeDocument/2006/relationships/hyperlink" Target="http://www.nescoe.com" TargetMode="External"/><Relationship Id="rId61" Type="http://schemas.openxmlformats.org/officeDocument/2006/relationships/hyperlink" Target="http://www.epa.gov/epawaste/nonhaz/industrial/special/fossil/ccr-rule/ccr-rule-prop.pdf" TargetMode="External"/><Relationship Id="rId82" Type="http://schemas.openxmlformats.org/officeDocument/2006/relationships/hyperlink" Target="http://www.iso-ne.com/rules_proceds/operating/future_fcm/op4_fcm_draft.pdf" TargetMode="External"/><Relationship Id="rId19" Type="http://schemas.openxmlformats.org/officeDocument/2006/relationships/image" Target="media/image5.wmf"/><Relationship Id="rId14" Type="http://schemas.openxmlformats.org/officeDocument/2006/relationships/hyperlink" Target="http://www.ferc.gov/whats-new/comm-meet/2007/021507/E-1.pdf" TargetMode="External"/><Relationship Id="rId30" Type="http://schemas.openxmlformats.org/officeDocument/2006/relationships/hyperlink" Target="http://www.iso-ne.com/nwsiss/pr/2010/final_fca4_release_08062010.pdf" TargetMode="External"/><Relationship Id="rId35" Type="http://schemas.openxmlformats.org/officeDocument/2006/relationships/hyperlink" Target="http://www.iso-ne.com/committees/comm_wkgrps/prtcpnts_comm/pac/ceii/reports/2009/final_nh_needs_report.pdf" TargetMode="External"/><Relationship Id="rId56" Type="http://schemas.openxmlformats.org/officeDocument/2006/relationships/hyperlink" Target="http://www.iso-ne.com/regulatory/tariff/sect_3/" TargetMode="External"/><Relationship Id="rId77" Type="http://schemas.openxmlformats.org/officeDocument/2006/relationships/hyperlink" Target="http://www.mass.gov/?pageID=eoeeaterminal&amp;L=4&amp;L0=Home&amp;L1=Energy%2c+Utilities+%26+Clean+Technologies&amp;L2=Renewable+Energy&amp;L3=Biomass&amp;sid=Eoeea&amp;b=terminalcontent&amp;f=doer_arra_bscps&amp;csid=Eoeea" TargetMode="External"/><Relationship Id="rId100" Type="http://schemas.openxmlformats.org/officeDocument/2006/relationships/hyperlink" Target="http://iso-ne.com/committees/comm_wkgrps/prtcpnts_comm/pac/mtrls/2009/index.html" TargetMode="External"/><Relationship Id="rId105" Type="http://schemas.openxmlformats.org/officeDocument/2006/relationships/hyperlink" Target="http://www.nyiso.com/public/webdocs/services/planning/reliability_assessments/2008_RNA__Supporting_FINAL_REPORT_12_12.pdf" TargetMode="External"/><Relationship Id="rId126" Type="http://schemas.openxmlformats.org/officeDocument/2006/relationships/hyperlink" Target="http://www.env.state.ma.us/dpu/docs/electric/09-03/82009noiord.pdf" TargetMode="External"/><Relationship Id="rId147" Type="http://schemas.openxmlformats.org/officeDocument/2006/relationships/hyperlink" Target="http://www.iso-ne.com/rules_proceds/isone_plan/pp4_0_attachment_d.pdf" TargetMode="External"/><Relationship Id="rId8" Type="http://schemas.openxmlformats.org/officeDocument/2006/relationships/hyperlink" Target="http://www.iso-ne.com/committees/comm_wkgrps/trans_comm/tariff_comm/mtrls/2010/aug16172010/a11_2010_rns_rates_presentation.pdf" TargetMode="External"/><Relationship Id="rId51" Type="http://schemas.openxmlformats.org/officeDocument/2006/relationships/hyperlink" Target="http://www.iso-ne.com/committees/comm_wkgrps/prtcpnts_comm/pac/mtrls/2010/mar182010/gb_needs_solutions.pdf" TargetMode="External"/><Relationship Id="rId72" Type="http://schemas.openxmlformats.org/officeDocument/2006/relationships/hyperlink" Target="http://www.mass.gov/legis/laws/seslaw08/sl080169.htm" TargetMode="External"/><Relationship Id="rId93" Type="http://schemas.openxmlformats.org/officeDocument/2006/relationships/hyperlink" Target="http://www.nrel.gov/applying_technologies/pdfs/2008_solar_market_report.pdf" TargetMode="External"/><Relationship Id="rId98" Type="http://schemas.openxmlformats.org/officeDocument/2006/relationships/hyperlink" Target="http://www.iso-ne.com/committees/comm_wkgrps/prtcpnts_comm/pac/reports/2010/economicstudyreportfinal_022610.pdf" TargetMode="External"/><Relationship Id="rId121" Type="http://schemas.openxmlformats.org/officeDocument/2006/relationships/hyperlink" Target="http://www.mainelegislature.org/legis/bills/bills_124th/chapters/PUBLIC615.asp" TargetMode="External"/><Relationship Id="rId142" Type="http://schemas.openxmlformats.org/officeDocument/2006/relationships/hyperlink" Target="http://www.iso-ne.com/regulatory/ferc/filings/2010/jul/er10-787-000_07-01-10_fcm_first_brief.pdf" TargetMode="External"/></Relationships>
</file>

<file path=word/theme/theme1.xml><?xml version="1.0" encoding="utf-8"?>
<a:theme xmlns:a="http://schemas.openxmlformats.org/drawingml/2006/main" name="Office Theme">
  <a:themeElements>
    <a:clrScheme name="ISO New England">
      <a:dk1>
        <a:srgbClr val="000000"/>
      </a:dk1>
      <a:lt1>
        <a:srgbClr val="FFFFFF"/>
      </a:lt1>
      <a:dk2>
        <a:srgbClr val="11479D"/>
      </a:dk2>
      <a:lt2>
        <a:srgbClr val="F9AF1C"/>
      </a:lt2>
      <a:accent1>
        <a:srgbClr val="F5943C"/>
      </a:accent1>
      <a:accent2>
        <a:srgbClr val="E7251A"/>
      </a:accent2>
      <a:accent3>
        <a:srgbClr val="6159A6"/>
      </a:accent3>
      <a:accent4>
        <a:srgbClr val="0082CF"/>
      </a:accent4>
      <a:accent5>
        <a:srgbClr val="77BD2A"/>
      </a:accent5>
      <a:accent6>
        <a:srgbClr val="9B8F8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6E5A-1C26-4670-B22C-80EA197BE53F}">
  <ds:schemaRefs>
    <ds:schemaRef ds:uri="http://schemas.openxmlformats.org/officeDocument/2006/bibliography"/>
  </ds:schemaRefs>
</ds:datastoreItem>
</file>

<file path=customXml/itemProps2.xml><?xml version="1.0" encoding="utf-8"?>
<ds:datastoreItem xmlns:ds="http://schemas.openxmlformats.org/officeDocument/2006/customXml" ds:itemID="{FE5A4205-D681-4D78-948F-D111B50A1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75158</Words>
  <Characters>428407</Characters>
  <Application>Microsoft Office Word</Application>
  <DocSecurity>0</DocSecurity>
  <Lines>3570</Lines>
  <Paragraphs>1005</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502560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kcondon</dc:creator>
  <cp:keywords/>
  <dc:description/>
  <cp:lastModifiedBy>shaas</cp:lastModifiedBy>
  <cp:revision>2</cp:revision>
  <cp:lastPrinted>2010-10-28T18:24:00Z</cp:lastPrinted>
  <dcterms:created xsi:type="dcterms:W3CDTF">2010-11-05T13:57:00Z</dcterms:created>
  <dcterms:modified xsi:type="dcterms:W3CDTF">2010-11-05T13:57:00Z</dcterms:modified>
</cp:coreProperties>
</file>